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财务管理制度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_GBK" w:hAnsi="方正小标宋_GBK" w:eastAsia="方正小标宋_GBK" w:cs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为严肃财经纪律，强化财务管理，规范财务行为，依据相关法律法规，结合我管理中心实际情况，制定本制度。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 w:cs="楷体_GB2312"/>
          <w:bCs/>
          <w:sz w:val="32"/>
          <w:szCs w:val="32"/>
        </w:rPr>
      </w:pPr>
      <w:r>
        <w:rPr>
          <w:rFonts w:hint="eastAsia" w:ascii="黑体" w:hAnsi="黑体" w:eastAsia="黑体" w:cs="楷体_GB2312"/>
          <w:bCs/>
          <w:sz w:val="32"/>
          <w:szCs w:val="32"/>
        </w:rPr>
        <w:t>一、资金管理制度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（一）预算资金管理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预算资金是指财政部门拨付给我管理中心的管理费，按照市财政局的统一要求，由财务科具体编制计划并组织实施。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（二）资金支出管理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1.管理中心的资金支出在中心党组领导下，主任和分管财务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副</w:t>
      </w:r>
      <w:r>
        <w:rPr>
          <w:rFonts w:hint="eastAsia" w:ascii="仿宋" w:hAnsi="仿宋" w:eastAsia="仿宋" w:cs="仿宋"/>
          <w:sz w:val="32"/>
          <w:szCs w:val="32"/>
        </w:rPr>
        <w:t>主任负责，由财务科和相关科（室、部）具体组织实施。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2.需要财审的支出，应先履行审批手续，后执行采购。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3.财务科每月向分管财务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副</w:t>
      </w:r>
      <w:r>
        <w:rPr>
          <w:rFonts w:hint="eastAsia" w:ascii="仿宋" w:hAnsi="仿宋" w:eastAsia="仿宋" w:cs="仿宋"/>
          <w:sz w:val="32"/>
          <w:szCs w:val="32"/>
        </w:rPr>
        <w:t>主任和主任提供相关财务报表，每半年向中心党组汇报一次财务收支情况。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 w:cs="楷体_GB2312"/>
          <w:bCs/>
          <w:sz w:val="32"/>
          <w:szCs w:val="32"/>
        </w:rPr>
      </w:pPr>
      <w:r>
        <w:rPr>
          <w:rFonts w:hint="eastAsia" w:ascii="黑体" w:hAnsi="黑体" w:eastAsia="黑体" w:cs="楷体_GB2312"/>
          <w:bCs/>
          <w:sz w:val="32"/>
          <w:szCs w:val="32"/>
        </w:rPr>
        <w:t>二、借款管理制度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1.工作人员出差借款。出差人员凭出差审批单到财务科填写借款单，借款单上应写明出差事由、地点、人数、外出天数等内容，经财务科长、分管财务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副</w:t>
      </w:r>
      <w:r>
        <w:rPr>
          <w:rFonts w:hint="eastAsia" w:ascii="仿宋" w:hAnsi="仿宋" w:eastAsia="仿宋" w:cs="仿宋"/>
          <w:sz w:val="32"/>
          <w:szCs w:val="32"/>
        </w:rPr>
        <w:t>主任签批后办理借款。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2.物品采购备用金借款。单次采购价值1000元以下物品可以借备用金，备用金要与所购物品价值相符。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3.私人不准借用公款。财务人员不准擅自将公款借给个人。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4.各种借款必须手续齐全、内容完整。各种借款必须按时偿还，公务借款必须及时报账，原则上不超过一个月，遇有特殊情况，应作出说明，但最多不得超过半年。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黑体" w:hAnsi="黑体" w:eastAsia="黑体" w:cs="楷体_GB2312"/>
          <w:bCs/>
          <w:sz w:val="32"/>
          <w:szCs w:val="32"/>
        </w:rPr>
      </w:pPr>
      <w:r>
        <w:rPr>
          <w:rFonts w:ascii="仿宋" w:hAnsi="仿宋" w:eastAsia="仿宋" w:cs="楷体_GB2312"/>
          <w:b/>
          <w:bCs/>
          <w:sz w:val="32"/>
          <w:szCs w:val="32"/>
        </w:rPr>
        <w:t xml:space="preserve"> </w:t>
      </w:r>
      <w:r>
        <w:rPr>
          <w:rFonts w:hint="eastAsia" w:ascii="黑体" w:hAnsi="黑体" w:eastAsia="黑体" w:cs="楷体_GB2312"/>
          <w:bCs/>
          <w:sz w:val="32"/>
          <w:szCs w:val="32"/>
        </w:rPr>
        <w:t>三、出差管理制度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（一）出差实行前置审批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所有人员出差时要先审批后出差。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 报销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差旅费报销严格按照《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白城市住房公积金管理中心差旅费管理制度</w:t>
      </w:r>
      <w:r>
        <w:rPr>
          <w:rFonts w:hint="eastAsia" w:ascii="仿宋" w:hAnsi="仿宋" w:eastAsia="仿宋" w:cs="仿宋"/>
          <w:sz w:val="32"/>
          <w:szCs w:val="32"/>
        </w:rPr>
        <w:t>》执行。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 w:cs="楷体_GB2312"/>
          <w:bCs/>
          <w:sz w:val="32"/>
          <w:szCs w:val="32"/>
        </w:rPr>
      </w:pPr>
      <w:r>
        <w:rPr>
          <w:rFonts w:hint="eastAsia" w:ascii="黑体" w:hAnsi="黑体" w:eastAsia="黑体" w:cs="楷体_GB2312"/>
          <w:bCs/>
          <w:sz w:val="32"/>
          <w:szCs w:val="32"/>
        </w:rPr>
        <w:t>四、报销业务管理制度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（一）票据的粘贴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1.粘贴票据时要按票据类别分类粘贴，同类票据尽量粘贴在一起。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2.原始票据粘贴必须考虑到方便审核与装订后凭证的翻阅，粘贴时要对齐票据粘贴单的上下边，做到整齐、平整、错落有致。粘贴后所有票据号码、日期及税务章等必须保留齐全，清晰可辨。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（二）发票的审核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1.当事人在获取发票时，应当检查单位名称、日期、项目等发票要素是否填写清晰完整，签章是否清晰，必要时应核实发票的真伪。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2.严禁发票上有涂改的情况，否则按废票处理，不予报销；未盖财务专用章或发票专用章的发票一律不得作为报销凭据。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3.发票上开具为一批货物、劳保用品和办公用品的，须附有税控单，否则不予报销。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（三）经手人制度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报销业务实行经手人终身负责制，外单位人员不得直接从财务科办理相关业务，所有原始票据需由经手人签字，经手人对业务的真实性负责，并有义务配合相关的审计检查等工作。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（四）审核联签流程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报销的票据实行联签制，首先由财务科长对票据的合法合规性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进行</w:t>
      </w:r>
      <w:r>
        <w:rPr>
          <w:rFonts w:hint="eastAsia" w:ascii="仿宋" w:hAnsi="仿宋" w:eastAsia="仿宋" w:cs="仿宋"/>
          <w:sz w:val="32"/>
          <w:szCs w:val="32"/>
        </w:rPr>
        <w:t>审查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合格后签字，按照经手人、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财务科长</w:t>
      </w:r>
      <w:r>
        <w:rPr>
          <w:rFonts w:hint="eastAsia" w:ascii="仿宋" w:hAnsi="仿宋" w:eastAsia="仿宋" w:cs="仿宋"/>
          <w:sz w:val="32"/>
          <w:szCs w:val="32"/>
        </w:rPr>
        <w:t>、分管财务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副</w:t>
      </w:r>
      <w:r>
        <w:rPr>
          <w:rFonts w:hint="eastAsia" w:ascii="仿宋" w:hAnsi="仿宋" w:eastAsia="仿宋" w:cs="仿宋"/>
          <w:sz w:val="32"/>
          <w:szCs w:val="32"/>
        </w:rPr>
        <w:t>主任顺序签批，最后主任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联</w:t>
      </w:r>
      <w:r>
        <w:rPr>
          <w:rFonts w:hint="eastAsia" w:ascii="仿宋" w:hAnsi="仿宋" w:eastAsia="仿宋" w:cs="仿宋"/>
          <w:sz w:val="32"/>
          <w:szCs w:val="32"/>
        </w:rPr>
        <w:t>签。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管理部报销票据，需经管理部主任签批，再由中心审核联签。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（五）报销期限要求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各管理部每月办理一次报销。中心本级凡涉及到单位采购、公务支出、出差等公务活动借款，能当月结清的必须当月结清，如遇特殊情况的最多不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允</w:t>
      </w:r>
      <w:r>
        <w:rPr>
          <w:rFonts w:hint="eastAsia" w:ascii="仿宋" w:hAnsi="仿宋" w:eastAsia="仿宋" w:cs="仿宋"/>
          <w:sz w:val="32"/>
          <w:szCs w:val="32"/>
        </w:rPr>
        <w:t>许超过半年。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（六）租车费报销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1.因扶贫等工作需要租车时，应到正规汽车公司租赁，须签订正式租车协议。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2.经手人凭租车协议和车辆出租人开具的正规租车税票办理报销手续，财务科直接将租车费划入车辆出租人账户。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中心及管理部业务用车凭相关的手续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报销车辆的相关费用。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（七）固定资产采购报销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固定资产的管理。固定资产是指一般设备单位价值在1000元以上，专用设备单位价值在1500元以上，使用期限在一年以上，并在使用过程中基本保持原有物质形态的资产。单位价值虽未达到规定标准，但耐用时间在一年以上的大批同类物资作为固定资产管理。购买所需固定资产应先到市财政国有资产科审批后再采购，谁采购谁负责办理审批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2.凡是达到固定资产管理的资产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一律由行政科登记入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账</w:t>
      </w:r>
      <w:r>
        <w:rPr>
          <w:rFonts w:hint="eastAsia" w:ascii="仿宋" w:hAnsi="仿宋" w:eastAsia="仿宋" w:cs="仿宋"/>
          <w:sz w:val="32"/>
          <w:szCs w:val="32"/>
        </w:rPr>
        <w:t>，落实到使用单位，明确责任人。若丢失或损坏，根据具体情况由责任人赔偿。对固定资产的使用管理情况实行定期检查，需调整的必须到行政科办理变动手续。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（八）信息化建设和维修等工程款项报销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信息化建设和维修工程，先进行相关审批手续，工程完工后，经相关财审和工程验收后，在工程款报销时，按要求办理的各项手续要完备齐全，方可报销。若付全款时需预留5%的保证金，一年后验收合格给付。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 w:cs="楷体_GB2312"/>
          <w:bCs/>
          <w:sz w:val="32"/>
          <w:szCs w:val="32"/>
        </w:rPr>
      </w:pPr>
      <w:r>
        <w:rPr>
          <w:rFonts w:hint="eastAsia" w:ascii="黑体" w:hAnsi="黑体" w:eastAsia="黑体" w:cs="楷体_GB2312"/>
          <w:bCs/>
          <w:sz w:val="32"/>
          <w:szCs w:val="32"/>
        </w:rPr>
        <w:t>五、政府采购管理制度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1.凡使用财政资金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采购政府采购目录以内的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或者采购限额标准以上的货物、工程和服务的项目，应当按照政府采购目录及分类标准编制政府采购预算，列入项目资金使用计划，并报请政府采购办批准。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2.政府采购审批手续由采购部门负责办理。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3.收到计划批复后，方可按照批复要求，到指定采购单位采购。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 w:cs="楷体_GB2312"/>
          <w:bCs/>
          <w:sz w:val="32"/>
          <w:szCs w:val="32"/>
        </w:rPr>
      </w:pPr>
      <w:r>
        <w:rPr>
          <w:rFonts w:hint="eastAsia" w:ascii="黑体" w:hAnsi="黑体" w:eastAsia="黑体" w:cs="楷体_GB2312"/>
          <w:bCs/>
          <w:sz w:val="32"/>
          <w:szCs w:val="32"/>
        </w:rPr>
        <w:t>六、财务人员工作制度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（一）财务印鉴和支票的管理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财务印鉴和支票分开管理，财务科长保管财务印章和审核人U盾，出纳员保管单位法人印章和经办人U盾。会计人员不准签发空白、空头和远期支票，支票使用人不准私自变更支票用途，不准出借、转让支票。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（二）账户管理制度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管理中心按相关要求设立一个基本银行账户和一个零余额账户，核算中心本级及各管理部的财务收支，实行统一管理，统一规范财务行为，统一会计核算标准。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（三）外县管理部报账制度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各管理部各设报账员一名，负责各管理部日常管理费用支出，每月一次定期到管理中心财务科报账。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（四）账务日清月结制度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财务人员必须做到日清月结，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账</w:t>
      </w:r>
      <w:r>
        <w:rPr>
          <w:rFonts w:hint="eastAsia" w:ascii="仿宋" w:hAnsi="仿宋" w:eastAsia="仿宋" w:cs="仿宋"/>
          <w:sz w:val="32"/>
          <w:szCs w:val="32"/>
        </w:rPr>
        <w:t>目准确完整，数字真实，计算准确，内容完整，说明清楚，报送及时。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 w:cs="楷体_GB2312"/>
          <w:bCs/>
          <w:sz w:val="32"/>
          <w:szCs w:val="32"/>
        </w:rPr>
      </w:pPr>
      <w:r>
        <w:rPr>
          <w:rFonts w:hint="eastAsia" w:ascii="黑体" w:hAnsi="黑体" w:eastAsia="黑体" w:cs="楷体_GB2312"/>
          <w:bCs/>
          <w:sz w:val="32"/>
          <w:szCs w:val="32"/>
        </w:rPr>
        <w:t>七、责任追究制度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有下列行为的，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依法追究有关责任人责任：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1.隐瞒、截留、坐支应当上缴的财政资金或虚报、冒领、骗取财政资金的；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2.违反国家规定，设立“小金库”的；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3.擅自提高会议和出差补贴标准以及提高津贴、补贴发放范围和标准，随意扩大资金的使用范围和标准的；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4.公款私存或贪污公款的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.协助报账人员伪造原始凭证、会计凭证，共同骗取财政资金的；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.编制虚假会计报表，提供虚假会计信息的；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.隐匿或销毁依法保存的会计账簿、会计报表、会计凭证等会计资料的。　　　　　　　</w:t>
      </w:r>
    </w:p>
    <w:sectPr>
      <w:headerReference r:id="rId3" w:type="default"/>
      <w:footerReference r:id="rId4" w:type="default"/>
      <w:pgSz w:w="11906" w:h="16838"/>
      <w:pgMar w:top="2098" w:right="1587" w:bottom="2098" w:left="1587" w:header="851" w:footer="992" w:gutter="0"/>
      <w:pgNumType w:fmt="numberInDash" w:start="23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asciiTheme="majorEastAsia" w:hAnsiTheme="majorEastAsia" w:eastAsiaTheme="majorEastAsia" w:cstheme="majorEastAsia"/>
                    <w:sz w:val="28"/>
                    <w:szCs w:val="28"/>
                    <w:lang w:eastAsia="zh-CN"/>
                  </w:rPr>
                </w:pPr>
                <w:r>
                  <w:rPr>
                    <w:rFonts w:hint="eastAsia" w:asciiTheme="majorEastAsia" w:hAnsiTheme="majorEastAsia" w:eastAsiaTheme="majorEastAsia" w:cstheme="majorEastAsia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 w:asciiTheme="majorEastAsia" w:hAnsiTheme="majorEastAsia" w:eastAsiaTheme="majorEastAsia" w:cstheme="majorEastAsia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Theme="majorEastAsia" w:hAnsiTheme="majorEastAsia" w:eastAsiaTheme="majorEastAsia" w:cstheme="majorEastAsia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 w:asciiTheme="majorEastAsia" w:hAnsiTheme="majorEastAsia" w:eastAsiaTheme="majorEastAsia" w:cstheme="majorEastAsia"/>
                    <w:sz w:val="28"/>
                    <w:szCs w:val="28"/>
                    <w:lang w:eastAsia="zh-CN"/>
                  </w:rPr>
                  <w:t>- 1 -</w:t>
                </w:r>
                <w:r>
                  <w:rPr>
                    <w:rFonts w:hint="eastAsia" w:asciiTheme="majorEastAsia" w:hAnsiTheme="majorEastAsia" w:eastAsiaTheme="majorEastAsia" w:cstheme="majorEastAsia"/>
                    <w:sz w:val="28"/>
                    <w:szCs w:val="2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247D"/>
    <w:rsid w:val="00012F44"/>
    <w:rsid w:val="00140D79"/>
    <w:rsid w:val="00151DF5"/>
    <w:rsid w:val="00391487"/>
    <w:rsid w:val="004E5790"/>
    <w:rsid w:val="00551D9C"/>
    <w:rsid w:val="00571D34"/>
    <w:rsid w:val="00574F28"/>
    <w:rsid w:val="0068523D"/>
    <w:rsid w:val="00812D89"/>
    <w:rsid w:val="008C598B"/>
    <w:rsid w:val="00903DF2"/>
    <w:rsid w:val="00941B7B"/>
    <w:rsid w:val="00A153CE"/>
    <w:rsid w:val="00B30CA5"/>
    <w:rsid w:val="00BC4C13"/>
    <w:rsid w:val="00D55321"/>
    <w:rsid w:val="00D7247D"/>
    <w:rsid w:val="00E5421B"/>
    <w:rsid w:val="00EB456F"/>
    <w:rsid w:val="00F357B3"/>
    <w:rsid w:val="0CE257B0"/>
    <w:rsid w:val="0E981306"/>
    <w:rsid w:val="1FB431ED"/>
    <w:rsid w:val="20522D3E"/>
    <w:rsid w:val="29613CEB"/>
    <w:rsid w:val="2DBB0E74"/>
    <w:rsid w:val="37682B77"/>
    <w:rsid w:val="3EB41C47"/>
    <w:rsid w:val="4420717B"/>
    <w:rsid w:val="6DDE1453"/>
    <w:rsid w:val="6DF921F2"/>
    <w:rsid w:val="761F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375</Words>
  <Characters>2143</Characters>
  <Lines>17</Lines>
  <Paragraphs>5</Paragraphs>
  <TotalTime>8</TotalTime>
  <ScaleCrop>false</ScaleCrop>
  <LinksUpToDate>false</LinksUpToDate>
  <CharactersWithSpaces>2513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2020-05-21T08:46:00Z</dcterms:created>
  <dc:creator>Administrator</dc:creator>
  <cp:lastModifiedBy>Administrator</cp:lastModifiedBy>
  <cp:lastPrinted>2020-07-07T01:07:00Z</cp:lastPrinted>
  <dcterms:modified xsi:type="dcterms:W3CDTF">2020-07-09T07:58:33Z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