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03B95">
      <w:pPr>
        <w:spacing w:line="560" w:lineRule="exact"/>
        <w:jc w:val="center"/>
        <w:rPr>
          <w:rFonts w:ascii="方正小标宋_GBK" w:hAnsi="方正小标宋_GBK" w:eastAsia="方正小标宋_GBK" w:cs="方正小标宋_GBK"/>
          <w:sz w:val="44"/>
          <w:szCs w:val="44"/>
        </w:rPr>
      </w:pPr>
      <w:bookmarkStart w:id="3" w:name="_GoBack"/>
      <w:bookmarkEnd w:id="3"/>
      <w:r>
        <w:rPr>
          <w:rFonts w:hint="eastAsia" w:ascii="方正小标宋_GBK" w:hAnsi="方正小标宋_GBK" w:eastAsia="方正小标宋_GBK" w:cs="方正小标宋_GBK"/>
          <w:sz w:val="44"/>
          <w:szCs w:val="44"/>
        </w:rPr>
        <w:t>白城市司法局关于对市本级规范性</w:t>
      </w:r>
    </w:p>
    <w:p w14:paraId="5D0EFA7F">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文件合法性审查内部规范</w:t>
      </w:r>
    </w:p>
    <w:p w14:paraId="2AA2177C">
      <w:pPr>
        <w:spacing w:line="560" w:lineRule="exact"/>
        <w:jc w:val="center"/>
        <w:rPr>
          <w:b/>
          <w:bCs/>
          <w:sz w:val="44"/>
          <w:szCs w:val="44"/>
        </w:rPr>
      </w:pPr>
    </w:p>
    <w:p w14:paraId="605DA53F">
      <w:pPr>
        <w:spacing w:line="560" w:lineRule="exact"/>
        <w:jc w:val="center"/>
        <w:rPr>
          <w:b/>
          <w:bCs/>
          <w:sz w:val="32"/>
          <w:szCs w:val="32"/>
        </w:rPr>
      </w:pPr>
      <w:r>
        <w:rPr>
          <w:rFonts w:hint="eastAsia"/>
          <w:b/>
          <w:bCs/>
          <w:sz w:val="32"/>
          <w:szCs w:val="32"/>
        </w:rPr>
        <w:t>第一章  总  则</w:t>
      </w:r>
    </w:p>
    <w:p w14:paraId="78FF072F">
      <w:pPr>
        <w:spacing w:line="560" w:lineRule="exact"/>
        <w:rPr>
          <w:rFonts w:ascii="仿宋" w:hAnsi="仿宋" w:eastAsia="仿宋" w:cs="仿宋"/>
          <w:kern w:val="0"/>
          <w:sz w:val="32"/>
          <w:szCs w:val="32"/>
          <w:shd w:val="clear" w:color="auto" w:fill="FFFFFF"/>
        </w:rPr>
      </w:pPr>
      <w:r>
        <w:rPr>
          <w:rFonts w:hint="eastAsia" w:ascii="仿宋" w:hAnsi="仿宋" w:eastAsia="仿宋" w:cs="仿宋"/>
          <w:b/>
          <w:bCs/>
          <w:sz w:val="32"/>
          <w:szCs w:val="32"/>
        </w:rPr>
        <w:t xml:space="preserve">    第一条</w:t>
      </w:r>
      <w:r>
        <w:rPr>
          <w:rFonts w:hint="eastAsia" w:ascii="仿宋" w:hAnsi="仿宋" w:eastAsia="仿宋" w:cs="仿宋"/>
          <w:sz w:val="32"/>
          <w:szCs w:val="32"/>
        </w:rPr>
        <w:t xml:space="preserve"> 为了完善程序规范、权责一致、协调高效的行政规范性文件合法性审核机制，更好地开展行政规范性文件合法性审核工作，</w:t>
      </w:r>
      <w:r>
        <w:rPr>
          <w:rFonts w:hint="eastAsia" w:ascii="仿宋" w:hAnsi="仿宋" w:eastAsia="仿宋" w:cs="仿宋"/>
          <w:kern w:val="0"/>
          <w:sz w:val="32"/>
          <w:szCs w:val="32"/>
          <w:shd w:val="clear" w:color="auto" w:fill="FFFFFF"/>
        </w:rPr>
        <w:t>根据《国务院办公厅关于全面推行行政规范性文件合法性审核机制的指导意见》、《吉林省人民政府办公厅关于全面推行行政规范性文件合法性审核机制的实施意见》和《白城市人民政府规范性文件制定程序规定》及《白城市人民政府办公室关于进一步做好行政规范性文件合法性审核工作的通知》等有关规定，结合我局工作实际，制定本规范。</w:t>
      </w:r>
    </w:p>
    <w:p w14:paraId="0C7DE765">
      <w:pPr>
        <w:spacing w:line="560" w:lineRule="exact"/>
        <w:ind w:firstLine="643" w:firstLineChars="200"/>
        <w:rPr>
          <w:rFonts w:ascii="仿宋" w:hAnsi="仿宋" w:eastAsia="仿宋" w:cs="仿宋"/>
          <w:kern w:val="0"/>
          <w:sz w:val="32"/>
          <w:szCs w:val="32"/>
          <w:shd w:val="clear" w:color="auto" w:fill="FFFFFF"/>
        </w:rPr>
      </w:pPr>
      <w:r>
        <w:rPr>
          <w:rFonts w:hint="eastAsia" w:ascii="仿宋" w:hAnsi="仿宋" w:eastAsia="仿宋" w:cs="仿宋"/>
          <w:b/>
          <w:bCs/>
          <w:kern w:val="0"/>
          <w:sz w:val="32"/>
          <w:szCs w:val="32"/>
          <w:shd w:val="clear" w:color="auto" w:fill="FFFFFF"/>
        </w:rPr>
        <w:t>第二条</w:t>
      </w:r>
      <w:r>
        <w:rPr>
          <w:rFonts w:hint="eastAsia" w:ascii="仿宋" w:hAnsi="仿宋" w:eastAsia="仿宋" w:cs="仿宋"/>
          <w:kern w:val="0"/>
          <w:sz w:val="32"/>
          <w:szCs w:val="32"/>
          <w:shd w:val="clear" w:color="auto" w:fill="FFFFFF"/>
        </w:rPr>
        <w:t xml:space="preserve"> 本规范适用于白城市司法局内部对各部门以白城市人民政府（办）名义制发行政规范性文件的合法性审核工作。</w:t>
      </w:r>
    </w:p>
    <w:p w14:paraId="09061428">
      <w:pPr>
        <w:spacing w:line="560" w:lineRule="exact"/>
        <w:ind w:firstLine="643" w:firstLineChars="200"/>
        <w:rPr>
          <w:rFonts w:ascii="仿宋" w:hAnsi="仿宋" w:eastAsia="仿宋" w:cs="仿宋"/>
          <w:kern w:val="0"/>
          <w:sz w:val="32"/>
          <w:szCs w:val="32"/>
          <w:shd w:val="clear" w:color="auto" w:fill="FFFFFF"/>
        </w:rPr>
      </w:pPr>
      <w:r>
        <w:rPr>
          <w:rFonts w:hint="eastAsia" w:ascii="仿宋" w:hAnsi="仿宋" w:eastAsia="仿宋" w:cs="仿宋"/>
          <w:b/>
          <w:bCs/>
          <w:kern w:val="0"/>
          <w:sz w:val="32"/>
          <w:szCs w:val="32"/>
          <w:shd w:val="clear" w:color="auto" w:fill="FFFFFF"/>
        </w:rPr>
        <w:t>第三条</w:t>
      </w:r>
      <w:r>
        <w:rPr>
          <w:rFonts w:hint="eastAsia" w:ascii="仿宋" w:hAnsi="仿宋" w:eastAsia="仿宋" w:cs="仿宋"/>
          <w:kern w:val="0"/>
          <w:sz w:val="32"/>
          <w:szCs w:val="32"/>
          <w:shd w:val="clear" w:color="auto" w:fill="FFFFFF"/>
        </w:rPr>
        <w:t xml:space="preserve"> 立法科具体负责起草部门对行政规范性文件起草和制发程序存在问题的审前解答以及合法性审核工作。</w:t>
      </w:r>
    </w:p>
    <w:p w14:paraId="118D5B19">
      <w:pPr>
        <w:spacing w:line="560" w:lineRule="exact"/>
        <w:ind w:firstLine="643" w:firstLineChars="200"/>
        <w:rPr>
          <w:rFonts w:ascii="仿宋" w:hAnsi="仿宋" w:eastAsia="仿宋" w:cs="仿宋"/>
          <w:kern w:val="0"/>
          <w:sz w:val="32"/>
          <w:szCs w:val="32"/>
          <w:shd w:val="clear" w:color="auto" w:fill="FFFFFF"/>
        </w:rPr>
      </w:pPr>
      <w:r>
        <w:rPr>
          <w:rFonts w:hint="eastAsia" w:ascii="仿宋" w:hAnsi="仿宋" w:eastAsia="仿宋" w:cs="仿宋"/>
          <w:b/>
          <w:bCs/>
          <w:kern w:val="0"/>
          <w:sz w:val="32"/>
          <w:szCs w:val="32"/>
          <w:shd w:val="clear" w:color="auto" w:fill="FFFFFF"/>
        </w:rPr>
        <w:t>第四条</w:t>
      </w:r>
      <w:r>
        <w:rPr>
          <w:rFonts w:hint="eastAsia" w:ascii="仿宋" w:hAnsi="仿宋" w:eastAsia="仿宋" w:cs="仿宋"/>
          <w:kern w:val="0"/>
          <w:sz w:val="32"/>
          <w:szCs w:val="32"/>
          <w:shd w:val="clear" w:color="auto" w:fill="FFFFFF"/>
        </w:rPr>
        <w:t xml:space="preserve"> 办公室负责行政规范性文件收文及相关文件的传阅、转交等相关事宜。</w:t>
      </w:r>
    </w:p>
    <w:p w14:paraId="7238EADF">
      <w:pPr>
        <w:spacing w:line="560" w:lineRule="exact"/>
        <w:ind w:left="485" w:leftChars="231"/>
        <w:jc w:val="center"/>
        <w:rPr>
          <w:rFonts w:ascii="仿宋" w:hAnsi="仿宋" w:eastAsia="仿宋" w:cs="仿宋"/>
          <w:b/>
          <w:bCs/>
          <w:kern w:val="0"/>
          <w:sz w:val="32"/>
          <w:szCs w:val="32"/>
          <w:shd w:val="clear" w:color="auto" w:fill="FFFFFF"/>
        </w:rPr>
      </w:pPr>
      <w:r>
        <w:rPr>
          <w:rFonts w:hint="eastAsia" w:ascii="仿宋" w:hAnsi="仿宋" w:eastAsia="仿宋" w:cs="仿宋"/>
          <w:b/>
          <w:bCs/>
          <w:kern w:val="0"/>
          <w:sz w:val="32"/>
          <w:szCs w:val="32"/>
          <w:shd w:val="clear" w:color="auto" w:fill="FFFFFF"/>
        </w:rPr>
        <w:t>第二章  提前介入</w:t>
      </w:r>
    </w:p>
    <w:p w14:paraId="6F6F90CE">
      <w:pPr>
        <w:spacing w:line="560" w:lineRule="exact"/>
        <w:ind w:firstLine="643" w:firstLineChars="200"/>
        <w:rPr>
          <w:rFonts w:ascii="仿宋" w:hAnsi="仿宋" w:eastAsia="仿宋" w:cs="仿宋"/>
          <w:kern w:val="0"/>
          <w:sz w:val="32"/>
          <w:szCs w:val="32"/>
          <w:shd w:val="clear" w:color="auto" w:fill="FFFFFF"/>
        </w:rPr>
      </w:pPr>
      <w:r>
        <w:rPr>
          <w:rFonts w:hint="eastAsia" w:ascii="仿宋" w:hAnsi="仿宋" w:eastAsia="仿宋" w:cs="仿宋"/>
          <w:b/>
          <w:bCs/>
          <w:kern w:val="0"/>
          <w:sz w:val="32"/>
          <w:szCs w:val="32"/>
          <w:shd w:val="clear" w:color="auto" w:fill="FFFFFF"/>
        </w:rPr>
        <w:t>第五条</w:t>
      </w:r>
      <w:r>
        <w:rPr>
          <w:rFonts w:hint="eastAsia" w:ascii="仿宋" w:hAnsi="仿宋" w:eastAsia="仿宋" w:cs="仿宋"/>
          <w:kern w:val="0"/>
          <w:sz w:val="32"/>
          <w:szCs w:val="32"/>
          <w:shd w:val="clear" w:color="auto" w:fill="FFFFFF"/>
        </w:rPr>
        <w:t xml:space="preserve"> 立法科应当制作《行政规范性文件起草部门应当提交的相关材料》并后附材料样式，供起草部门及相关部门、单位借鉴参照。</w:t>
      </w:r>
    </w:p>
    <w:p w14:paraId="12516767">
      <w:pPr>
        <w:spacing w:line="560" w:lineRule="exact"/>
        <w:ind w:firstLine="643" w:firstLineChars="200"/>
        <w:rPr>
          <w:rFonts w:ascii="仿宋" w:hAnsi="仿宋" w:eastAsia="仿宋" w:cs="仿宋"/>
          <w:kern w:val="0"/>
          <w:sz w:val="32"/>
          <w:szCs w:val="32"/>
          <w:shd w:val="clear" w:color="auto" w:fill="FFFFFF"/>
        </w:rPr>
      </w:pPr>
      <w:r>
        <w:rPr>
          <w:rFonts w:hint="eastAsia" w:ascii="仿宋" w:hAnsi="仿宋" w:eastAsia="仿宋" w:cs="仿宋"/>
          <w:b/>
          <w:bCs/>
          <w:kern w:val="0"/>
          <w:sz w:val="32"/>
          <w:szCs w:val="32"/>
          <w:shd w:val="clear" w:color="auto" w:fill="FFFFFF"/>
        </w:rPr>
        <w:t xml:space="preserve">第六条 </w:t>
      </w:r>
      <w:r>
        <w:rPr>
          <w:rFonts w:hint="eastAsia" w:ascii="仿宋" w:hAnsi="仿宋" w:eastAsia="仿宋" w:cs="仿宋"/>
          <w:kern w:val="0"/>
          <w:sz w:val="32"/>
          <w:szCs w:val="32"/>
          <w:shd w:val="clear" w:color="auto" w:fill="FFFFFF"/>
        </w:rPr>
        <w:t>起草部门在行政规范性文件送审前，对该送审稿进行审前咨询的，立法科应当根据上级及本级政府有关规定积极予以解答。</w:t>
      </w:r>
    </w:p>
    <w:p w14:paraId="6CC649A6">
      <w:pPr>
        <w:spacing w:line="560" w:lineRule="exact"/>
        <w:ind w:firstLine="643" w:firstLineChars="200"/>
        <w:rPr>
          <w:rFonts w:ascii="仿宋" w:hAnsi="仿宋" w:eastAsia="仿宋" w:cs="仿宋"/>
          <w:kern w:val="0"/>
          <w:sz w:val="32"/>
          <w:szCs w:val="32"/>
          <w:shd w:val="clear" w:color="auto" w:fill="FFFFFF"/>
        </w:rPr>
      </w:pPr>
      <w:r>
        <w:rPr>
          <w:rFonts w:hint="eastAsia" w:ascii="仿宋" w:hAnsi="仿宋" w:eastAsia="仿宋" w:cs="仿宋"/>
          <w:b/>
          <w:bCs/>
          <w:kern w:val="0"/>
          <w:sz w:val="32"/>
          <w:szCs w:val="32"/>
          <w:shd w:val="clear" w:color="auto" w:fill="FFFFFF"/>
        </w:rPr>
        <w:t>第七条</w:t>
      </w:r>
      <w:r>
        <w:rPr>
          <w:rFonts w:hint="eastAsia" w:ascii="仿宋" w:hAnsi="仿宋" w:eastAsia="仿宋" w:cs="仿宋"/>
          <w:kern w:val="0"/>
          <w:sz w:val="32"/>
          <w:szCs w:val="32"/>
          <w:shd w:val="clear" w:color="auto" w:fill="FFFFFF"/>
        </w:rPr>
        <w:t xml:space="preserve"> 对于在起草部门审前咨询中可以确定该文件属于行政规范性文件的，告知其应当履行的法定程序及行政规范性文件制发的相关事宜。对于起草部门要求立法科提供文本样式的，可以向其提供《行政规范性文件起草部门应当提交的相关材料》供其参考。</w:t>
      </w:r>
    </w:p>
    <w:p w14:paraId="491FFC46">
      <w:pPr>
        <w:spacing w:line="56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对于不属于行政规范性文件的，应当及时告知。</w:t>
      </w:r>
    </w:p>
    <w:p w14:paraId="0DC6BE70">
      <w:pPr>
        <w:spacing w:line="56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对于无法确定该文件是否属于行政规范性文件或者该文件可能属于政府重大行政决策事项的，咨询解答人员应及时告知科室负责人，科室负责人应当根据上级及本级政府重大行政决策的有关规定积极予以解答。</w:t>
      </w:r>
    </w:p>
    <w:p w14:paraId="7C3589DA">
      <w:pPr>
        <w:spacing w:line="560" w:lineRule="exact"/>
        <w:jc w:val="center"/>
        <w:rPr>
          <w:rFonts w:ascii="仿宋" w:hAnsi="仿宋" w:eastAsia="仿宋" w:cs="仿宋"/>
          <w:b/>
          <w:bCs/>
          <w:kern w:val="0"/>
          <w:sz w:val="32"/>
          <w:szCs w:val="32"/>
          <w:shd w:val="clear" w:color="auto" w:fill="FFFFFF"/>
        </w:rPr>
      </w:pPr>
      <w:r>
        <w:rPr>
          <w:rFonts w:hint="eastAsia" w:ascii="仿宋" w:hAnsi="仿宋" w:eastAsia="仿宋" w:cs="仿宋"/>
          <w:b/>
          <w:bCs/>
          <w:kern w:val="0"/>
          <w:sz w:val="32"/>
          <w:szCs w:val="32"/>
          <w:shd w:val="clear" w:color="auto" w:fill="FFFFFF"/>
        </w:rPr>
        <w:t>第三章 签批送审</w:t>
      </w:r>
    </w:p>
    <w:p w14:paraId="2B73E12E">
      <w:pPr>
        <w:spacing w:line="560" w:lineRule="exact"/>
        <w:ind w:firstLine="639" w:firstLineChars="199"/>
        <w:rPr>
          <w:rFonts w:ascii="仿宋" w:hAnsi="仿宋" w:eastAsia="仿宋" w:cs="仿宋"/>
          <w:kern w:val="0"/>
          <w:sz w:val="32"/>
          <w:szCs w:val="32"/>
          <w:shd w:val="clear" w:color="auto" w:fill="FFFFFF"/>
        </w:rPr>
      </w:pPr>
      <w:r>
        <w:rPr>
          <w:rFonts w:hint="eastAsia" w:ascii="仿宋" w:hAnsi="仿宋" w:eastAsia="仿宋" w:cs="仿宋"/>
          <w:b/>
          <w:bCs/>
          <w:kern w:val="0"/>
          <w:sz w:val="32"/>
          <w:szCs w:val="32"/>
          <w:shd w:val="clear" w:color="auto" w:fill="FFFFFF"/>
        </w:rPr>
        <w:t>第八条</w:t>
      </w:r>
      <w:r>
        <w:rPr>
          <w:rFonts w:hint="eastAsia" w:ascii="仿宋" w:hAnsi="仿宋" w:eastAsia="仿宋" w:cs="仿宋"/>
          <w:kern w:val="0"/>
          <w:sz w:val="32"/>
          <w:szCs w:val="32"/>
          <w:shd w:val="clear" w:color="auto" w:fill="FFFFFF"/>
        </w:rPr>
        <w:t xml:space="preserve"> 对于起草部门未经政府办挂市政府收发文处理卡直接交由市司法局合法性审核的行政规范性文件送审稿，局办公室应当告知其应当送交市政府办提交相关领导审批后，方可送至市司法局进行合法性审核。</w:t>
      </w:r>
    </w:p>
    <w:p w14:paraId="6F971588">
      <w:pPr>
        <w:spacing w:line="56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局办公室收文后应当将送审稿及相关材料挂市司法局收文办理单。并分别交由局长阅示、分管领导阅办。</w:t>
      </w:r>
    </w:p>
    <w:p w14:paraId="125ABA1B">
      <w:pPr>
        <w:spacing w:line="56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立法科科室负责人收件后，应当确定具体审核人员，并交相关人员进行登记后，交由审核人员具体办理，审核人员的确定及具体审核结果均应在收文处理单上予以记录。</w:t>
      </w:r>
    </w:p>
    <w:p w14:paraId="51AE199C">
      <w:pPr>
        <w:spacing w:line="560" w:lineRule="exact"/>
        <w:ind w:firstLine="3036" w:firstLineChars="945"/>
        <w:rPr>
          <w:rFonts w:ascii="仿宋" w:hAnsi="仿宋" w:eastAsia="仿宋" w:cs="仿宋"/>
          <w:b/>
          <w:bCs/>
          <w:kern w:val="0"/>
          <w:sz w:val="32"/>
          <w:szCs w:val="32"/>
          <w:shd w:val="clear" w:color="auto" w:fill="FFFFFF"/>
        </w:rPr>
      </w:pPr>
      <w:r>
        <w:rPr>
          <w:rFonts w:hint="eastAsia" w:ascii="仿宋" w:hAnsi="仿宋" w:eastAsia="仿宋" w:cs="仿宋"/>
          <w:b/>
          <w:bCs/>
          <w:kern w:val="0"/>
          <w:sz w:val="32"/>
          <w:szCs w:val="32"/>
          <w:shd w:val="clear" w:color="auto" w:fill="FFFFFF"/>
        </w:rPr>
        <w:t>第四章  审  核</w:t>
      </w:r>
    </w:p>
    <w:p w14:paraId="7B271818">
      <w:pPr>
        <w:spacing w:line="560" w:lineRule="exact"/>
        <w:ind w:firstLine="643" w:firstLineChars="200"/>
        <w:rPr>
          <w:rFonts w:ascii="仿宋" w:hAnsi="仿宋" w:eastAsia="仿宋" w:cs="仿宋"/>
          <w:kern w:val="0"/>
          <w:sz w:val="32"/>
          <w:szCs w:val="32"/>
          <w:shd w:val="clear" w:color="auto" w:fill="FFFFFF"/>
        </w:rPr>
      </w:pPr>
      <w:r>
        <w:rPr>
          <w:rFonts w:hint="eastAsia" w:ascii="仿宋" w:hAnsi="仿宋" w:eastAsia="仿宋" w:cs="仿宋"/>
          <w:b/>
          <w:bCs/>
          <w:kern w:val="0"/>
          <w:sz w:val="32"/>
          <w:szCs w:val="32"/>
          <w:shd w:val="clear" w:color="auto" w:fill="FFFFFF"/>
        </w:rPr>
        <w:t xml:space="preserve">第九条 </w:t>
      </w:r>
      <w:r>
        <w:rPr>
          <w:rFonts w:hint="eastAsia" w:ascii="仿宋" w:hAnsi="仿宋" w:eastAsia="仿宋" w:cs="仿宋"/>
          <w:kern w:val="0"/>
          <w:sz w:val="32"/>
          <w:szCs w:val="32"/>
          <w:shd w:val="clear" w:color="auto" w:fill="FFFFFF"/>
        </w:rPr>
        <w:t>除为了预防、应对和处置突发事件，或者执行上级机关的紧急命令和决定需要立即制定实施规范性文件外，合法性审核时间应不少于5个工作日，一般最长不超过15个工作日（不包括补充材料、说明情况、公开听取意见和专家论证、风险评估所需的时间）。</w:t>
      </w:r>
    </w:p>
    <w:p w14:paraId="4962E0BE">
      <w:pPr>
        <w:spacing w:line="560" w:lineRule="exact"/>
        <w:ind w:firstLine="470" w:firstLineChars="147"/>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 xml:space="preserve">对属于政府重大行政决策事项的规范性文件送审稿的审核时限，按国家和省有关规定执行。  </w:t>
      </w:r>
    </w:p>
    <w:p w14:paraId="7E29DA59">
      <w:pPr>
        <w:spacing w:line="560" w:lineRule="exact"/>
        <w:ind w:firstLine="643" w:firstLineChars="200"/>
        <w:rPr>
          <w:rFonts w:ascii="仿宋" w:hAnsi="仿宋" w:eastAsia="仿宋" w:cs="仿宋"/>
          <w:kern w:val="0"/>
          <w:sz w:val="32"/>
          <w:szCs w:val="32"/>
          <w:shd w:val="clear" w:color="auto" w:fill="FFFFFF"/>
        </w:rPr>
      </w:pPr>
      <w:r>
        <w:rPr>
          <w:rFonts w:hint="eastAsia" w:ascii="仿宋" w:hAnsi="仿宋" w:eastAsia="仿宋" w:cs="仿宋"/>
          <w:b/>
          <w:bCs/>
          <w:kern w:val="0"/>
          <w:sz w:val="32"/>
          <w:szCs w:val="32"/>
          <w:shd w:val="clear" w:color="auto" w:fill="FFFFFF"/>
        </w:rPr>
        <w:t>第十条</w:t>
      </w:r>
      <w:r>
        <w:rPr>
          <w:rFonts w:hint="eastAsia" w:ascii="仿宋" w:hAnsi="仿宋" w:eastAsia="仿宋" w:cs="仿宋"/>
          <w:kern w:val="0"/>
          <w:sz w:val="32"/>
          <w:szCs w:val="32"/>
          <w:shd w:val="clear" w:color="auto" w:fill="FFFFFF"/>
        </w:rPr>
        <w:t xml:space="preserve"> 市司法局开展合法性审核工作实行四审负责制。分别是具体审核人员完成初审、科室负责人负责复审、主管领导负责核定、局长负责审定。</w:t>
      </w:r>
    </w:p>
    <w:p w14:paraId="13FCABFA">
      <w:pPr>
        <w:spacing w:line="560" w:lineRule="exact"/>
        <w:ind w:firstLine="643" w:firstLineChars="200"/>
        <w:rPr>
          <w:rFonts w:ascii="仿宋" w:hAnsi="仿宋" w:eastAsia="仿宋" w:cs="仿宋"/>
          <w:kern w:val="0"/>
          <w:sz w:val="32"/>
          <w:szCs w:val="32"/>
          <w:shd w:val="clear" w:color="auto" w:fill="FFFFFF"/>
        </w:rPr>
      </w:pPr>
      <w:r>
        <w:rPr>
          <w:rFonts w:hint="eastAsia" w:ascii="仿宋" w:hAnsi="仿宋" w:eastAsia="仿宋" w:cs="仿宋"/>
          <w:b/>
          <w:bCs/>
          <w:kern w:val="0"/>
          <w:sz w:val="32"/>
          <w:szCs w:val="32"/>
          <w:shd w:val="clear" w:color="auto" w:fill="FFFFFF"/>
        </w:rPr>
        <w:t>第十一条</w:t>
      </w:r>
      <w:r>
        <w:rPr>
          <w:rFonts w:hint="eastAsia" w:ascii="仿宋" w:hAnsi="仿宋" w:eastAsia="仿宋" w:cs="仿宋"/>
          <w:kern w:val="0"/>
          <w:sz w:val="32"/>
          <w:szCs w:val="32"/>
          <w:shd w:val="clear" w:color="auto" w:fill="FFFFFF"/>
        </w:rPr>
        <w:t xml:space="preserve"> 具体审核人员接到由科室负责人批转的行政规范性文件送审稿，应当依据《白城市人民政府办公室关于进一步做好行政规范性文件合法性审核工作的通知》的第五条规定对送审稿材料的完备性、规范性进行初步审核。符合要求的对送审稿内容进行审核；不符合要求的，要求起草部门在3个工作日内补齐材料或说明情况，起草部门在规定时间内未补齐材料或说明情况的，不予审核，并及时向市政府递交情况说明。</w:t>
      </w:r>
    </w:p>
    <w:p w14:paraId="19DC2821">
      <w:pPr>
        <w:spacing w:line="560" w:lineRule="exact"/>
        <w:ind w:firstLine="643" w:firstLineChars="200"/>
        <w:rPr>
          <w:rFonts w:ascii="仿宋" w:hAnsi="仿宋" w:eastAsia="仿宋" w:cs="仿宋"/>
          <w:kern w:val="0"/>
          <w:sz w:val="32"/>
          <w:szCs w:val="32"/>
          <w:shd w:val="clear" w:color="auto" w:fill="FFFFFF"/>
        </w:rPr>
      </w:pPr>
      <w:r>
        <w:rPr>
          <w:rFonts w:hint="eastAsia" w:ascii="仿宋" w:hAnsi="仿宋" w:eastAsia="仿宋" w:cs="仿宋"/>
          <w:b/>
          <w:bCs/>
          <w:kern w:val="0"/>
          <w:sz w:val="32"/>
          <w:szCs w:val="32"/>
          <w:shd w:val="clear" w:color="auto" w:fill="FFFFFF"/>
        </w:rPr>
        <w:t xml:space="preserve">第十二条 </w:t>
      </w:r>
      <w:r>
        <w:rPr>
          <w:rFonts w:hint="eastAsia" w:ascii="仿宋" w:hAnsi="仿宋" w:eastAsia="仿宋" w:cs="仿宋"/>
          <w:kern w:val="0"/>
          <w:sz w:val="32"/>
          <w:szCs w:val="32"/>
          <w:shd w:val="clear" w:color="auto" w:fill="FFFFFF"/>
        </w:rPr>
        <w:t>具体审核人员认为起草部门送审稿材料完备、形式规范的，应当依据《白城市人民政府办公室关于进一步做好行政规范性文件合法性审核工作的通知》第六条的规定对送审稿的合法性、合理性进行实质审核。</w:t>
      </w:r>
    </w:p>
    <w:p w14:paraId="2684C439">
      <w:pPr>
        <w:spacing w:line="56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具体审核人员经过审核后，根据不同情形提出合法、不合法、应予修改或者应当补充有关程序的意见。特殊情况下，对起草部门未完全采纳审核意见的，应当在向市政府递交的书面审核报告中予以说明。</w:t>
      </w:r>
    </w:p>
    <w:p w14:paraId="4EEB8837">
      <w:pPr>
        <w:spacing w:line="560" w:lineRule="exact"/>
        <w:ind w:firstLine="643" w:firstLineChars="200"/>
        <w:rPr>
          <w:rFonts w:ascii="仿宋" w:hAnsi="仿宋" w:eastAsia="仿宋" w:cs="仿宋"/>
          <w:kern w:val="0"/>
          <w:sz w:val="32"/>
          <w:szCs w:val="32"/>
          <w:shd w:val="clear" w:color="auto" w:fill="FFFFFF"/>
        </w:rPr>
      </w:pPr>
      <w:r>
        <w:rPr>
          <w:rFonts w:hint="eastAsia" w:ascii="仿宋" w:hAnsi="仿宋" w:eastAsia="仿宋" w:cs="仿宋"/>
          <w:b/>
          <w:bCs/>
          <w:kern w:val="0"/>
          <w:sz w:val="32"/>
          <w:szCs w:val="32"/>
          <w:shd w:val="clear" w:color="auto" w:fill="FFFFFF"/>
        </w:rPr>
        <w:t>第十三条</w:t>
      </w:r>
      <w:r>
        <w:rPr>
          <w:rFonts w:hint="eastAsia" w:ascii="仿宋" w:hAnsi="仿宋" w:eastAsia="仿宋" w:cs="仿宋"/>
          <w:kern w:val="0"/>
          <w:sz w:val="32"/>
          <w:szCs w:val="32"/>
          <w:shd w:val="clear" w:color="auto" w:fill="FFFFFF"/>
        </w:rPr>
        <w:t xml:space="preserve"> 具体审核人员形成书面审核报告后，应当将相关材料及书面审核报告一并报送至科室负责人进行复审，科室负责人认为审核意见不准确或者需要修改的，应当予以修改、完善；认为审核意见准确无误的，签名后提交主管领导进行核定。</w:t>
      </w:r>
    </w:p>
    <w:p w14:paraId="58884C8F">
      <w:pPr>
        <w:spacing w:line="56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主管领导审查后，认为报送的送审稿、相关材料或者审核意见不准确需要修改的，应当予以修改完善；认为审核意见准确无误的，签名提交局长审定。</w:t>
      </w:r>
    </w:p>
    <w:p w14:paraId="6DBA2146">
      <w:pPr>
        <w:spacing w:line="56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送审稿经局长审定后签名，方可形成我局向市政府递交的正式审核报告。</w:t>
      </w:r>
    </w:p>
    <w:p w14:paraId="28586570">
      <w:pPr>
        <w:spacing w:line="560" w:lineRule="exact"/>
        <w:ind w:firstLine="643" w:firstLineChars="200"/>
        <w:rPr>
          <w:rFonts w:ascii="仿宋" w:hAnsi="仿宋" w:eastAsia="仿宋" w:cs="仿宋"/>
          <w:kern w:val="0"/>
          <w:sz w:val="32"/>
          <w:szCs w:val="32"/>
          <w:shd w:val="clear" w:color="auto" w:fill="FFFFFF"/>
        </w:rPr>
      </w:pPr>
      <w:r>
        <w:rPr>
          <w:rFonts w:hint="eastAsia" w:ascii="仿宋" w:hAnsi="仿宋" w:eastAsia="仿宋" w:cs="仿宋"/>
          <w:b/>
          <w:bCs/>
          <w:kern w:val="0"/>
          <w:sz w:val="32"/>
          <w:szCs w:val="32"/>
          <w:shd w:val="clear" w:color="auto" w:fill="FFFFFF"/>
        </w:rPr>
        <w:t xml:space="preserve">第十四条 </w:t>
      </w:r>
      <w:r>
        <w:rPr>
          <w:rFonts w:hint="eastAsia" w:ascii="仿宋" w:hAnsi="仿宋" w:eastAsia="仿宋" w:cs="仿宋"/>
          <w:kern w:val="0"/>
          <w:sz w:val="32"/>
          <w:szCs w:val="32"/>
          <w:shd w:val="clear" w:color="auto" w:fill="FFFFFF"/>
        </w:rPr>
        <w:t>审核人员将经过审核、修改后最终定稿的书面送审稿每页签名后交由起草部门相关人员，由其将送审稿每页文字上加盖公章，对最终审核定稿的文件予以确定后，送交市司法局审核人员留存归档备查。</w:t>
      </w:r>
    </w:p>
    <w:p w14:paraId="587E2A78">
      <w:pPr>
        <w:spacing w:line="560" w:lineRule="exact"/>
        <w:ind w:firstLine="643" w:firstLineChars="200"/>
        <w:rPr>
          <w:rFonts w:ascii="仿宋" w:hAnsi="仿宋" w:eastAsia="仿宋" w:cs="仿宋"/>
          <w:kern w:val="0"/>
          <w:sz w:val="32"/>
          <w:szCs w:val="32"/>
          <w:shd w:val="clear" w:color="auto" w:fill="FFFFFF"/>
        </w:rPr>
      </w:pPr>
      <w:r>
        <w:rPr>
          <w:rFonts w:hint="eastAsia" w:ascii="仿宋" w:hAnsi="仿宋" w:eastAsia="仿宋" w:cs="仿宋"/>
          <w:b/>
          <w:bCs/>
          <w:kern w:val="0"/>
          <w:sz w:val="32"/>
          <w:szCs w:val="32"/>
          <w:shd w:val="clear" w:color="auto" w:fill="FFFFFF"/>
        </w:rPr>
        <w:t>第十五条</w:t>
      </w:r>
      <w:r>
        <w:rPr>
          <w:rFonts w:hint="eastAsia" w:ascii="仿宋" w:hAnsi="仿宋" w:eastAsia="仿宋" w:cs="仿宋"/>
          <w:kern w:val="0"/>
          <w:sz w:val="32"/>
          <w:szCs w:val="32"/>
          <w:shd w:val="clear" w:color="auto" w:fill="FFFFFF"/>
        </w:rPr>
        <w:t xml:space="preserve"> 收到起草部门每页加盖公章的送审稿后，审核人员方可向其出具书面审核报告。立法科应当对起草部门收到书面审核报告的日期予以记录，并由起草部门取件人员签名。</w:t>
      </w:r>
    </w:p>
    <w:p w14:paraId="4331A94F">
      <w:pPr>
        <w:spacing w:line="560" w:lineRule="exact"/>
        <w:ind w:firstLine="643" w:firstLineChars="200"/>
        <w:rPr>
          <w:rFonts w:ascii="仿宋" w:hAnsi="仿宋" w:eastAsia="仿宋" w:cs="仿宋"/>
          <w:kern w:val="0"/>
          <w:sz w:val="32"/>
          <w:szCs w:val="32"/>
          <w:shd w:val="clear" w:color="auto" w:fill="FFFFFF"/>
        </w:rPr>
      </w:pPr>
      <w:r>
        <w:rPr>
          <w:rFonts w:hint="eastAsia" w:ascii="仿宋" w:hAnsi="仿宋" w:eastAsia="仿宋" w:cs="仿宋"/>
          <w:b/>
          <w:bCs/>
          <w:kern w:val="0"/>
          <w:sz w:val="32"/>
          <w:szCs w:val="32"/>
          <w:shd w:val="clear" w:color="auto" w:fill="FFFFFF"/>
        </w:rPr>
        <w:t>第十六条</w:t>
      </w:r>
      <w:r>
        <w:rPr>
          <w:rFonts w:hint="eastAsia" w:ascii="仿宋" w:hAnsi="仿宋" w:eastAsia="仿宋" w:cs="仿宋"/>
          <w:kern w:val="0"/>
          <w:sz w:val="32"/>
          <w:szCs w:val="32"/>
          <w:shd w:val="clear" w:color="auto" w:fill="FFFFFF"/>
        </w:rPr>
        <w:t xml:space="preserve"> 具体审核人应当在政府收发文处理卡上记录审核完成结果，并签名后与书面审核报告一并送至政府办，也可由起草部门代为转交，同时做好转交记录。</w:t>
      </w:r>
    </w:p>
    <w:p w14:paraId="7DF2CEEA">
      <w:pPr>
        <w:spacing w:line="560" w:lineRule="exact"/>
        <w:ind w:firstLine="640" w:firstLineChars="200"/>
        <w:rPr>
          <w:rFonts w:ascii="仿宋" w:hAnsi="仿宋" w:eastAsia="仿宋" w:cs="仿宋"/>
          <w:kern w:val="0"/>
          <w:sz w:val="32"/>
          <w:szCs w:val="32"/>
          <w:shd w:val="clear" w:color="auto" w:fill="FFFFFF"/>
        </w:rPr>
      </w:pPr>
      <w:r>
        <w:rPr>
          <w:rFonts w:hint="eastAsia" w:ascii="仿宋" w:hAnsi="仿宋" w:eastAsia="仿宋" w:cs="仿宋"/>
          <w:kern w:val="0"/>
          <w:sz w:val="32"/>
          <w:szCs w:val="32"/>
          <w:shd w:val="clear" w:color="auto" w:fill="FFFFFF"/>
        </w:rPr>
        <w:t>具体审核人员应当在局收发文处理单上记录具体承办结果并签名后，将局收发文处理单送交局办公室归档留存。</w:t>
      </w:r>
    </w:p>
    <w:p w14:paraId="54AC2DB9">
      <w:pPr>
        <w:spacing w:line="560" w:lineRule="exact"/>
        <w:ind w:firstLine="643" w:firstLineChars="200"/>
        <w:rPr>
          <w:rFonts w:ascii="仿宋" w:hAnsi="仿宋" w:eastAsia="仿宋" w:cs="仿宋"/>
          <w:kern w:val="0"/>
          <w:sz w:val="32"/>
          <w:szCs w:val="32"/>
          <w:shd w:val="clear" w:color="auto" w:fill="FFFFFF"/>
        </w:rPr>
      </w:pPr>
      <w:r>
        <w:rPr>
          <w:rFonts w:hint="eastAsia" w:ascii="仿宋" w:hAnsi="仿宋" w:eastAsia="仿宋" w:cs="仿宋"/>
          <w:b/>
          <w:kern w:val="0"/>
          <w:sz w:val="32"/>
          <w:szCs w:val="32"/>
          <w:shd w:val="clear" w:color="auto" w:fill="FFFFFF"/>
        </w:rPr>
        <w:t xml:space="preserve">第十七条 </w:t>
      </w:r>
      <w:r>
        <w:rPr>
          <w:rFonts w:hint="eastAsia" w:ascii="仿宋" w:hAnsi="仿宋" w:eastAsia="仿宋" w:cs="仿宋"/>
          <w:kern w:val="0"/>
          <w:sz w:val="32"/>
          <w:szCs w:val="32"/>
          <w:shd w:val="clear" w:color="auto" w:fill="FFFFFF"/>
        </w:rPr>
        <w:t>具体审核人员审核完毕后，应当按照《白城市司法局规范性文件卷宗管理规定》的有关规定，将审核相关材料送交科室档案管理人员归档立卷。</w:t>
      </w:r>
    </w:p>
    <w:p w14:paraId="30877F4A">
      <w:pPr>
        <w:spacing w:line="560" w:lineRule="exact"/>
        <w:jc w:val="center"/>
        <w:rPr>
          <w:rFonts w:ascii="仿宋" w:hAnsi="仿宋" w:eastAsia="仿宋" w:cs="仿宋"/>
          <w:b/>
          <w:bCs/>
          <w:kern w:val="0"/>
          <w:sz w:val="32"/>
          <w:szCs w:val="32"/>
          <w:shd w:val="clear" w:color="auto" w:fill="FFFFFF"/>
        </w:rPr>
      </w:pPr>
      <w:r>
        <w:rPr>
          <w:rFonts w:hint="eastAsia" w:ascii="仿宋" w:hAnsi="仿宋" w:eastAsia="仿宋" w:cs="仿宋"/>
          <w:b/>
          <w:bCs/>
          <w:kern w:val="0"/>
          <w:sz w:val="32"/>
          <w:szCs w:val="32"/>
          <w:shd w:val="clear" w:color="auto" w:fill="FFFFFF"/>
        </w:rPr>
        <w:t>第四章  备  案</w:t>
      </w:r>
    </w:p>
    <w:p w14:paraId="19F47F45">
      <w:pPr>
        <w:spacing w:line="560" w:lineRule="exact"/>
        <w:ind w:firstLine="643" w:firstLineChars="200"/>
        <w:rPr>
          <w:rFonts w:ascii="仿宋" w:hAnsi="仿宋" w:eastAsia="仿宋" w:cs="仿宋"/>
          <w:kern w:val="0"/>
          <w:sz w:val="32"/>
          <w:szCs w:val="32"/>
          <w:shd w:val="clear" w:color="auto" w:fill="FFFFFF"/>
        </w:rPr>
      </w:pPr>
      <w:r>
        <w:rPr>
          <w:rFonts w:hint="eastAsia" w:ascii="仿宋" w:hAnsi="仿宋" w:eastAsia="仿宋" w:cs="仿宋"/>
          <w:b/>
          <w:bCs/>
          <w:kern w:val="0"/>
          <w:sz w:val="32"/>
          <w:szCs w:val="32"/>
          <w:shd w:val="clear" w:color="auto" w:fill="FFFFFF"/>
        </w:rPr>
        <w:t>第十七条</w:t>
      </w:r>
      <w:r>
        <w:rPr>
          <w:rFonts w:hint="eastAsia" w:ascii="仿宋" w:hAnsi="仿宋" w:eastAsia="仿宋" w:cs="仿宋"/>
          <w:kern w:val="0"/>
          <w:sz w:val="32"/>
          <w:szCs w:val="32"/>
          <w:shd w:val="clear" w:color="auto" w:fill="FFFFFF"/>
        </w:rPr>
        <w:t xml:space="preserve"> 立法科负责备案的工作人员应随时关注市政府网站发文动态，发现经合法性审核的行政规范性文件公布后，应当自发布之日起15日内，按有关规定向吉林省人民政府及白城市人大报送备案。</w:t>
      </w:r>
    </w:p>
    <w:p w14:paraId="696FD014">
      <w:pPr>
        <w:spacing w:line="560" w:lineRule="exact"/>
        <w:ind w:firstLine="640"/>
        <w:rPr>
          <w:rFonts w:ascii="仿宋" w:hAnsi="仿宋" w:eastAsia="仿宋" w:cs="仿宋"/>
          <w:kern w:val="0"/>
          <w:sz w:val="32"/>
          <w:szCs w:val="32"/>
          <w:shd w:val="clear" w:color="auto" w:fill="FFFFFF"/>
        </w:rPr>
      </w:pPr>
      <w:r>
        <w:rPr>
          <w:rFonts w:hint="eastAsia" w:ascii="仿宋" w:hAnsi="仿宋" w:eastAsia="仿宋" w:cs="仿宋"/>
          <w:b/>
          <w:bCs/>
          <w:kern w:val="0"/>
          <w:sz w:val="32"/>
          <w:szCs w:val="32"/>
          <w:shd w:val="clear" w:color="auto" w:fill="FFFFFF"/>
        </w:rPr>
        <w:t>第十八条</w:t>
      </w:r>
      <w:r>
        <w:rPr>
          <w:rFonts w:hint="eastAsia" w:ascii="仿宋" w:hAnsi="仿宋" w:eastAsia="仿宋" w:cs="仿宋"/>
          <w:kern w:val="0"/>
          <w:sz w:val="32"/>
          <w:szCs w:val="32"/>
          <w:shd w:val="clear" w:color="auto" w:fill="FFFFFF"/>
        </w:rPr>
        <w:t xml:space="preserve"> 行政规范性文件报送备案，应当提交备案报告、规范性文件文本和说明。</w:t>
      </w:r>
    </w:p>
    <w:p w14:paraId="5390B84C">
      <w:pPr>
        <w:spacing w:line="560" w:lineRule="exact"/>
        <w:jc w:val="center"/>
        <w:rPr>
          <w:rFonts w:ascii="仿宋" w:hAnsi="仿宋" w:eastAsia="仿宋" w:cs="仿宋"/>
          <w:b/>
          <w:bCs/>
          <w:kern w:val="0"/>
          <w:sz w:val="32"/>
          <w:szCs w:val="32"/>
          <w:shd w:val="clear" w:color="auto" w:fill="FFFFFF"/>
        </w:rPr>
      </w:pPr>
      <w:r>
        <w:rPr>
          <w:rFonts w:hint="eastAsia" w:ascii="仿宋" w:hAnsi="仿宋" w:eastAsia="仿宋" w:cs="仿宋"/>
          <w:b/>
          <w:bCs/>
          <w:kern w:val="0"/>
          <w:sz w:val="32"/>
          <w:szCs w:val="32"/>
          <w:shd w:val="clear" w:color="auto" w:fill="FFFFFF"/>
        </w:rPr>
        <w:t>第五章  附 则</w:t>
      </w:r>
    </w:p>
    <w:p w14:paraId="667AE548">
      <w:pPr>
        <w:spacing w:line="560" w:lineRule="exact"/>
        <w:ind w:firstLine="643" w:firstLineChars="200"/>
        <w:rPr>
          <w:rFonts w:ascii="仿宋" w:hAnsi="仿宋" w:eastAsia="仿宋" w:cs="仿宋"/>
          <w:kern w:val="0"/>
          <w:sz w:val="32"/>
          <w:szCs w:val="32"/>
          <w:shd w:val="clear" w:color="auto" w:fill="FFFFFF"/>
        </w:rPr>
      </w:pPr>
      <w:r>
        <w:rPr>
          <w:rFonts w:hint="eastAsia" w:ascii="仿宋" w:hAnsi="仿宋" w:eastAsia="仿宋" w:cs="仿宋"/>
          <w:b/>
          <w:bCs/>
          <w:kern w:val="0"/>
          <w:sz w:val="32"/>
          <w:szCs w:val="32"/>
          <w:shd w:val="clear" w:color="auto" w:fill="FFFFFF"/>
        </w:rPr>
        <w:t>第十九条</w:t>
      </w:r>
      <w:r>
        <w:rPr>
          <w:rFonts w:hint="eastAsia" w:ascii="仿宋" w:hAnsi="仿宋" w:eastAsia="仿宋" w:cs="仿宋"/>
          <w:kern w:val="0"/>
          <w:sz w:val="32"/>
          <w:szCs w:val="32"/>
          <w:shd w:val="clear" w:color="auto" w:fill="FFFFFF"/>
        </w:rPr>
        <w:t xml:space="preserve"> 本规范未尽事宜与国家、省、市出台（修改）的有关规定相抵触的，按国家和省有关规定执行。</w:t>
      </w:r>
    </w:p>
    <w:p w14:paraId="4FC5F33E">
      <w:pPr>
        <w:spacing w:line="560" w:lineRule="exact"/>
        <w:ind w:firstLine="643" w:firstLineChars="200"/>
        <w:rPr>
          <w:rFonts w:ascii="仿宋" w:hAnsi="仿宋" w:eastAsia="仿宋" w:cs="仿宋"/>
          <w:kern w:val="0"/>
          <w:sz w:val="32"/>
          <w:szCs w:val="32"/>
          <w:shd w:val="clear" w:color="auto" w:fill="FFFFFF"/>
        </w:rPr>
      </w:pPr>
      <w:r>
        <w:rPr>
          <w:rFonts w:hint="eastAsia" w:ascii="仿宋" w:hAnsi="仿宋" w:eastAsia="仿宋" w:cs="仿宋"/>
          <w:b/>
          <w:bCs/>
          <w:kern w:val="0"/>
          <w:sz w:val="32"/>
          <w:szCs w:val="32"/>
          <w:shd w:val="clear" w:color="auto" w:fill="FFFFFF"/>
        </w:rPr>
        <w:t>第二十条</w:t>
      </w:r>
      <w:r>
        <w:rPr>
          <w:rFonts w:hint="eastAsia" w:ascii="仿宋" w:hAnsi="仿宋" w:eastAsia="仿宋" w:cs="仿宋"/>
          <w:kern w:val="0"/>
          <w:sz w:val="32"/>
          <w:szCs w:val="32"/>
          <w:shd w:val="clear" w:color="auto" w:fill="FFFFFF"/>
        </w:rPr>
        <w:t xml:space="preserve"> 本规范解释工作由市司法局立法科负责。</w:t>
      </w:r>
    </w:p>
    <w:p w14:paraId="555A338D">
      <w:pPr>
        <w:spacing w:line="560" w:lineRule="exact"/>
        <w:ind w:firstLine="643" w:firstLineChars="200"/>
        <w:rPr>
          <w:rFonts w:ascii="仿宋" w:hAnsi="仿宋" w:eastAsia="仿宋" w:cs="仿宋"/>
          <w:kern w:val="0"/>
          <w:sz w:val="32"/>
          <w:szCs w:val="32"/>
          <w:shd w:val="clear" w:color="auto" w:fill="FFFFFF"/>
        </w:rPr>
      </w:pPr>
      <w:r>
        <w:rPr>
          <w:rFonts w:hint="eastAsia" w:ascii="仿宋" w:hAnsi="仿宋" w:eastAsia="仿宋" w:cs="仿宋"/>
          <w:b/>
          <w:bCs/>
          <w:kern w:val="0"/>
          <w:sz w:val="32"/>
          <w:szCs w:val="32"/>
          <w:shd w:val="clear" w:color="auto" w:fill="FFFFFF"/>
        </w:rPr>
        <w:t>第二十一条</w:t>
      </w:r>
      <w:r>
        <w:rPr>
          <w:rFonts w:hint="eastAsia" w:ascii="仿宋" w:hAnsi="仿宋" w:eastAsia="仿宋" w:cs="仿宋"/>
          <w:kern w:val="0"/>
          <w:sz w:val="32"/>
          <w:szCs w:val="32"/>
          <w:shd w:val="clear" w:color="auto" w:fill="FFFFFF"/>
        </w:rPr>
        <w:t xml:space="preserve"> 本规定自公布之日起施行。</w:t>
      </w:r>
    </w:p>
    <w:p w14:paraId="1D7BBAC7">
      <w:r>
        <w:br w:type="page"/>
      </w:r>
    </w:p>
    <w:p w14:paraId="6A10E372">
      <w:pPr>
        <w:rPr>
          <w:rFonts w:ascii="方正小标宋_GBK" w:hAnsi="方正小标宋_GBK" w:eastAsia="方正小标宋_GBK" w:cs="方正小标宋_GBK"/>
          <w:bCs/>
          <w:color w:val="000000"/>
          <w:kern w:val="0"/>
          <w:sz w:val="44"/>
          <w:szCs w:val="44"/>
          <w:lang w:val="zh-CN"/>
        </w:rPr>
      </w:pPr>
      <w:r>
        <w:rPr>
          <w:rFonts w:hint="eastAsia" w:ascii="方正小标宋_GBK" w:hAnsi="方正小标宋_GBK" w:eastAsia="方正小标宋_GBK" w:cs="方正小标宋_GBK"/>
          <w:bCs/>
          <w:color w:val="000000"/>
          <w:kern w:val="0"/>
          <w:sz w:val="44"/>
          <w:szCs w:val="44"/>
          <w:lang w:val="zh-CN"/>
        </w:rPr>
        <w:t xml:space="preserve">       白城市司法局行政复议立案制度</w:t>
      </w:r>
    </w:p>
    <w:p w14:paraId="5ECF6C89">
      <w:pPr>
        <w:autoSpaceDE w:val="0"/>
        <w:autoSpaceDN w:val="0"/>
        <w:adjustRightInd w:val="0"/>
        <w:spacing w:line="560" w:lineRule="exact"/>
        <w:ind w:firstLine="2615" w:firstLineChars="592"/>
        <w:rPr>
          <w:rFonts w:ascii="宋体" w:hAnsi="宋体" w:cs="宋体"/>
          <w:b/>
          <w:color w:val="000000"/>
          <w:kern w:val="0"/>
          <w:sz w:val="44"/>
          <w:szCs w:val="44"/>
          <w:lang w:val="zh-CN"/>
        </w:rPr>
      </w:pPr>
    </w:p>
    <w:p w14:paraId="67196E6B">
      <w:pPr>
        <w:autoSpaceDE w:val="0"/>
        <w:autoSpaceDN w:val="0"/>
        <w:adjustRightInd w:val="0"/>
        <w:spacing w:line="560" w:lineRule="exact"/>
        <w:ind w:firstLine="723" w:firstLineChars="225"/>
        <w:rPr>
          <w:rFonts w:ascii="仿宋" w:hAnsi="仿宋" w:eastAsia="仿宋" w:cs="仿宋"/>
          <w:color w:val="000000"/>
          <w:kern w:val="0"/>
          <w:sz w:val="32"/>
          <w:szCs w:val="32"/>
          <w:lang w:val="zh-CN"/>
        </w:rPr>
      </w:pPr>
      <w:r>
        <w:rPr>
          <w:rFonts w:hint="eastAsia" w:ascii="仿宋" w:hAnsi="仿宋" w:eastAsia="仿宋" w:cs="仿宋"/>
          <w:b/>
          <w:bCs/>
          <w:color w:val="000000"/>
          <w:kern w:val="0"/>
          <w:sz w:val="32"/>
          <w:szCs w:val="32"/>
        </w:rPr>
        <w:t>第一条</w:t>
      </w: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zh-CN"/>
        </w:rPr>
        <w:t>对符合受理条件的，应当在收到行政复议申请五日内审查完毕，填写《行政复议立案审批表》，由科室负责人提出办理意见后，由本办分管领导和主要领导逐级审批。</w:t>
      </w:r>
    </w:p>
    <w:p w14:paraId="73D0736F">
      <w:pPr>
        <w:autoSpaceDE w:val="0"/>
        <w:autoSpaceDN w:val="0"/>
        <w:adjustRightInd w:val="0"/>
        <w:spacing w:line="560" w:lineRule="exact"/>
        <w:ind w:firstLine="723" w:firstLineChars="225"/>
        <w:rPr>
          <w:rFonts w:ascii="仿宋" w:hAnsi="仿宋" w:eastAsia="仿宋" w:cs="仿宋"/>
          <w:color w:val="000000"/>
          <w:kern w:val="0"/>
          <w:sz w:val="32"/>
          <w:szCs w:val="32"/>
          <w:lang w:val="zh-CN"/>
        </w:rPr>
      </w:pPr>
      <w:r>
        <w:rPr>
          <w:rFonts w:hint="eastAsia" w:ascii="仿宋" w:hAnsi="仿宋" w:eastAsia="仿宋" w:cs="仿宋"/>
          <w:b/>
          <w:bCs/>
          <w:color w:val="000000"/>
          <w:kern w:val="0"/>
          <w:sz w:val="32"/>
          <w:szCs w:val="32"/>
        </w:rPr>
        <w:t>第二条</w:t>
      </w: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zh-CN"/>
        </w:rPr>
        <w:t>对不予受理的行政复议案件，应当在收到复议申请五日内，将《不予受理决定书》送达申请人；对符合行政复议法规定，但不属于本机关受理的复议申请，应当在收到复议申请五日内告知申请人向有受理权限的复议机关提出。</w:t>
      </w:r>
    </w:p>
    <w:p w14:paraId="65F80B3D">
      <w:pPr>
        <w:spacing w:line="560" w:lineRule="exact"/>
        <w:ind w:firstLine="643" w:firstLineChars="200"/>
        <w:rPr>
          <w:rFonts w:ascii="仿宋" w:hAnsi="仿宋" w:eastAsia="仿宋" w:cs="仿宋"/>
          <w:color w:val="000000"/>
          <w:kern w:val="0"/>
          <w:sz w:val="32"/>
          <w:szCs w:val="32"/>
          <w:lang w:val="zh-CN"/>
        </w:rPr>
      </w:pPr>
      <w:r>
        <w:rPr>
          <w:rFonts w:hint="eastAsia" w:ascii="仿宋" w:hAnsi="仿宋" w:eastAsia="仿宋" w:cs="仿宋"/>
          <w:b/>
          <w:bCs/>
          <w:color w:val="000000"/>
          <w:kern w:val="0"/>
          <w:sz w:val="32"/>
          <w:szCs w:val="32"/>
        </w:rPr>
        <w:t>第三条</w:t>
      </w: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zh-CN"/>
        </w:rPr>
        <w:t>办案人对受理的行政复议案件，应当在受理之日起七日内，将《行政复议申请受理通知书》、《行政复议申请书》副本（行政复议申请笔录复印件）以及《提出答复通知书》和《参加行政复议通知书》分别送达申请人、被申请人和第三人。</w:t>
      </w:r>
    </w:p>
    <w:p w14:paraId="585CD091">
      <w:pPr>
        <w:spacing w:line="560" w:lineRule="exact"/>
        <w:ind w:firstLine="643" w:firstLineChars="200"/>
        <w:rPr>
          <w:rFonts w:ascii="仿宋" w:hAnsi="仿宋" w:eastAsia="仿宋" w:cs="仿宋"/>
          <w:color w:val="000000"/>
          <w:kern w:val="0"/>
          <w:sz w:val="32"/>
          <w:szCs w:val="32"/>
          <w:lang w:val="zh-CN"/>
        </w:rPr>
      </w:pPr>
      <w:r>
        <w:rPr>
          <w:rFonts w:hint="eastAsia" w:ascii="仿宋" w:hAnsi="仿宋" w:eastAsia="仿宋" w:cs="仿宋"/>
          <w:b/>
          <w:bCs/>
          <w:color w:val="000000"/>
          <w:kern w:val="0"/>
          <w:sz w:val="32"/>
          <w:szCs w:val="32"/>
          <w:lang w:val="zh-CN"/>
        </w:rPr>
        <w:t>第</w:t>
      </w:r>
      <w:r>
        <w:rPr>
          <w:rFonts w:hint="eastAsia" w:ascii="仿宋" w:hAnsi="仿宋" w:eastAsia="仿宋" w:cs="仿宋"/>
          <w:b/>
          <w:bCs/>
          <w:color w:val="000000"/>
          <w:kern w:val="0"/>
          <w:sz w:val="32"/>
          <w:szCs w:val="32"/>
        </w:rPr>
        <w:t>四</w:t>
      </w:r>
      <w:r>
        <w:rPr>
          <w:rFonts w:hint="eastAsia" w:ascii="仿宋" w:hAnsi="仿宋" w:eastAsia="仿宋" w:cs="仿宋"/>
          <w:b/>
          <w:bCs/>
          <w:color w:val="000000"/>
          <w:kern w:val="0"/>
          <w:sz w:val="32"/>
          <w:szCs w:val="32"/>
          <w:lang w:val="zh-CN"/>
        </w:rPr>
        <w:t>条</w:t>
      </w:r>
      <w:r>
        <w:rPr>
          <w:rFonts w:hint="eastAsia" w:ascii="仿宋" w:hAnsi="仿宋" w:eastAsia="仿宋" w:cs="仿宋"/>
          <w:color w:val="000000"/>
          <w:kern w:val="0"/>
          <w:sz w:val="32"/>
          <w:szCs w:val="32"/>
          <w:lang w:val="zh-CN"/>
        </w:rPr>
        <w:t xml:space="preserve"> 本制度规定的各项情形应严格执行，如有违反将视情节追究责任。</w:t>
      </w:r>
    </w:p>
    <w:p w14:paraId="2A7C2309">
      <w:pPr>
        <w:rPr>
          <w:rFonts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br w:type="page"/>
      </w:r>
    </w:p>
    <w:p w14:paraId="32766E49">
      <w:pPr>
        <w:rPr>
          <w:rFonts w:ascii="方正小标宋_GBK" w:hAnsi="方正小标宋_GBK" w:eastAsia="方正小标宋_GBK" w:cs="方正小标宋_GBK"/>
          <w:bCs/>
          <w:color w:val="000000"/>
          <w:kern w:val="0"/>
          <w:sz w:val="44"/>
          <w:szCs w:val="44"/>
          <w:lang w:val="zh-CN"/>
        </w:rPr>
      </w:pPr>
      <w:r>
        <w:rPr>
          <w:rFonts w:hint="eastAsia" w:ascii="方正小标宋_GBK" w:hAnsi="方正小标宋_GBK" w:eastAsia="方正小标宋_GBK" w:cs="方正小标宋_GBK"/>
          <w:bCs/>
          <w:color w:val="000000"/>
          <w:kern w:val="0"/>
          <w:sz w:val="44"/>
          <w:szCs w:val="44"/>
          <w:lang w:val="zh-CN"/>
        </w:rPr>
        <w:t xml:space="preserve">      白城市司法局行政复议案件审理制度</w:t>
      </w:r>
    </w:p>
    <w:p w14:paraId="0EDFDA5C">
      <w:pPr>
        <w:autoSpaceDE w:val="0"/>
        <w:autoSpaceDN w:val="0"/>
        <w:adjustRightInd w:val="0"/>
        <w:spacing w:line="560" w:lineRule="exact"/>
        <w:ind w:firstLine="2615" w:firstLineChars="592"/>
        <w:rPr>
          <w:rFonts w:ascii="宋体" w:hAnsi="宋体" w:cs="宋体"/>
          <w:b/>
          <w:color w:val="000000"/>
          <w:kern w:val="0"/>
          <w:sz w:val="44"/>
          <w:szCs w:val="44"/>
          <w:lang w:val="zh-CN"/>
        </w:rPr>
      </w:pPr>
    </w:p>
    <w:p w14:paraId="1351288F">
      <w:pPr>
        <w:autoSpaceDE w:val="0"/>
        <w:autoSpaceDN w:val="0"/>
        <w:adjustRightInd w:val="0"/>
        <w:spacing w:line="560" w:lineRule="exact"/>
        <w:ind w:firstLine="723" w:firstLineChars="225"/>
        <w:rPr>
          <w:rFonts w:ascii="仿宋" w:hAnsi="仿宋" w:eastAsia="仿宋" w:cs="仿宋"/>
          <w:color w:val="000000"/>
          <w:kern w:val="0"/>
          <w:sz w:val="32"/>
          <w:szCs w:val="32"/>
          <w:lang w:val="zh-CN"/>
        </w:rPr>
      </w:pPr>
      <w:r>
        <w:rPr>
          <w:rFonts w:hint="eastAsia" w:ascii="仿宋" w:hAnsi="仿宋" w:eastAsia="仿宋" w:cs="仿宋"/>
          <w:b/>
          <w:bCs/>
          <w:color w:val="000000"/>
          <w:kern w:val="0"/>
          <w:sz w:val="32"/>
          <w:szCs w:val="32"/>
        </w:rPr>
        <w:t>第一条</w:t>
      </w: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zh-CN"/>
        </w:rPr>
        <w:t>两个或者两个以上有独立请求权的申请人，因同一或同类性质具体行政行为分别提出的行政复议要求，可以合并审理。</w:t>
      </w:r>
    </w:p>
    <w:p w14:paraId="1F701E62">
      <w:pPr>
        <w:autoSpaceDE w:val="0"/>
        <w:autoSpaceDN w:val="0"/>
        <w:adjustRightInd w:val="0"/>
        <w:spacing w:line="560" w:lineRule="exact"/>
        <w:ind w:firstLine="723" w:firstLineChars="225"/>
        <w:rPr>
          <w:rFonts w:ascii="仿宋" w:hAnsi="仿宋" w:eastAsia="仿宋" w:cs="仿宋"/>
          <w:color w:val="000000"/>
          <w:kern w:val="0"/>
          <w:sz w:val="32"/>
          <w:szCs w:val="32"/>
          <w:lang w:val="zh-CN"/>
        </w:rPr>
      </w:pPr>
      <w:r>
        <w:rPr>
          <w:rFonts w:hint="eastAsia" w:ascii="仿宋" w:hAnsi="仿宋" w:eastAsia="仿宋" w:cs="仿宋"/>
          <w:b/>
          <w:bCs/>
          <w:color w:val="000000"/>
          <w:kern w:val="0"/>
          <w:sz w:val="32"/>
          <w:szCs w:val="32"/>
        </w:rPr>
        <w:t>第二条</w:t>
      </w: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zh-CN"/>
        </w:rPr>
        <w:t>按照申请人的要求，或根据案件审理的需要，经本办分管领导批准后，办案人员可以向有关单位和个人调查情况。</w:t>
      </w:r>
    </w:p>
    <w:p w14:paraId="75DE1C7E">
      <w:pPr>
        <w:autoSpaceDE w:val="0"/>
        <w:autoSpaceDN w:val="0"/>
        <w:adjustRightInd w:val="0"/>
        <w:spacing w:line="560" w:lineRule="exact"/>
        <w:ind w:firstLine="723" w:firstLineChars="225"/>
        <w:rPr>
          <w:rFonts w:ascii="仿宋" w:hAnsi="仿宋" w:eastAsia="仿宋" w:cs="仿宋"/>
          <w:color w:val="000000"/>
          <w:kern w:val="0"/>
          <w:sz w:val="32"/>
          <w:szCs w:val="32"/>
          <w:lang w:val="zh-CN"/>
        </w:rPr>
      </w:pPr>
      <w:r>
        <w:rPr>
          <w:rFonts w:hint="eastAsia" w:ascii="仿宋" w:hAnsi="仿宋" w:eastAsia="仿宋" w:cs="仿宋"/>
          <w:b/>
          <w:bCs/>
          <w:color w:val="000000"/>
          <w:kern w:val="0"/>
          <w:sz w:val="32"/>
          <w:szCs w:val="32"/>
        </w:rPr>
        <w:t>第三条</w:t>
      </w: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zh-CN"/>
        </w:rPr>
        <w:t>申请人在行政复议期间，提出对《行政复议法》第七条有关规定审查申请的，办案人员上报分管领导审批后，中止对案件的审理，按《行政复议法》相关规定处理。</w:t>
      </w:r>
    </w:p>
    <w:p w14:paraId="20A72130">
      <w:pPr>
        <w:autoSpaceDE w:val="0"/>
        <w:autoSpaceDN w:val="0"/>
        <w:adjustRightInd w:val="0"/>
        <w:spacing w:line="560" w:lineRule="exact"/>
        <w:ind w:firstLine="723" w:firstLineChars="225"/>
        <w:rPr>
          <w:rFonts w:ascii="仿宋" w:hAnsi="仿宋" w:eastAsia="仿宋" w:cs="仿宋"/>
          <w:color w:val="000000"/>
          <w:kern w:val="0"/>
          <w:sz w:val="32"/>
          <w:szCs w:val="32"/>
          <w:lang w:val="zh-CN"/>
        </w:rPr>
      </w:pPr>
      <w:r>
        <w:rPr>
          <w:rFonts w:hint="eastAsia" w:ascii="仿宋" w:hAnsi="仿宋" w:eastAsia="仿宋" w:cs="仿宋"/>
          <w:b/>
          <w:bCs/>
          <w:color w:val="000000"/>
          <w:kern w:val="0"/>
          <w:sz w:val="32"/>
          <w:szCs w:val="32"/>
        </w:rPr>
        <w:t>第四条</w:t>
      </w: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zh-CN"/>
        </w:rPr>
        <w:t>对行政复议申请人要求开庭审理并经行政复议机构批准的，或者行政复议机构决定开庭审理的，均可以采取开庭审理的方式。行政复议开庭审理，应当由三名复议工作人员组成合议庭。</w:t>
      </w:r>
    </w:p>
    <w:p w14:paraId="1317723F">
      <w:pPr>
        <w:autoSpaceDE w:val="0"/>
        <w:autoSpaceDN w:val="0"/>
        <w:adjustRightInd w:val="0"/>
        <w:spacing w:line="560" w:lineRule="exact"/>
        <w:ind w:firstLine="723" w:firstLineChars="225"/>
        <w:rPr>
          <w:rFonts w:ascii="仿宋" w:hAnsi="仿宋" w:eastAsia="仿宋" w:cs="仿宋"/>
          <w:color w:val="000000"/>
          <w:kern w:val="0"/>
          <w:sz w:val="32"/>
          <w:szCs w:val="32"/>
          <w:lang w:val="zh-CN"/>
        </w:rPr>
      </w:pPr>
      <w:r>
        <w:rPr>
          <w:rFonts w:hint="eastAsia" w:ascii="仿宋" w:hAnsi="仿宋" w:eastAsia="仿宋" w:cs="仿宋"/>
          <w:b/>
          <w:bCs/>
          <w:color w:val="000000"/>
          <w:kern w:val="0"/>
          <w:sz w:val="32"/>
          <w:szCs w:val="32"/>
        </w:rPr>
        <w:t>第五条</w:t>
      </w: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zh-CN"/>
        </w:rPr>
        <w:t>行政复议期间，认为具体行政行为应当停止执行的，由办案人制作《停止执行具体行政行为决定》，经本办主要领导审批后，分别送达有关当事人。</w:t>
      </w:r>
    </w:p>
    <w:p w14:paraId="3DAF7139">
      <w:pPr>
        <w:spacing w:line="560" w:lineRule="exact"/>
        <w:ind w:firstLine="643" w:firstLineChars="200"/>
        <w:rPr>
          <w:rFonts w:ascii="仿宋" w:hAnsi="仿宋" w:eastAsia="仿宋" w:cs="仿宋"/>
          <w:color w:val="000000"/>
          <w:kern w:val="0"/>
          <w:sz w:val="32"/>
          <w:szCs w:val="32"/>
          <w:lang w:val="zh-CN"/>
        </w:rPr>
      </w:pPr>
      <w:r>
        <w:rPr>
          <w:rFonts w:hint="eastAsia" w:ascii="仿宋" w:hAnsi="仿宋" w:eastAsia="仿宋" w:cs="仿宋"/>
          <w:b/>
          <w:bCs/>
          <w:color w:val="000000"/>
          <w:kern w:val="0"/>
          <w:sz w:val="32"/>
          <w:szCs w:val="32"/>
        </w:rPr>
        <w:t>第六条</w:t>
      </w: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zh-CN"/>
        </w:rPr>
        <w:t>办案人审理行政复议案件，因情况复杂不能在六十天内结案的，应当在期满之前，制作《决定延期通知书》，逐级报批后，分别送达当事人。</w:t>
      </w:r>
    </w:p>
    <w:p w14:paraId="49E93835">
      <w:pPr>
        <w:spacing w:line="560" w:lineRule="exact"/>
        <w:ind w:firstLine="643" w:firstLineChars="200"/>
        <w:rPr>
          <w:rFonts w:ascii="仿宋" w:hAnsi="仿宋" w:eastAsia="仿宋" w:cs="仿宋"/>
          <w:color w:val="000000"/>
          <w:kern w:val="0"/>
          <w:sz w:val="32"/>
          <w:szCs w:val="32"/>
        </w:rPr>
      </w:pPr>
      <w:r>
        <w:rPr>
          <w:rFonts w:hint="eastAsia" w:ascii="仿宋" w:hAnsi="仿宋" w:eastAsia="仿宋" w:cs="仿宋"/>
          <w:b/>
          <w:bCs/>
          <w:color w:val="000000"/>
          <w:kern w:val="0"/>
          <w:sz w:val="32"/>
          <w:szCs w:val="32"/>
        </w:rPr>
        <w:t>第七条</w:t>
      </w:r>
      <w:r>
        <w:rPr>
          <w:rFonts w:hint="eastAsia" w:ascii="仿宋" w:hAnsi="仿宋" w:eastAsia="仿宋" w:cs="仿宋"/>
          <w:color w:val="000000"/>
          <w:kern w:val="0"/>
          <w:sz w:val="32"/>
          <w:szCs w:val="32"/>
        </w:rPr>
        <w:t xml:space="preserve"> 本制度规定的各项情形应严格执行，如有违反将视情节追究责任。</w:t>
      </w:r>
    </w:p>
    <w:p w14:paraId="718EE557">
      <w:pPr>
        <w:rPr>
          <w:rFonts w:ascii="仿宋" w:hAnsi="仿宋" w:eastAsia="仿宋" w:cs="仿宋"/>
          <w:color w:val="000000"/>
          <w:kern w:val="0"/>
          <w:sz w:val="32"/>
          <w:szCs w:val="32"/>
        </w:rPr>
      </w:pPr>
      <w:r>
        <w:rPr>
          <w:rFonts w:hint="eastAsia" w:ascii="仿宋" w:hAnsi="仿宋" w:eastAsia="仿宋" w:cs="仿宋"/>
          <w:color w:val="000000"/>
          <w:kern w:val="0"/>
          <w:sz w:val="32"/>
          <w:szCs w:val="32"/>
        </w:rPr>
        <w:br w:type="page"/>
      </w:r>
      <w:r>
        <w:rPr>
          <w:rFonts w:hint="eastAsia" w:ascii="仿宋" w:hAnsi="仿宋" w:eastAsia="仿宋" w:cs="仿宋"/>
          <w:color w:val="000000"/>
          <w:kern w:val="0"/>
          <w:sz w:val="32"/>
          <w:szCs w:val="32"/>
        </w:rPr>
        <w:t xml:space="preserve">     </w:t>
      </w:r>
      <w:r>
        <w:rPr>
          <w:rFonts w:hint="eastAsia" w:ascii="方正小标宋_GBK" w:hAnsi="方正小标宋_GBK" w:eastAsia="方正小标宋_GBK" w:cs="方正小标宋_GBK"/>
          <w:bCs/>
          <w:color w:val="000000"/>
          <w:kern w:val="0"/>
          <w:sz w:val="44"/>
          <w:szCs w:val="44"/>
          <w:lang w:val="zh-CN"/>
        </w:rPr>
        <w:t>白城市司法局行政复议中止、终止制度</w:t>
      </w:r>
    </w:p>
    <w:p w14:paraId="2A4FC8EF">
      <w:pPr>
        <w:autoSpaceDE w:val="0"/>
        <w:autoSpaceDN w:val="0"/>
        <w:adjustRightInd w:val="0"/>
        <w:spacing w:line="560" w:lineRule="exact"/>
        <w:ind w:firstLine="1421" w:firstLineChars="323"/>
        <w:rPr>
          <w:rFonts w:ascii="宋体" w:hAnsi="宋体" w:cs="宋体"/>
          <w:color w:val="000000"/>
          <w:kern w:val="0"/>
          <w:sz w:val="44"/>
          <w:szCs w:val="44"/>
          <w:lang w:val="zh-CN"/>
        </w:rPr>
      </w:pPr>
    </w:p>
    <w:p w14:paraId="1922798B">
      <w:pPr>
        <w:shd w:val="clear" w:color="auto" w:fill="FFFFFF"/>
        <w:autoSpaceDE w:val="0"/>
        <w:autoSpaceDN w:val="0"/>
        <w:adjustRightInd w:val="0"/>
        <w:spacing w:line="560" w:lineRule="exact"/>
        <w:ind w:right="45" w:firstLine="643" w:firstLineChars="200"/>
        <w:rPr>
          <w:rFonts w:ascii="仿宋" w:hAnsi="仿宋" w:eastAsia="仿宋" w:cs="仿宋"/>
          <w:color w:val="000000"/>
          <w:kern w:val="0"/>
          <w:sz w:val="32"/>
          <w:szCs w:val="32"/>
          <w:lang w:val="zh-CN"/>
        </w:rPr>
      </w:pPr>
      <w:r>
        <w:rPr>
          <w:rFonts w:hint="eastAsia" w:ascii="仿宋" w:hAnsi="仿宋" w:eastAsia="仿宋" w:cs="仿宋"/>
          <w:b/>
          <w:bCs/>
          <w:color w:val="000000"/>
          <w:kern w:val="0"/>
          <w:sz w:val="32"/>
          <w:szCs w:val="32"/>
        </w:rPr>
        <w:t>第一条</w:t>
      </w: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zh-CN"/>
        </w:rPr>
        <w:t>行政复议案件审理过程中，出现需要中止、终止情形的，需立即逐级汇报，经办主要领导审批通过后，中止、终止案件的审理工作。</w:t>
      </w:r>
    </w:p>
    <w:p w14:paraId="6F4C51FF">
      <w:pPr>
        <w:shd w:val="clear" w:color="auto" w:fill="FFFFFF"/>
        <w:autoSpaceDE w:val="0"/>
        <w:autoSpaceDN w:val="0"/>
        <w:adjustRightInd w:val="0"/>
        <w:spacing w:line="560" w:lineRule="exact"/>
        <w:ind w:right="45" w:firstLine="643" w:firstLineChars="200"/>
        <w:rPr>
          <w:rFonts w:ascii="仿宋" w:hAnsi="仿宋" w:eastAsia="仿宋" w:cs="仿宋"/>
          <w:color w:val="000000"/>
          <w:sz w:val="32"/>
          <w:szCs w:val="32"/>
          <w:lang w:val="zh-CN"/>
        </w:rPr>
      </w:pPr>
      <w:r>
        <w:rPr>
          <w:rFonts w:hint="eastAsia" w:ascii="仿宋" w:hAnsi="仿宋" w:eastAsia="仿宋" w:cs="仿宋"/>
          <w:b/>
          <w:bCs/>
          <w:color w:val="000000"/>
          <w:sz w:val="32"/>
          <w:szCs w:val="32"/>
        </w:rPr>
        <w:t>第二条</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zh-CN"/>
        </w:rPr>
        <w:t>行政复议有下列情形的，行政复议中止：</w:t>
      </w:r>
    </w:p>
    <w:p w14:paraId="2693FE9A">
      <w:pPr>
        <w:shd w:val="clear" w:color="auto" w:fill="FFFFFF"/>
        <w:autoSpaceDE w:val="0"/>
        <w:autoSpaceDN w:val="0"/>
        <w:adjustRightInd w:val="0"/>
        <w:spacing w:line="560" w:lineRule="exact"/>
        <w:ind w:right="45" w:firstLine="480" w:firstLineChars="150"/>
        <w:rPr>
          <w:rFonts w:ascii="仿宋" w:hAnsi="仿宋" w:eastAsia="仿宋" w:cs="仿宋"/>
          <w:color w:val="000000"/>
          <w:kern w:val="0"/>
          <w:sz w:val="32"/>
          <w:szCs w:val="32"/>
          <w:lang w:val="zh-CN"/>
        </w:rPr>
      </w:pPr>
      <w:r>
        <w:rPr>
          <w:rFonts w:hint="eastAsia" w:ascii="仿宋" w:hAnsi="仿宋" w:eastAsia="仿宋" w:cs="仿宋"/>
          <w:color w:val="000000"/>
          <w:sz w:val="32"/>
          <w:szCs w:val="32"/>
          <w:lang w:val="zh-CN"/>
        </w:rPr>
        <w:t>（一）</w:t>
      </w:r>
      <w:r>
        <w:rPr>
          <w:rFonts w:hint="eastAsia" w:ascii="仿宋" w:hAnsi="仿宋" w:eastAsia="仿宋" w:cs="仿宋"/>
          <w:color w:val="000000"/>
          <w:kern w:val="0"/>
          <w:sz w:val="32"/>
          <w:szCs w:val="32"/>
          <w:lang w:val="zh-CN"/>
        </w:rPr>
        <w:t>审理行政复议案件过程中，作为申请人的自然人死亡，其近亲属尚未确定是否参加行政复议的；</w:t>
      </w:r>
    </w:p>
    <w:p w14:paraId="5311656F">
      <w:pPr>
        <w:shd w:val="clear" w:color="auto" w:fill="FFFFFF"/>
        <w:autoSpaceDE w:val="0"/>
        <w:autoSpaceDN w:val="0"/>
        <w:adjustRightInd w:val="0"/>
        <w:spacing w:line="560" w:lineRule="exact"/>
        <w:ind w:right="45" w:firstLine="480" w:firstLineChars="150"/>
        <w:rPr>
          <w:rFonts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（二）作为申请人的自然人丧失参加行政复议的能力，尚未确定法定代理人参加行政复议的；</w:t>
      </w:r>
    </w:p>
    <w:p w14:paraId="2CA66C5C">
      <w:pPr>
        <w:shd w:val="clear" w:color="auto" w:fill="FFFFFF"/>
        <w:autoSpaceDE w:val="0"/>
        <w:autoSpaceDN w:val="0"/>
        <w:adjustRightInd w:val="0"/>
        <w:spacing w:line="560" w:lineRule="exact"/>
        <w:ind w:right="45" w:firstLine="480" w:firstLineChars="150"/>
        <w:rPr>
          <w:rFonts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（三）作为申请人的法人或者其他组织终止，尚未确定权利义务承受人的；</w:t>
      </w:r>
    </w:p>
    <w:p w14:paraId="60DB8376">
      <w:pPr>
        <w:shd w:val="clear" w:color="auto" w:fill="FFFFFF"/>
        <w:autoSpaceDE w:val="0"/>
        <w:autoSpaceDN w:val="0"/>
        <w:adjustRightInd w:val="0"/>
        <w:spacing w:line="560" w:lineRule="exact"/>
        <w:ind w:left="639" w:leftChars="228" w:right="45" w:hanging="160" w:hangingChars="50"/>
        <w:rPr>
          <w:rFonts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（四）作为申请人的自然人下落不明或者被宣告失踪的；</w:t>
      </w:r>
    </w:p>
    <w:p w14:paraId="005D0B0B">
      <w:pPr>
        <w:shd w:val="clear" w:color="auto" w:fill="FFFFFF"/>
        <w:autoSpaceDE w:val="0"/>
        <w:autoSpaceDN w:val="0"/>
        <w:adjustRightInd w:val="0"/>
        <w:spacing w:line="560" w:lineRule="exact"/>
        <w:ind w:left="639" w:leftChars="228" w:right="45" w:hanging="160" w:hangingChars="50"/>
        <w:rPr>
          <w:rFonts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（五）申请人、被申请人因不可抗力，不能参加行政复议</w:t>
      </w:r>
    </w:p>
    <w:p w14:paraId="68952431">
      <w:pPr>
        <w:shd w:val="clear" w:color="auto" w:fill="FFFFFF"/>
        <w:autoSpaceDE w:val="0"/>
        <w:autoSpaceDN w:val="0"/>
        <w:adjustRightInd w:val="0"/>
        <w:spacing w:line="560" w:lineRule="exact"/>
        <w:ind w:right="45"/>
        <w:rPr>
          <w:rFonts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的；</w:t>
      </w:r>
    </w:p>
    <w:p w14:paraId="4DAED94F">
      <w:pPr>
        <w:shd w:val="clear" w:color="auto" w:fill="FFFFFF"/>
        <w:autoSpaceDE w:val="0"/>
        <w:autoSpaceDN w:val="0"/>
        <w:adjustRightInd w:val="0"/>
        <w:spacing w:line="560" w:lineRule="exact"/>
        <w:ind w:right="45" w:firstLine="480" w:firstLineChars="150"/>
        <w:rPr>
          <w:rFonts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（六）案件涉及法律适用问题，需要有权机关作出解释或者确认的；</w:t>
      </w:r>
    </w:p>
    <w:p w14:paraId="3454C640">
      <w:pPr>
        <w:shd w:val="clear" w:color="auto" w:fill="FFFFFF"/>
        <w:autoSpaceDE w:val="0"/>
        <w:autoSpaceDN w:val="0"/>
        <w:adjustRightInd w:val="0"/>
        <w:spacing w:line="560" w:lineRule="exact"/>
        <w:ind w:right="45" w:firstLine="480" w:firstLineChars="150"/>
        <w:rPr>
          <w:rFonts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（七）案件审理需要以其他案件的审理结果为依据，而其他案件尚未审结的；</w:t>
      </w:r>
    </w:p>
    <w:p w14:paraId="16BA95E9">
      <w:pPr>
        <w:shd w:val="clear" w:color="auto" w:fill="FFFFFF"/>
        <w:autoSpaceDE w:val="0"/>
        <w:autoSpaceDN w:val="0"/>
        <w:adjustRightInd w:val="0"/>
        <w:spacing w:line="560" w:lineRule="exact"/>
        <w:ind w:right="45" w:firstLine="480" w:firstLineChars="150"/>
        <w:rPr>
          <w:rFonts w:ascii="仿宋" w:hAnsi="仿宋" w:eastAsia="仿宋" w:cs="仿宋"/>
          <w:color w:val="000000"/>
          <w:kern w:val="0"/>
          <w:sz w:val="32"/>
          <w:szCs w:val="32"/>
          <w:lang w:val="zh-CN"/>
        </w:rPr>
      </w:pPr>
      <w:r>
        <w:rPr>
          <w:rFonts w:hint="eastAsia" w:ascii="仿宋" w:hAnsi="仿宋" w:eastAsia="仿宋" w:cs="仿宋"/>
          <w:color w:val="000000"/>
          <w:kern w:val="0"/>
          <w:sz w:val="32"/>
          <w:szCs w:val="32"/>
          <w:lang w:val="zh-CN"/>
        </w:rPr>
        <w:t>（八）其他需要中止行政复议的情形。</w:t>
      </w:r>
    </w:p>
    <w:p w14:paraId="7BB86CB7">
      <w:pPr>
        <w:shd w:val="clear" w:color="auto" w:fill="FFFFFF"/>
        <w:autoSpaceDE w:val="0"/>
        <w:autoSpaceDN w:val="0"/>
        <w:adjustRightInd w:val="0"/>
        <w:spacing w:line="560" w:lineRule="exact"/>
        <w:ind w:right="45" w:firstLine="643" w:firstLineChars="200"/>
        <w:rPr>
          <w:rFonts w:ascii="仿宋" w:hAnsi="仿宋" w:eastAsia="仿宋" w:cs="仿宋"/>
          <w:color w:val="000000"/>
          <w:kern w:val="0"/>
          <w:sz w:val="32"/>
          <w:szCs w:val="32"/>
          <w:lang w:val="zh-CN"/>
        </w:rPr>
      </w:pPr>
      <w:r>
        <w:rPr>
          <w:rFonts w:hint="eastAsia" w:ascii="仿宋" w:hAnsi="仿宋" w:eastAsia="仿宋" w:cs="仿宋"/>
          <w:b/>
          <w:bCs/>
          <w:color w:val="000000"/>
          <w:kern w:val="0"/>
          <w:sz w:val="32"/>
          <w:szCs w:val="32"/>
        </w:rPr>
        <w:t>第三条</w:t>
      </w: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zh-CN"/>
        </w:rPr>
        <w:t xml:space="preserve">行政复议中止的原因消除后，应当及时恢复行政复议案件的审理。行政复议机构中止、恢复行政复议案件的审理，应当告知有关当事人 </w:t>
      </w:r>
    </w:p>
    <w:p w14:paraId="49652B06">
      <w:pPr>
        <w:autoSpaceDE w:val="0"/>
        <w:autoSpaceDN w:val="0"/>
        <w:adjustRightInd w:val="0"/>
        <w:spacing w:line="560" w:lineRule="exact"/>
        <w:ind w:firstLine="643" w:firstLineChars="200"/>
        <w:rPr>
          <w:rFonts w:ascii="仿宋" w:hAnsi="仿宋" w:eastAsia="仿宋" w:cs="仿宋"/>
          <w:color w:val="000000"/>
          <w:kern w:val="0"/>
          <w:sz w:val="32"/>
          <w:szCs w:val="32"/>
          <w:lang w:val="zh-CN"/>
        </w:rPr>
      </w:pPr>
      <w:r>
        <w:rPr>
          <w:rFonts w:hint="eastAsia" w:ascii="仿宋" w:hAnsi="仿宋" w:eastAsia="仿宋" w:cs="仿宋"/>
          <w:b/>
          <w:bCs/>
          <w:color w:val="000000"/>
          <w:kern w:val="0"/>
          <w:sz w:val="32"/>
          <w:szCs w:val="32"/>
        </w:rPr>
        <w:t>第四条</w:t>
      </w:r>
      <w:r>
        <w:rPr>
          <w:rFonts w:hint="eastAsia" w:ascii="仿宋" w:hAnsi="仿宋" w:eastAsia="仿宋" w:cs="仿宋"/>
          <w:color w:val="000000"/>
          <w:kern w:val="0"/>
          <w:sz w:val="32"/>
          <w:szCs w:val="32"/>
        </w:rPr>
        <w:t xml:space="preserve"> </w:t>
      </w:r>
      <w:r>
        <w:rPr>
          <w:rFonts w:hint="eastAsia" w:ascii="仿宋" w:hAnsi="仿宋" w:eastAsia="仿宋" w:cs="仿宋"/>
          <w:color w:val="000000"/>
          <w:kern w:val="0"/>
          <w:sz w:val="32"/>
          <w:szCs w:val="32"/>
          <w:lang w:val="zh-CN"/>
        </w:rPr>
        <w:t>办案人应当制作《行政复议中止通知书》和《规范性文件转送办理函》，由法制办主任审批后，分别送达当事人。</w:t>
      </w:r>
    </w:p>
    <w:p w14:paraId="45698AF3">
      <w:pPr>
        <w:autoSpaceDE w:val="0"/>
        <w:autoSpaceDN w:val="0"/>
        <w:adjustRightInd w:val="0"/>
        <w:spacing w:line="560" w:lineRule="exact"/>
        <w:ind w:firstLine="723" w:firstLineChars="225"/>
        <w:rPr>
          <w:rFonts w:ascii="仿宋" w:hAnsi="仿宋" w:eastAsia="仿宋" w:cs="仿宋"/>
          <w:color w:val="000000"/>
          <w:sz w:val="32"/>
          <w:szCs w:val="32"/>
          <w:lang w:val="zh-CN"/>
        </w:rPr>
      </w:pPr>
      <w:r>
        <w:rPr>
          <w:rFonts w:hint="eastAsia" w:ascii="仿宋" w:hAnsi="仿宋" w:eastAsia="仿宋" w:cs="仿宋"/>
          <w:b/>
          <w:bCs/>
          <w:color w:val="000000"/>
          <w:sz w:val="32"/>
          <w:szCs w:val="32"/>
        </w:rPr>
        <w:t>第五条</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zh-CN"/>
        </w:rPr>
        <w:t>行政复议有下列情形的，行政复议终止：</w:t>
      </w:r>
    </w:p>
    <w:p w14:paraId="619B04FD">
      <w:pPr>
        <w:autoSpaceDE w:val="0"/>
        <w:autoSpaceDN w:val="0"/>
        <w:adjustRightInd w:val="0"/>
        <w:spacing w:line="560" w:lineRule="exact"/>
        <w:ind w:firstLine="480" w:firstLineChars="150"/>
        <w:rPr>
          <w:rFonts w:ascii="仿宋" w:hAnsi="仿宋" w:eastAsia="仿宋" w:cs="仿宋"/>
          <w:color w:val="000000"/>
          <w:sz w:val="32"/>
          <w:szCs w:val="32"/>
          <w:lang w:val="zh-CN"/>
        </w:rPr>
      </w:pPr>
      <w:r>
        <w:rPr>
          <w:rFonts w:hint="eastAsia" w:ascii="仿宋" w:hAnsi="仿宋" w:eastAsia="仿宋" w:cs="仿宋"/>
          <w:color w:val="000000"/>
          <w:sz w:val="32"/>
          <w:szCs w:val="32"/>
          <w:lang w:val="zh-CN"/>
        </w:rPr>
        <w:t>（一）在复议决定作出前，申请人要求撤回行政复议申请，或申请人的自然人死亡，没有近亲属或者其近亲属放弃行政复议权利的或申请人的法人或者其他组织终止，其权利义务的承受人放弃行政复议权利的满</w:t>
      </w:r>
      <w:r>
        <w:rPr>
          <w:rFonts w:hint="eastAsia" w:ascii="仿宋" w:hAnsi="仿宋" w:eastAsia="仿宋" w:cs="仿宋"/>
          <w:color w:val="000000"/>
          <w:sz w:val="32"/>
          <w:szCs w:val="32"/>
        </w:rPr>
        <w:t>60</w:t>
      </w:r>
      <w:r>
        <w:rPr>
          <w:rFonts w:hint="eastAsia" w:ascii="仿宋" w:hAnsi="仿宋" w:eastAsia="仿宋" w:cs="仿宋"/>
          <w:color w:val="000000"/>
          <w:sz w:val="32"/>
          <w:szCs w:val="32"/>
          <w:lang w:val="zh-CN"/>
        </w:rPr>
        <w:t>日行政复议中止的原因仍未消除的；</w:t>
      </w:r>
    </w:p>
    <w:p w14:paraId="32209C4E">
      <w:pPr>
        <w:autoSpaceDE w:val="0"/>
        <w:autoSpaceDN w:val="0"/>
        <w:adjustRightInd w:val="0"/>
        <w:spacing w:line="560" w:lineRule="exact"/>
        <w:ind w:firstLine="480" w:firstLineChars="150"/>
        <w:rPr>
          <w:rFonts w:ascii="仿宋" w:hAnsi="仿宋" w:eastAsia="仿宋" w:cs="仿宋"/>
          <w:color w:val="000000"/>
          <w:sz w:val="32"/>
          <w:szCs w:val="32"/>
          <w:lang w:val="zh-CN"/>
        </w:rPr>
      </w:pPr>
      <w:r>
        <w:rPr>
          <w:rFonts w:hint="eastAsia" w:ascii="仿宋" w:hAnsi="仿宋" w:eastAsia="仿宋" w:cs="仿宋"/>
          <w:color w:val="000000"/>
          <w:sz w:val="32"/>
          <w:szCs w:val="32"/>
          <w:lang w:val="zh-CN"/>
        </w:rPr>
        <w:t>（二）申请人与被申请人依照规定，经行政复议机构准许达成和解的；</w:t>
      </w:r>
    </w:p>
    <w:p w14:paraId="10989C65">
      <w:pPr>
        <w:autoSpaceDE w:val="0"/>
        <w:autoSpaceDN w:val="0"/>
        <w:adjustRightInd w:val="0"/>
        <w:spacing w:line="560" w:lineRule="exact"/>
        <w:ind w:firstLine="480" w:firstLineChars="150"/>
        <w:rPr>
          <w:rFonts w:ascii="仿宋" w:hAnsi="仿宋" w:eastAsia="仿宋" w:cs="仿宋"/>
          <w:color w:val="000000"/>
          <w:sz w:val="32"/>
          <w:szCs w:val="32"/>
          <w:lang w:val="zh-CN"/>
        </w:rPr>
      </w:pPr>
      <w:r>
        <w:rPr>
          <w:rFonts w:hint="eastAsia" w:ascii="仿宋" w:hAnsi="仿宋" w:eastAsia="仿宋" w:cs="仿宋"/>
          <w:color w:val="000000"/>
          <w:sz w:val="32"/>
          <w:szCs w:val="32"/>
          <w:lang w:val="zh-CN"/>
        </w:rPr>
        <w:t>（三）申请人对行政拘留或者限制人身自由的行政强制措施不服申请行政复议后，因申请人同一违法行为涉嫌犯罪，该行政拘留或者限制人身自由的行政强制措施变更为刑事拘留的。</w:t>
      </w:r>
    </w:p>
    <w:p w14:paraId="38C54D42">
      <w:pPr>
        <w:autoSpaceDE w:val="0"/>
        <w:autoSpaceDN w:val="0"/>
        <w:adjustRightInd w:val="0"/>
        <w:spacing w:line="560" w:lineRule="exact"/>
        <w:ind w:firstLine="643" w:firstLineChars="200"/>
        <w:rPr>
          <w:rFonts w:ascii="仿宋" w:hAnsi="仿宋" w:eastAsia="仿宋" w:cs="仿宋"/>
          <w:sz w:val="32"/>
          <w:szCs w:val="32"/>
          <w:lang w:val="zh-CN"/>
        </w:rPr>
      </w:pPr>
      <w:r>
        <w:rPr>
          <w:rFonts w:hint="eastAsia" w:ascii="仿宋" w:hAnsi="仿宋" w:eastAsia="仿宋" w:cs="仿宋"/>
          <w:b/>
          <w:bCs/>
          <w:color w:val="000000"/>
          <w:sz w:val="32"/>
          <w:szCs w:val="32"/>
        </w:rPr>
        <w:t>第六条</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zh-CN"/>
        </w:rPr>
        <w:t>行政复议终止后，</w:t>
      </w:r>
      <w:r>
        <w:rPr>
          <w:rFonts w:hint="eastAsia" w:ascii="仿宋" w:hAnsi="仿宋" w:eastAsia="仿宋" w:cs="仿宋"/>
          <w:sz w:val="32"/>
          <w:szCs w:val="32"/>
          <w:lang w:val="zh-CN"/>
        </w:rPr>
        <w:t>办案人应当制作《行政复议终止通知书》，逐级报法制办主任审批后，分别送达当事人。</w:t>
      </w:r>
    </w:p>
    <w:p w14:paraId="0C34F820">
      <w:pPr>
        <w:autoSpaceDE w:val="0"/>
        <w:autoSpaceDN w:val="0"/>
        <w:adjustRightInd w:val="0"/>
        <w:spacing w:line="560" w:lineRule="exact"/>
        <w:ind w:firstLine="643" w:firstLineChars="200"/>
        <w:rPr>
          <w:rFonts w:ascii="仿宋" w:hAnsi="仿宋" w:eastAsia="仿宋" w:cs="仿宋"/>
          <w:sz w:val="32"/>
          <w:szCs w:val="32"/>
          <w:lang w:val="zh-CN"/>
        </w:rPr>
      </w:pPr>
      <w:r>
        <w:rPr>
          <w:rFonts w:hint="eastAsia" w:ascii="仿宋" w:hAnsi="仿宋" w:eastAsia="仿宋" w:cs="仿宋"/>
          <w:b/>
          <w:bCs/>
          <w:sz w:val="32"/>
          <w:szCs w:val="32"/>
          <w:lang w:val="zh-CN"/>
        </w:rPr>
        <w:t>第七条</w:t>
      </w:r>
      <w:r>
        <w:rPr>
          <w:rFonts w:hint="eastAsia" w:ascii="仿宋" w:hAnsi="仿宋" w:eastAsia="仿宋" w:cs="仿宋"/>
          <w:sz w:val="32"/>
          <w:szCs w:val="32"/>
          <w:lang w:val="zh-CN"/>
        </w:rPr>
        <w:t xml:space="preserve"> 本制度规定的各项情形应严格执行，如有违反将视情节追究责任。</w:t>
      </w:r>
    </w:p>
    <w:p w14:paraId="074189A0">
      <w:pPr>
        <w:rPr>
          <w:rFonts w:ascii="仿宋" w:hAnsi="仿宋" w:eastAsia="仿宋" w:cs="仿宋"/>
          <w:sz w:val="32"/>
          <w:szCs w:val="32"/>
          <w:lang w:val="zh-CN"/>
        </w:rPr>
      </w:pPr>
      <w:r>
        <w:rPr>
          <w:rFonts w:hint="eastAsia" w:ascii="仿宋" w:hAnsi="仿宋" w:eastAsia="仿宋" w:cs="仿宋"/>
          <w:sz w:val="32"/>
          <w:szCs w:val="32"/>
          <w:lang w:val="zh-CN"/>
        </w:rPr>
        <w:br w:type="page"/>
      </w:r>
    </w:p>
    <w:p w14:paraId="44C1477E">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白城市行政执法人员资格及执法证件管理制度</w:t>
      </w:r>
    </w:p>
    <w:p w14:paraId="3986A35B">
      <w:pPr>
        <w:spacing w:line="560" w:lineRule="exact"/>
        <w:ind w:firstLine="640" w:firstLineChars="200"/>
        <w:rPr>
          <w:rFonts w:ascii="仿宋" w:hAnsi="仿宋" w:eastAsia="仿宋"/>
          <w:sz w:val="32"/>
          <w:szCs w:val="32"/>
        </w:rPr>
      </w:pPr>
    </w:p>
    <w:p w14:paraId="6B927D9D">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第一条</w:t>
      </w:r>
      <w:r>
        <w:rPr>
          <w:rFonts w:hint="eastAsia" w:ascii="仿宋" w:hAnsi="仿宋" w:eastAsia="仿宋"/>
          <w:sz w:val="32"/>
          <w:szCs w:val="32"/>
        </w:rPr>
        <w:t xml:space="preserve"> 为加强行政执法人员资格及执法证件的管理，保证行政机关严格依法行政和履行职权，促进公正文明规范执法，根据《吉林省行政执法条例》和《吉林省行政执法证件管理办法》等相关法律法规规定，结合本市实际，制定本制度。</w:t>
      </w:r>
    </w:p>
    <w:p w14:paraId="5D76A352">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第二条</w:t>
      </w:r>
      <w:r>
        <w:rPr>
          <w:rFonts w:hint="eastAsia" w:ascii="仿宋" w:hAnsi="仿宋" w:eastAsia="仿宋"/>
          <w:sz w:val="32"/>
          <w:szCs w:val="32"/>
        </w:rPr>
        <w:t xml:space="preserve"> 本市的行政机关、法律法规授权的组织以及行政机关依法委托的组织(以下简称行政执法机关)的行政执法人员,从事行政执法前,应当向本级人民政府司法行政机关申办行政执法证件。</w:t>
      </w:r>
    </w:p>
    <w:p w14:paraId="5455BFA8">
      <w:pPr>
        <w:spacing w:line="560" w:lineRule="exact"/>
        <w:ind w:firstLine="640" w:firstLineChars="200"/>
        <w:rPr>
          <w:rFonts w:ascii="仿宋" w:hAnsi="仿宋" w:eastAsia="仿宋"/>
          <w:sz w:val="32"/>
          <w:szCs w:val="32"/>
        </w:rPr>
      </w:pPr>
      <w:r>
        <w:rPr>
          <w:rFonts w:hint="eastAsia" w:ascii="仿宋" w:hAnsi="仿宋" w:eastAsia="仿宋"/>
          <w:sz w:val="32"/>
          <w:szCs w:val="32"/>
        </w:rPr>
        <w:t>法律、行政法规和国家部委规章另有规定，取得国家行政主管部门统一核发的行政执法证件，具有行政执法人员主体资格，应当由持证机关统一到本级人民政府司法行政机关备案，在本市行政区域内依法行使执法权。</w:t>
      </w:r>
    </w:p>
    <w:p w14:paraId="185B7590">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第三条</w:t>
      </w:r>
      <w:r>
        <w:rPr>
          <w:rFonts w:hint="eastAsia" w:ascii="仿宋" w:hAnsi="仿宋" w:eastAsia="仿宋"/>
          <w:sz w:val="32"/>
          <w:szCs w:val="32"/>
        </w:rPr>
        <w:t xml:space="preserve"> 市县两级人民政府司法行政机关负责行政执法证件的审核发放和监督管理，对本行政区域内行政执法工作负有指导、规划、监督、协调和服务的职责。市县两级行政执法机关负责行政执法证件的申领、收回和日常使用管理。</w:t>
      </w:r>
    </w:p>
    <w:p w14:paraId="2FFA20ED">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第四条</w:t>
      </w:r>
      <w:r>
        <w:rPr>
          <w:rFonts w:hint="eastAsia" w:ascii="仿宋" w:hAnsi="仿宋" w:eastAsia="仿宋"/>
          <w:sz w:val="32"/>
          <w:szCs w:val="32"/>
        </w:rPr>
        <w:t xml:space="preserve"> 行政执法人员在行政执法工作中应当遵循法律面前人人平等和有法必依、执法必严、违法必究的原则，在法律、法规和规章确定的职权范围内行使行政执法权；未取得行政执法证件的行政执法人员不具备行政执法人员主体资格。</w:t>
      </w:r>
    </w:p>
    <w:p w14:paraId="6CA8E8A5">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第五条</w:t>
      </w:r>
      <w:r>
        <w:rPr>
          <w:rFonts w:hint="eastAsia" w:ascii="仿宋" w:hAnsi="仿宋" w:eastAsia="仿宋"/>
          <w:sz w:val="32"/>
          <w:szCs w:val="32"/>
        </w:rPr>
        <w:t xml:space="preserve"> 申领行政执法证件的人员应当具备以下条件:</w:t>
      </w:r>
    </w:p>
    <w:p w14:paraId="2FEEF620">
      <w:pPr>
        <w:spacing w:line="560" w:lineRule="exact"/>
        <w:ind w:firstLine="640" w:firstLineChars="200"/>
        <w:rPr>
          <w:rFonts w:ascii="仿宋" w:hAnsi="仿宋" w:eastAsia="仿宋"/>
          <w:sz w:val="32"/>
          <w:szCs w:val="32"/>
        </w:rPr>
      </w:pPr>
      <w:r>
        <w:rPr>
          <w:rFonts w:hint="eastAsia" w:ascii="仿宋" w:hAnsi="仿宋" w:eastAsia="仿宋"/>
          <w:sz w:val="32"/>
          <w:szCs w:val="32"/>
        </w:rPr>
        <w:t>（一）行政执法机关在编在岗的工作人员；</w:t>
      </w:r>
    </w:p>
    <w:p w14:paraId="75C5AE23">
      <w:pPr>
        <w:spacing w:line="560" w:lineRule="exact"/>
        <w:ind w:firstLine="640" w:firstLineChars="200"/>
        <w:rPr>
          <w:rFonts w:ascii="仿宋" w:hAnsi="仿宋" w:eastAsia="仿宋"/>
          <w:sz w:val="32"/>
          <w:szCs w:val="32"/>
        </w:rPr>
      </w:pPr>
      <w:r>
        <w:rPr>
          <w:rFonts w:hint="eastAsia" w:ascii="仿宋" w:hAnsi="仿宋" w:eastAsia="仿宋"/>
          <w:sz w:val="32"/>
          <w:szCs w:val="32"/>
        </w:rPr>
        <w:t>（二）具有与行政执法岗位相适应的文化水平和专业素质；</w:t>
      </w:r>
    </w:p>
    <w:p w14:paraId="4CD5CAD8">
      <w:pPr>
        <w:spacing w:line="560" w:lineRule="exact"/>
        <w:ind w:firstLine="640" w:firstLineChars="200"/>
        <w:rPr>
          <w:rFonts w:ascii="仿宋" w:hAnsi="仿宋" w:eastAsia="仿宋"/>
          <w:sz w:val="32"/>
          <w:szCs w:val="32"/>
        </w:rPr>
      </w:pPr>
      <w:r>
        <w:rPr>
          <w:rFonts w:hint="eastAsia" w:ascii="仿宋" w:hAnsi="仿宋" w:eastAsia="仿宋"/>
          <w:sz w:val="32"/>
          <w:szCs w:val="32"/>
        </w:rPr>
        <w:t>（三）经过行政执法资格培训并考试合格；</w:t>
      </w:r>
    </w:p>
    <w:p w14:paraId="1EC22605">
      <w:pPr>
        <w:spacing w:line="560" w:lineRule="exact"/>
        <w:ind w:firstLine="640" w:firstLineChars="200"/>
        <w:rPr>
          <w:rFonts w:ascii="仿宋" w:hAnsi="仿宋" w:eastAsia="仿宋"/>
          <w:sz w:val="32"/>
          <w:szCs w:val="32"/>
        </w:rPr>
      </w:pPr>
      <w:r>
        <w:rPr>
          <w:rFonts w:hint="eastAsia" w:ascii="仿宋" w:hAnsi="仿宋" w:eastAsia="仿宋"/>
          <w:sz w:val="32"/>
          <w:szCs w:val="32"/>
        </w:rPr>
        <w:t>（四）行政执法机关确定的其他条件。</w:t>
      </w:r>
    </w:p>
    <w:p w14:paraId="4616E1E4">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第六条</w:t>
      </w:r>
      <w:r>
        <w:rPr>
          <w:rFonts w:hint="eastAsia" w:ascii="仿宋" w:hAnsi="仿宋" w:eastAsia="仿宋"/>
          <w:sz w:val="32"/>
          <w:szCs w:val="32"/>
        </w:rPr>
        <w:t xml:space="preserve"> 市县两级人民政府司法行政机关和行政执法机关应当加强对行政执法人员资格的审核,不得为不在行政执法岗位的人员及临时工、合同工、公益性岗位等人员申办行政执法证件。</w:t>
      </w:r>
    </w:p>
    <w:p w14:paraId="1CD17A68">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第七条</w:t>
      </w:r>
      <w:r>
        <w:rPr>
          <w:rFonts w:hint="eastAsia" w:ascii="仿宋" w:hAnsi="仿宋" w:eastAsia="仿宋"/>
          <w:sz w:val="32"/>
          <w:szCs w:val="32"/>
        </w:rPr>
        <w:t xml:space="preserve"> 符合申领执法证件规定条件的行政执法人员，由其所在行政执法机关向同级人民政府司法行政机关申领行政执法证件。</w:t>
      </w:r>
    </w:p>
    <w:p w14:paraId="163B92D9">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第八条</w:t>
      </w:r>
      <w:r>
        <w:rPr>
          <w:rFonts w:hint="eastAsia" w:ascii="仿宋" w:hAnsi="仿宋" w:eastAsia="仿宋"/>
          <w:sz w:val="32"/>
          <w:szCs w:val="32"/>
        </w:rPr>
        <w:t xml:space="preserve"> 行政执法机关对行政执法人员应当定期开展业务培训。新进入行政执法岗位的人员必须接受执法工作业务培训，学习有关的法律、法规及规章，掌握必备的业务知识，考取行政执法证件后方可从事行政执法工作。</w:t>
      </w:r>
    </w:p>
    <w:p w14:paraId="30582681">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第九条</w:t>
      </w:r>
      <w:r>
        <w:rPr>
          <w:rFonts w:hint="eastAsia" w:ascii="仿宋" w:hAnsi="仿宋" w:eastAsia="仿宋"/>
          <w:sz w:val="32"/>
          <w:szCs w:val="32"/>
        </w:rPr>
        <w:t xml:space="preserve"> 行政执法资格培训包括综合法律知识培训和专业法律知识培训。市县两级人民政府司法行政机关组织综合法律知识培训；行政执法机关组织专业法律知识培训。</w:t>
      </w:r>
    </w:p>
    <w:p w14:paraId="61C29992">
      <w:pPr>
        <w:spacing w:line="560" w:lineRule="exact"/>
        <w:ind w:firstLine="640" w:firstLineChars="200"/>
        <w:rPr>
          <w:rFonts w:ascii="仿宋" w:hAnsi="仿宋" w:eastAsia="仿宋"/>
          <w:sz w:val="32"/>
          <w:szCs w:val="32"/>
        </w:rPr>
      </w:pPr>
      <w:r>
        <w:rPr>
          <w:rFonts w:hint="eastAsia" w:ascii="仿宋" w:hAnsi="仿宋" w:eastAsia="仿宋"/>
          <w:sz w:val="32"/>
          <w:szCs w:val="32"/>
        </w:rPr>
        <w:t>市县两级人民政府司法行政机关应当定期组织综合法律知识考试，使用省政府司法行政机关建立的考试题库，采用计算机考试方式。</w:t>
      </w:r>
    </w:p>
    <w:p w14:paraId="14FD6614">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第十条</w:t>
      </w:r>
      <w:r>
        <w:rPr>
          <w:rFonts w:hint="eastAsia" w:ascii="仿宋" w:hAnsi="仿宋" w:eastAsia="仿宋"/>
          <w:sz w:val="32"/>
          <w:szCs w:val="32"/>
        </w:rPr>
        <w:t xml:space="preserve"> 行政执法机关申领行政执法证件应当填写司法行政机关统一编制的行政执法人员基本信息电子表，报同级政府司法行政机关审核同意后，逐级报送省政府司法行政机关。</w:t>
      </w:r>
    </w:p>
    <w:p w14:paraId="3207F4FF">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第十一条</w:t>
      </w:r>
      <w:r>
        <w:rPr>
          <w:rFonts w:hint="eastAsia" w:ascii="仿宋" w:hAnsi="仿宋" w:eastAsia="仿宋"/>
          <w:sz w:val="32"/>
          <w:szCs w:val="32"/>
        </w:rPr>
        <w:t xml:space="preserve"> 市县两级人民政府司法行政机关和行政执法机关应当在政务公开网站上向社会公布执法人员信息，内容包括姓名、执法证号、单位、行政职务、执法类别、执法区域等。公民、法人和其他组织可以通过查询系统获取行政执法人员信息。</w:t>
      </w:r>
    </w:p>
    <w:p w14:paraId="2474DA26">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第十二条</w:t>
      </w:r>
      <w:r>
        <w:rPr>
          <w:rFonts w:hint="eastAsia" w:ascii="仿宋" w:hAnsi="仿宋" w:eastAsia="仿宋"/>
          <w:sz w:val="32"/>
          <w:szCs w:val="32"/>
        </w:rPr>
        <w:t xml:space="preserve"> 行政执法人员依法从事行政执法活动应当主动出示行政执法证件，表明身份，在规定的职责范围内行使执法权。不出示行政执法证件或者出示无效行政执法证件的，行政相对人有权拒绝其行政执法行为。  </w:t>
      </w:r>
    </w:p>
    <w:p w14:paraId="4E9DF75D">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第十三条</w:t>
      </w:r>
      <w:r>
        <w:rPr>
          <w:rFonts w:hint="eastAsia" w:ascii="仿宋" w:hAnsi="仿宋" w:eastAsia="仿宋"/>
          <w:sz w:val="32"/>
          <w:szCs w:val="32"/>
        </w:rPr>
        <w:t xml:space="preserve"> 行政执法人员应当妥善保管行政执法证件，不得随意涂改或者转借他人。任何单位或者个人不得伪造、变造、擅自印制行政执法证件。</w:t>
      </w:r>
    </w:p>
    <w:p w14:paraId="4EEE4507">
      <w:pPr>
        <w:spacing w:line="560" w:lineRule="exact"/>
        <w:ind w:firstLine="640" w:firstLineChars="200"/>
        <w:rPr>
          <w:rFonts w:ascii="仿宋" w:hAnsi="仿宋" w:eastAsia="仿宋"/>
          <w:sz w:val="32"/>
          <w:szCs w:val="32"/>
        </w:rPr>
      </w:pPr>
      <w:r>
        <w:rPr>
          <w:rFonts w:hint="eastAsia" w:ascii="仿宋" w:hAnsi="仿宋" w:eastAsia="仿宋"/>
          <w:sz w:val="32"/>
          <w:szCs w:val="32"/>
        </w:rPr>
        <w:t>行政执法证件遗失的，由其所在行政执法机关公告作废后，向同级政府司法行政机关重新申领行政执法证件。</w:t>
      </w:r>
    </w:p>
    <w:p w14:paraId="271605B9">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第十四条</w:t>
      </w:r>
      <w:r>
        <w:rPr>
          <w:rFonts w:hint="eastAsia" w:ascii="仿宋" w:hAnsi="仿宋" w:eastAsia="仿宋"/>
          <w:sz w:val="32"/>
          <w:szCs w:val="32"/>
        </w:rPr>
        <w:t xml:space="preserve"> 行政执法证件实行每3年检验一次制度。执法证件到期前3个月，由所在行政执法机关报同级政府司法行政机关审验。检验合格的加贴年检标识。有效期满未加贴年检标识的，或者未经过审验的，证件无效。</w:t>
      </w:r>
    </w:p>
    <w:p w14:paraId="1DCAF80F">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第十五条</w:t>
      </w:r>
      <w:r>
        <w:rPr>
          <w:rFonts w:hint="eastAsia" w:ascii="仿宋" w:hAnsi="仿宋" w:eastAsia="仿宋"/>
          <w:sz w:val="32"/>
          <w:szCs w:val="32"/>
        </w:rPr>
        <w:t xml:space="preserve"> 行政执法人员因调离、退休、辞职、辞退等原因不再从事行政执法工作的，或者不能履行行政执法工作的，由其所在行政执法机关收回行政执法证件，交同级政府司法行政机关。</w:t>
      </w:r>
    </w:p>
    <w:p w14:paraId="41811722">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第十六条</w:t>
      </w:r>
      <w:r>
        <w:rPr>
          <w:rFonts w:hint="eastAsia" w:ascii="仿宋" w:hAnsi="仿宋" w:eastAsia="仿宋"/>
          <w:sz w:val="32"/>
          <w:szCs w:val="32"/>
        </w:rPr>
        <w:t xml:space="preserve"> 行政执法人员工作岗位、执法类别、执法区域等发生变化的，由其所在行政执法机关向同级政府司法行政机关申请换发行政执法证件并收回旧证。</w:t>
      </w:r>
    </w:p>
    <w:p w14:paraId="01CE771E">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第十七条</w:t>
      </w:r>
      <w:r>
        <w:rPr>
          <w:rFonts w:hint="eastAsia" w:ascii="仿宋" w:hAnsi="仿宋" w:eastAsia="仿宋"/>
          <w:sz w:val="32"/>
          <w:szCs w:val="32"/>
        </w:rPr>
        <w:t xml:space="preserve"> 行政执法人员从事行政执法活动时具有下列行为之一的，由本级或者上级行政执法机关、政府司法行政机关视其情节责令改正、通报批评或者暂扣行政执法证件:</w:t>
      </w:r>
    </w:p>
    <w:p w14:paraId="3472DFA8">
      <w:pPr>
        <w:spacing w:line="560" w:lineRule="exact"/>
        <w:ind w:firstLine="640" w:firstLineChars="200"/>
        <w:rPr>
          <w:rFonts w:ascii="仿宋" w:hAnsi="仿宋" w:eastAsia="仿宋"/>
          <w:sz w:val="32"/>
          <w:szCs w:val="32"/>
        </w:rPr>
      </w:pPr>
      <w:r>
        <w:rPr>
          <w:rFonts w:hint="eastAsia" w:ascii="仿宋" w:hAnsi="仿宋" w:eastAsia="仿宋"/>
          <w:sz w:val="32"/>
          <w:szCs w:val="32"/>
        </w:rPr>
        <w:t>（一）执行公务时不主动出示或者拒绝出示执法证件的；</w:t>
      </w:r>
    </w:p>
    <w:p w14:paraId="2943B638">
      <w:pPr>
        <w:spacing w:line="560" w:lineRule="exact"/>
        <w:ind w:firstLine="640" w:firstLineChars="200"/>
        <w:rPr>
          <w:rFonts w:ascii="仿宋" w:hAnsi="仿宋" w:eastAsia="仿宋"/>
          <w:sz w:val="32"/>
          <w:szCs w:val="32"/>
        </w:rPr>
      </w:pPr>
      <w:r>
        <w:rPr>
          <w:rFonts w:hint="eastAsia" w:ascii="仿宋" w:hAnsi="仿宋" w:eastAsia="仿宋"/>
          <w:sz w:val="32"/>
          <w:szCs w:val="32"/>
        </w:rPr>
        <w:t>（二） 持未经年检的行政执法证件进行执法活动的；</w:t>
      </w:r>
    </w:p>
    <w:p w14:paraId="1D41661A">
      <w:pPr>
        <w:spacing w:line="560" w:lineRule="exact"/>
        <w:ind w:firstLine="640" w:firstLineChars="200"/>
        <w:rPr>
          <w:rFonts w:ascii="仿宋" w:hAnsi="仿宋" w:eastAsia="仿宋"/>
          <w:sz w:val="32"/>
          <w:szCs w:val="32"/>
        </w:rPr>
      </w:pPr>
      <w:r>
        <w:rPr>
          <w:rFonts w:hint="eastAsia" w:ascii="仿宋" w:hAnsi="仿宋" w:eastAsia="仿宋"/>
          <w:sz w:val="32"/>
          <w:szCs w:val="32"/>
        </w:rPr>
        <w:t>（三）不依法履行职责、玩忽职守，滥用职权、徇私舞弊的；</w:t>
      </w:r>
    </w:p>
    <w:p w14:paraId="7993B6FD">
      <w:pPr>
        <w:spacing w:line="560" w:lineRule="exact"/>
        <w:ind w:firstLine="640" w:firstLineChars="200"/>
        <w:rPr>
          <w:rFonts w:ascii="仿宋" w:hAnsi="仿宋" w:eastAsia="仿宋"/>
          <w:sz w:val="32"/>
          <w:szCs w:val="32"/>
        </w:rPr>
      </w:pPr>
      <w:r>
        <w:rPr>
          <w:rFonts w:hint="eastAsia" w:ascii="仿宋" w:hAnsi="仿宋" w:eastAsia="仿宋"/>
          <w:sz w:val="32"/>
          <w:szCs w:val="32"/>
        </w:rPr>
        <w:t>（四）拒绝接受监督检查的；</w:t>
      </w:r>
    </w:p>
    <w:p w14:paraId="689950D3">
      <w:pPr>
        <w:spacing w:line="560" w:lineRule="exact"/>
        <w:ind w:firstLine="640" w:firstLineChars="200"/>
        <w:rPr>
          <w:rFonts w:ascii="仿宋" w:hAnsi="仿宋" w:eastAsia="仿宋"/>
          <w:sz w:val="32"/>
          <w:szCs w:val="32"/>
        </w:rPr>
      </w:pPr>
      <w:r>
        <w:rPr>
          <w:rFonts w:hint="eastAsia" w:ascii="仿宋" w:hAnsi="仿宋" w:eastAsia="仿宋"/>
          <w:sz w:val="32"/>
          <w:szCs w:val="32"/>
        </w:rPr>
        <w:t>（五）其他违反法律、法规、规章规定行为的。</w:t>
      </w:r>
    </w:p>
    <w:p w14:paraId="53ACC38F">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第十八条</w:t>
      </w:r>
      <w:r>
        <w:rPr>
          <w:rFonts w:hint="eastAsia" w:ascii="仿宋" w:hAnsi="仿宋" w:eastAsia="仿宋"/>
          <w:sz w:val="32"/>
          <w:szCs w:val="32"/>
        </w:rPr>
        <w:t xml:space="preserve"> 行政执法人员从事行政执法活动时具有下列行为之一的，由本级或者上级行政执法机关、政府司法行政机关吊销其行政执法证件：</w:t>
      </w:r>
    </w:p>
    <w:p w14:paraId="402A3699">
      <w:pPr>
        <w:spacing w:line="560" w:lineRule="exact"/>
        <w:ind w:firstLine="640" w:firstLineChars="200"/>
        <w:rPr>
          <w:rFonts w:ascii="仿宋" w:hAnsi="仿宋" w:eastAsia="仿宋"/>
          <w:sz w:val="32"/>
          <w:szCs w:val="32"/>
        </w:rPr>
      </w:pPr>
      <w:r>
        <w:rPr>
          <w:rFonts w:hint="eastAsia" w:ascii="仿宋" w:hAnsi="仿宋" w:eastAsia="仿宋"/>
          <w:sz w:val="32"/>
          <w:szCs w:val="32"/>
        </w:rPr>
        <w:t>（一）将行政执法证件交由其他人员使用的；</w:t>
      </w:r>
    </w:p>
    <w:p w14:paraId="01E357AA">
      <w:pPr>
        <w:spacing w:line="560" w:lineRule="exact"/>
        <w:ind w:firstLine="640" w:firstLineChars="200"/>
        <w:rPr>
          <w:rFonts w:ascii="仿宋" w:hAnsi="仿宋" w:eastAsia="仿宋"/>
          <w:sz w:val="32"/>
          <w:szCs w:val="32"/>
        </w:rPr>
      </w:pPr>
      <w:r>
        <w:rPr>
          <w:rFonts w:hint="eastAsia" w:ascii="仿宋" w:hAnsi="仿宋" w:eastAsia="仿宋"/>
          <w:sz w:val="32"/>
          <w:szCs w:val="32"/>
        </w:rPr>
        <w:t>（二）涂改、冒用行政执法证件的；</w:t>
      </w:r>
    </w:p>
    <w:p w14:paraId="52FD29AA">
      <w:pPr>
        <w:spacing w:line="560" w:lineRule="exact"/>
        <w:ind w:firstLine="640" w:firstLineChars="200"/>
        <w:rPr>
          <w:rFonts w:ascii="仿宋" w:hAnsi="仿宋" w:eastAsia="仿宋"/>
          <w:sz w:val="32"/>
          <w:szCs w:val="32"/>
        </w:rPr>
      </w:pPr>
      <w:r>
        <w:rPr>
          <w:rFonts w:hint="eastAsia" w:ascii="仿宋" w:hAnsi="仿宋" w:eastAsia="仿宋"/>
          <w:sz w:val="32"/>
          <w:szCs w:val="32"/>
        </w:rPr>
        <w:t>（三）隐瞒、包庇、袒护、纵容违法行为，情节严重的；</w:t>
      </w:r>
    </w:p>
    <w:p w14:paraId="7B8B1466">
      <w:pPr>
        <w:spacing w:line="560" w:lineRule="exact"/>
        <w:ind w:firstLine="640" w:firstLineChars="200"/>
        <w:rPr>
          <w:rFonts w:ascii="仿宋" w:hAnsi="仿宋" w:eastAsia="仿宋"/>
          <w:sz w:val="32"/>
          <w:szCs w:val="32"/>
        </w:rPr>
      </w:pPr>
      <w:r>
        <w:rPr>
          <w:rFonts w:hint="eastAsia" w:ascii="仿宋" w:hAnsi="仿宋" w:eastAsia="仿宋"/>
          <w:sz w:val="32"/>
          <w:szCs w:val="32"/>
        </w:rPr>
        <w:t>（四）给行政相对人、国家、集体和其他组织利益造成重大损害的；</w:t>
      </w:r>
    </w:p>
    <w:p w14:paraId="5C289962">
      <w:pPr>
        <w:spacing w:line="560" w:lineRule="exact"/>
        <w:ind w:firstLine="640" w:firstLineChars="200"/>
        <w:rPr>
          <w:rFonts w:ascii="仿宋" w:hAnsi="仿宋" w:eastAsia="仿宋"/>
          <w:sz w:val="32"/>
          <w:szCs w:val="32"/>
        </w:rPr>
      </w:pPr>
      <w:r>
        <w:rPr>
          <w:rFonts w:hint="eastAsia" w:ascii="仿宋" w:hAnsi="仿宋" w:eastAsia="仿宋"/>
          <w:sz w:val="32"/>
          <w:szCs w:val="32"/>
        </w:rPr>
        <w:t>（五）索取、收受他人财物或者谋取不正当利益的；</w:t>
      </w:r>
    </w:p>
    <w:p w14:paraId="1C6D7F08">
      <w:pPr>
        <w:spacing w:line="560" w:lineRule="exact"/>
        <w:ind w:firstLine="640" w:firstLineChars="200"/>
        <w:rPr>
          <w:rFonts w:ascii="仿宋" w:hAnsi="仿宋" w:eastAsia="仿宋"/>
          <w:sz w:val="32"/>
          <w:szCs w:val="32"/>
        </w:rPr>
      </w:pPr>
      <w:r>
        <w:rPr>
          <w:rFonts w:hint="eastAsia" w:ascii="仿宋" w:hAnsi="仿宋" w:eastAsia="仿宋"/>
          <w:sz w:val="32"/>
          <w:szCs w:val="32"/>
        </w:rPr>
        <w:t>（六）其他违反法律、法规、规章规定行为的。</w:t>
      </w:r>
    </w:p>
    <w:p w14:paraId="480F3A98">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第十九条</w:t>
      </w:r>
      <w:r>
        <w:rPr>
          <w:rFonts w:hint="eastAsia" w:ascii="仿宋" w:hAnsi="仿宋" w:eastAsia="仿宋"/>
          <w:sz w:val="32"/>
          <w:szCs w:val="32"/>
        </w:rPr>
        <w:t xml:space="preserve"> 暂扣行政执法证件的期限为60日，被暂扣行政执法证件期间，行政执法人员不得从事行政执法活动。被吊销行政执法证件的行政执法人员2年内不得重新申领行政执法证件 。</w:t>
      </w:r>
    </w:p>
    <w:p w14:paraId="4961D14C">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第二十条</w:t>
      </w:r>
      <w:r>
        <w:rPr>
          <w:rFonts w:hint="eastAsia" w:ascii="仿宋" w:hAnsi="仿宋" w:eastAsia="仿宋"/>
          <w:sz w:val="32"/>
          <w:szCs w:val="32"/>
        </w:rPr>
        <w:t xml:space="preserve"> 暂扣行政执法证件应当由由本级或者上级行政执法机关、政府司法行政机关负责人决定。吊销行政执法证件应当由本级或者上级行政执法机关、政府司法行政机关集体讨论决定。行政执法人员被吊销行政执法证件的应当调离行政执法岗位。</w:t>
      </w:r>
    </w:p>
    <w:p w14:paraId="1CBDC1EA">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第二十一条</w:t>
      </w:r>
      <w:r>
        <w:rPr>
          <w:rFonts w:hint="eastAsia" w:ascii="仿宋" w:hAnsi="仿宋" w:eastAsia="仿宋"/>
          <w:sz w:val="32"/>
          <w:szCs w:val="32"/>
        </w:rPr>
        <w:t xml:space="preserve"> 行政执法人员对暂扣或者吊销行政执法证件不服的，可以在收到处理决定之日起30日内，向作出该决定的行政机关申请复核，收到复核申请之日起30日内作出复核决定并书面通知申请人。</w:t>
      </w:r>
    </w:p>
    <w:p w14:paraId="2234DCD6">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第二十二条</w:t>
      </w:r>
      <w:r>
        <w:rPr>
          <w:rFonts w:hint="eastAsia" w:ascii="仿宋" w:hAnsi="仿宋" w:eastAsia="仿宋"/>
          <w:sz w:val="32"/>
          <w:szCs w:val="32"/>
        </w:rPr>
        <w:t xml:space="preserve"> 伪造、变造、擅自印制行政执法证件的，由行为发生地县级以上人民政府司法行政机关予以收缴、销毁；同时向有关机关反映线索追究其行政或者刑事责任。</w:t>
      </w:r>
    </w:p>
    <w:p w14:paraId="1E99C5F2">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第二十三条</w:t>
      </w:r>
      <w:r>
        <w:rPr>
          <w:rFonts w:hint="eastAsia" w:ascii="仿宋" w:hAnsi="仿宋" w:eastAsia="仿宋"/>
          <w:sz w:val="32"/>
          <w:szCs w:val="32"/>
        </w:rPr>
        <w:t xml:space="preserve"> 行政执法机关为不符合本办法规定条件的人员申办行政执法证件的，依法依规追究相关人员责任。</w:t>
      </w:r>
    </w:p>
    <w:p w14:paraId="792D7EAC">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第二十四条</w:t>
      </w:r>
      <w:r>
        <w:rPr>
          <w:rFonts w:hint="eastAsia" w:ascii="仿宋" w:hAnsi="仿宋" w:eastAsia="仿宋"/>
          <w:sz w:val="32"/>
          <w:szCs w:val="32"/>
        </w:rPr>
        <w:t xml:space="preserve"> 本制度自发布之日起施行。</w:t>
      </w:r>
    </w:p>
    <w:p w14:paraId="1A40CDB4">
      <w:pPr>
        <w:rPr>
          <w:rFonts w:ascii="仿宋" w:hAnsi="仿宋" w:eastAsia="仿宋"/>
          <w:sz w:val="32"/>
          <w:szCs w:val="32"/>
        </w:rPr>
      </w:pPr>
      <w:r>
        <w:rPr>
          <w:rFonts w:hint="eastAsia" w:ascii="仿宋" w:hAnsi="仿宋" w:eastAsia="仿宋"/>
          <w:sz w:val="32"/>
          <w:szCs w:val="32"/>
        </w:rPr>
        <w:br w:type="page"/>
      </w:r>
    </w:p>
    <w:p w14:paraId="1896CBB6">
      <w:pP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          白城市行政执法公示制度</w:t>
      </w:r>
    </w:p>
    <w:p w14:paraId="5E2A16ED">
      <w:pPr>
        <w:spacing w:line="560" w:lineRule="exact"/>
        <w:jc w:val="left"/>
        <w:rPr>
          <w:rFonts w:ascii="仿宋" w:hAnsi="仿宋" w:eastAsia="仿宋" w:cs="仿宋"/>
          <w:sz w:val="32"/>
          <w:szCs w:val="32"/>
        </w:rPr>
      </w:pPr>
    </w:p>
    <w:p w14:paraId="6A4CACE3">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深入贯彻落实《国务院办公厅关于印发推行行政执法公示制度执法全过程记录制度重大执法决定法制审核制度试点工作方案的通知》(国办发(2017)14号)精神，建立和实施行政执法公示制度，提高行政执法工作透明度，保障和监督行政执法部门依法行政，切实保护公民、法人和其他组织的合法权益，加快建设法治政府，优化营商环境，制定本制度。</w:t>
      </w:r>
    </w:p>
    <w:p w14:paraId="223403E2">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行政执法公示是指通过一定载体和方式，将本地本部门的执法主体、人员、职责、权限、依据、程序、结果、监督方式、救济途径等行政执法信息，主动向社会公开，保障行政相对人和社会公众的知情权、参与权、救济权、监督权，自觉接受社会监督。</w:t>
      </w:r>
    </w:p>
    <w:p w14:paraId="5F83F1EE">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各级政府及其行政执法部门(含法律法规授权的具有管理公共事务职能的组织，下同)应当在行政许可、行政处罚、行政强制、行政征收、行政收费、行政检查6类行政执法行为中全面推行行政执法公示制度。</w:t>
      </w:r>
    </w:p>
    <w:p w14:paraId="376AE9A4">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行政执法公示应当坚持公平、公正、合法、及时、准确、便民的原则。</w:t>
      </w:r>
    </w:p>
    <w:p w14:paraId="10A77CA4">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事前公开主要是公开行政执法主体、人员、职责、权限、随机抽查事项清单、依据、程序、监督方式、救济渠道等信息，并根据法律、法规、规章立改废和部门机构职能调整等情况动态调整。</w:t>
      </w:r>
    </w:p>
    <w:p w14:paraId="1D02DA6F">
      <w:pPr>
        <w:spacing w:line="560" w:lineRule="exact"/>
        <w:ind w:firstLine="640"/>
        <w:jc w:val="left"/>
        <w:rPr>
          <w:rFonts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行政执法主体是指根据法律、法规和规章的规定，可以行</w:t>
      </w:r>
    </w:p>
    <w:p w14:paraId="29BB8B53">
      <w:pPr>
        <w:spacing w:line="560" w:lineRule="exact"/>
        <w:jc w:val="left"/>
        <w:rPr>
          <w:rFonts w:ascii="仿宋" w:hAnsi="仿宋" w:eastAsia="仿宋" w:cs="仿宋"/>
          <w:sz w:val="32"/>
          <w:szCs w:val="32"/>
        </w:rPr>
      </w:pPr>
      <w:r>
        <w:rPr>
          <w:rFonts w:hint="eastAsia" w:ascii="仿宋" w:hAnsi="仿宋" w:eastAsia="仿宋" w:cs="仿宋"/>
          <w:sz w:val="32"/>
          <w:szCs w:val="32"/>
        </w:rPr>
        <w:t>使一定行政执法职权的行政机关以及法律、法规授权在特定范園内行使一定行政执法职权的具有管理公共事务职能的组织。</w:t>
      </w:r>
    </w:p>
    <w:p w14:paraId="78026D4C">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县级以上政府及其行政执法部门应当以适当方式主动公示执法主体的名称、具体职责、内设执法机构、职责分工、管辖范围、执法区域。</w:t>
      </w:r>
    </w:p>
    <w:p w14:paraId="0A930433">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行政执法人员是指具有行政执法资格，依据法定职权对公民、法人或者其他组织实施行政管理的人员。</w:t>
      </w:r>
    </w:p>
    <w:p w14:paraId="6422C321">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县级以上政府及其行政执法部门应当在本级政府和部门网站上公开本地、本部门行政执法人员清单，实现行政执法人员信息公开透明，网上可查询，随时接受群众监督。</w:t>
      </w:r>
    </w:p>
    <w:p w14:paraId="6685B7A7">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行政执法依据是指行政执法主体作出具体行政行为所依据的法律、法规、规章、规范性文件。行政执法部门应当结合政府信息公开、权责清单公布、“双随机、一公开”监管等工作，逐项公示行政执法依据。</w:t>
      </w:r>
    </w:p>
    <w:p w14:paraId="217F0393">
      <w:pPr>
        <w:spacing w:line="560" w:lineRule="exact"/>
        <w:ind w:firstLine="640"/>
        <w:jc w:val="left"/>
        <w:rPr>
          <w:rFonts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执法权限是指行政执法主体执行法律、法规和规章规定管理社会公共事务的职权范围。行政执法部门应当及时公示行政许可、</w:t>
      </w:r>
    </w:p>
    <w:p w14:paraId="49E726A0">
      <w:pPr>
        <w:spacing w:line="560" w:lineRule="exact"/>
        <w:jc w:val="left"/>
        <w:rPr>
          <w:rFonts w:ascii="仿宋" w:hAnsi="仿宋" w:eastAsia="仿宋" w:cs="仿宋"/>
          <w:sz w:val="32"/>
          <w:szCs w:val="32"/>
        </w:rPr>
      </w:pPr>
      <w:r>
        <w:rPr>
          <w:rFonts w:hint="eastAsia" w:ascii="仿宋" w:hAnsi="仿宋" w:eastAsia="仿宋" w:cs="仿宋"/>
          <w:sz w:val="32"/>
          <w:szCs w:val="32"/>
        </w:rPr>
        <w:t>行政处罚、行政强制、行政收费、行政征收、行政检査等事项。</w:t>
      </w:r>
    </w:p>
    <w:p w14:paraId="078D033B">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执法程序是指行政执法主体在行使行政执法权作出具体行政行为时应当遵循的方式、步骤、时限和顺序。行政执法部门应当根据法律、法规、规章规定的方式、步骤、时限和顺序，逐项制定行政执法流程图，并主动予以公示。</w:t>
      </w:r>
    </w:p>
    <w:p w14:paraId="2E3AD725">
      <w:pPr>
        <w:spacing w:line="560" w:lineRule="exact"/>
        <w:ind w:firstLine="640"/>
        <w:jc w:val="left"/>
        <w:rPr>
          <w:rFonts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行政执法部门制定随机抽查事项清单，明确抽查依据、</w:t>
      </w:r>
    </w:p>
    <w:p w14:paraId="78A5D5D2">
      <w:pPr>
        <w:spacing w:line="560" w:lineRule="exact"/>
        <w:jc w:val="left"/>
        <w:rPr>
          <w:rFonts w:ascii="仿宋" w:hAnsi="仿宋" w:eastAsia="仿宋" w:cs="仿宋"/>
          <w:sz w:val="32"/>
          <w:szCs w:val="32"/>
        </w:rPr>
      </w:pPr>
      <w:r>
        <w:rPr>
          <w:rFonts w:hint="eastAsia" w:ascii="仿宋" w:hAnsi="仿宋" w:eastAsia="仿宋" w:cs="仿宋"/>
          <w:sz w:val="32"/>
          <w:szCs w:val="32"/>
        </w:rPr>
        <w:t>抽查主体、抽査内容、抽査方式、抽査比例、抽查频次等内容。</w:t>
      </w:r>
    </w:p>
    <w:p w14:paraId="3728CE2B">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行政执法部门应当公开行政相对人依法享有的听证权、陈述权、申辦权和申请行政复议或者提起行政诉讼等法定权利和救济途径。</w:t>
      </w:r>
    </w:p>
    <w:p w14:paraId="26A78C5E">
      <w:pPr>
        <w:spacing w:line="560" w:lineRule="exact"/>
        <w:ind w:firstLine="640"/>
        <w:jc w:val="left"/>
        <w:rPr>
          <w:rFonts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xml:space="preserve"> 公民、法人或者其他组织有权对行政执法主体及其行政执法人员的执法行为进行监督和举报。行政执法部门应当主动公示接受监督举报的地址、邮编、电话、邮箱及受理反馈程序。</w:t>
      </w:r>
    </w:p>
    <w:p w14:paraId="36D3AD97">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xml:space="preserve"> 行政执法人员进行监督检查、调查取证、告知送达等执法活动时应当佩戴或者出示执法证件，出具执法文书，告知行政相对人执法事由、执法依据、权利义务等内容，并做好说明解释工作。根据有关规定配备制式服装、执法标识的行政执法部门，其行政执法人员应当按照规定着制式服装、佩戴执法标志。</w:t>
      </w:r>
    </w:p>
    <w:p w14:paraId="4270F164">
      <w:pPr>
        <w:tabs>
          <w:tab w:val="left" w:pos="1513"/>
          <w:tab w:val="center" w:pos="6009"/>
        </w:tabs>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行政执法部门应当结合本部门职责制作服务指南、岗位信息公示牌等，在服务窗口主动公示许可或者服务事项名称、依据、受理机构、审批机构、许可条件、申请材料清单(含示范文本和常见错误示例)、办理流程、办理时限、证照发放、表格下载方式、监督检查、咨询渠道、投诉举报、办公时间、办公地址、办公电话、状态查询，各类减、免、缓、征的条件、标准和审批或者办理程序。</w:t>
      </w:r>
    </w:p>
    <w:p w14:paraId="03AE674B">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行政执法部门作出的行政许可、行政处罚、行政检査决定(结果)，除法律、法规、规章另有规定外，应当予以公开，接受社会监督。行政执法部门根据有关规定，结合本部门实际，研究确定行政强制、行政收费、行政征收决定(结果)应当公开的内容，并予以公开，接受社会监督。</w:t>
      </w:r>
    </w:p>
    <w:p w14:paraId="6D8A4EB4">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行政执法部门公开的行政执法决定(结果)信息，包括执法对象、执法方式、执法内容、执法决定(结果)、执法机关等内容。</w:t>
      </w:r>
    </w:p>
    <w:p w14:paraId="7BCDECCC">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xml:space="preserve"> 行政执法部门按照“谁执法、谁公开”的原则，以网络平台为主要载体，以政府文件、新闻媒体、办公场所等为补充，不断拓展公开渠道方式，全面、准确、及时公开有关行政执法信息。法律法规规章另有规定的，从其规定。</w:t>
      </w:r>
    </w:p>
    <w:p w14:paraId="14755241">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xml:space="preserve"> 行政执法部门应当根据相关法律、法规、规章规定，编制本部门各类行政执法流程图，明确具体操作流程。编制行政执法服务指南，明确行政执法事项名称、依据、受理机构、审批机构、许可条件、优惠政策、申请材料、办理流程、办理时限、监督方式、责任迫究、救济渠道、办公时间、办公地址、办公电话等内容，方便群众办事。</w:t>
      </w:r>
    </w:p>
    <w:p w14:paraId="6FEA9E46">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xml:space="preserve"> 行政执法部门公开行政执法决定(结果)应当及时、客观、准确、便民。</w:t>
      </w:r>
    </w:p>
    <w:p w14:paraId="5E4FE2E1">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xml:space="preserve"> 行政执法部门应当构建分工明确、职责明晰、便捷高效的行政执法公示运行机制，明确专门机构和人员负责公示内容的杭理、汇总、传递、发布和更新工作。</w:t>
      </w:r>
    </w:p>
    <w:p w14:paraId="589AC7B5">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xml:space="preserve"> 行政执法部门公开行政执法信息应当进行内部审核，明确审查的程序和责任，对拟公示的信息依法进行审查，未经审査不得发布。</w:t>
      </w:r>
    </w:p>
    <w:p w14:paraId="4E39158F">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xml:space="preserve"> 行政执法部门发现公开的行政执法信息不准确的，应当及时更正。公民、法人或者其他组织有证据证明公示的行政执法信息不准确的，有权要求实施公开的行政执法部门予以更正;行政执法部门应当及时作出处理。</w:t>
      </w:r>
    </w:p>
    <w:p w14:paraId="3556BD52">
      <w:pPr>
        <w:rPr>
          <w:rFonts w:ascii="仿宋" w:hAnsi="仿宋" w:eastAsia="仿宋" w:cs="仿宋"/>
          <w:sz w:val="32"/>
          <w:szCs w:val="32"/>
        </w:rPr>
      </w:pPr>
      <w:r>
        <w:rPr>
          <w:rFonts w:hint="eastAsia" w:ascii="仿宋" w:hAnsi="仿宋" w:eastAsia="仿宋" w:cs="仿宋"/>
          <w:sz w:val="32"/>
          <w:szCs w:val="32"/>
        </w:rPr>
        <w:br w:type="page"/>
      </w:r>
    </w:p>
    <w:p w14:paraId="5FD66FC1">
      <w:pP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       白城市行政执法全过程记录制度</w:t>
      </w:r>
    </w:p>
    <w:p w14:paraId="6122D654">
      <w:pPr>
        <w:spacing w:line="560" w:lineRule="exact"/>
        <w:rPr>
          <w:rFonts w:ascii="仿宋" w:hAnsi="仿宋" w:eastAsia="仿宋" w:cs="仿宋"/>
          <w:sz w:val="32"/>
          <w:szCs w:val="32"/>
        </w:rPr>
      </w:pPr>
    </w:p>
    <w:p w14:paraId="2ABE2EDD">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为推进行政执法全过程记录制度建设，规范行政执法程序，促进行政执法机关严格、规范、公正、文明执法，保障公民、法入和其他社会组织合法权益，根据有关法律法规规定，结合我市实际，制定本制度。</w:t>
      </w:r>
    </w:p>
    <w:p w14:paraId="7339D607">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本办法所称行政执法，是指具有行政执法权的</w:t>
      </w:r>
      <w:r>
        <w:rPr>
          <w:rFonts w:hint="eastAsia" w:ascii="仿宋" w:hAnsi="仿宋" w:eastAsia="仿宋" w:cs="仿宋"/>
          <w:sz w:val="32"/>
          <w:szCs w:val="32"/>
          <w:lang w:val="en-US" w:eastAsia="zh-CN"/>
        </w:rPr>
        <w:t>行政</w:t>
      </w:r>
      <w:r>
        <w:rPr>
          <w:rFonts w:hint="eastAsia" w:ascii="仿宋" w:hAnsi="仿宋" w:eastAsia="仿宋" w:cs="仿宋"/>
          <w:sz w:val="32"/>
          <w:szCs w:val="32"/>
        </w:rPr>
        <w:t>机关、法律法规授权的组织或依法受委托的组织，依据法律、法规和规章实施的行政许可、行政处罚、行政强制、行政征收、行政收费、行政检查等行政行为。</w:t>
      </w:r>
    </w:p>
    <w:p w14:paraId="7E951D32">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本办法所称全过程记录，是指行政执法机关及其执法人员通过文字、音像等记录方式，对执法程序启动、调查取证、审査决定、送达执行、归档管理等行政执法整个过程进行跟踪记录的活动。</w:t>
      </w:r>
    </w:p>
    <w:p w14:paraId="26530D57">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行政执法全过程记录应坚持合法、客观、公正的原则。行政执法机关及执法人员应根据行政执法行为的性质、种类、现场、阶段不同，采取合法、适当、有效的方式和手段对执法全过程实施记录。</w:t>
      </w:r>
    </w:p>
    <w:p w14:paraId="49D547D9">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行政执法机关的法制机构负责对本行政区域、本系统行政执法全过程记录工作的监督、检查、指导和协调，根据执法需要配备相应的音像记录设备。</w:t>
      </w:r>
    </w:p>
    <w:p w14:paraId="10B320A6">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行政执法机关对公民、法人或其他组织依法申请办理的事项，应依照有关法律法规和规章的规定对申请登记、口头申请、受理或不予受理、当场更正申请材料中的错误、出具书面凭证或回执以及一次性告知申请人需补正的全部内容等予以记录。</w:t>
      </w:r>
    </w:p>
    <w:p w14:paraId="2D4B6F5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行政执法机关可在受理地点安装视频监控系统，实时记录受理、办理过程。</w:t>
      </w:r>
    </w:p>
    <w:p w14:paraId="7E6D3A84">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行政执法机关接到公民、法人或其他组织对违法行为投诉、举报的，需要查处的，及时启动执法程序，并进行相应记录;对实名投诉、举报，经审查不启动行政执法程序的，应依据相关法律、法规和规章的规定告知投诉人、举报人，并将相关情况作书面记录。</w:t>
      </w:r>
    </w:p>
    <w:p w14:paraId="16051554">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行政执法人员应在相关调査笔录中对执法人员数量、姓名、执法证件编号及出示情况进行文字记录，并由当事人或有关在场人员签字或盖章。</w:t>
      </w:r>
    </w:p>
    <w:p w14:paraId="503CC2D0">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行政执法人员在执法过程中对告知行政相对人陈述、申辩、申请回避、听证等权利的方式应进行记录。</w:t>
      </w:r>
    </w:p>
    <w:p w14:paraId="70C51FD7">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调查、取证可采取以下方式进行文字记录:</w:t>
      </w:r>
    </w:p>
    <w:p w14:paraId="53AF73A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(一)询问当事人或证人，应制作询问笔录等文书；</w:t>
      </w:r>
    </w:p>
    <w:p w14:paraId="5086FA6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(二)向有关単位和个人调取书证、物证的，应制作满取证据通知书、证据登记保存清单等文书；</w:t>
      </w:r>
    </w:p>
    <w:p w14:paraId="69927D0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(三)现场检查(勘验)等，应制作现场检査(勘验)笔录等文书；</w:t>
      </w:r>
    </w:p>
    <w:p w14:paraId="33A95FA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(四)抽样的，应制作抽查取样通知书及物品清单等文书;</w:t>
      </w:r>
    </w:p>
    <w:p w14:paraId="5E17883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(五)听取当事人陈述和申辫的，应制作权利告知书、陈述申辩笔录等文书;</w:t>
      </w:r>
    </w:p>
    <w:p w14:paraId="47081B1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(六)举行听证会的，应依照听证的规定制作听证全过程记录文书;</w:t>
      </w:r>
    </w:p>
    <w:p w14:paraId="2E429C9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(七)指定或委托法定的鉴定机构出具鉴定意见的，鉴定机构应出具鉴定意见书等文书；</w:t>
      </w:r>
    </w:p>
    <w:p w14:paraId="03F6AC0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(八)法律、法规和规章规定的其他调査方式。</w:t>
      </w:r>
    </w:p>
    <w:p w14:paraId="740EF40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上述文书均应由行政执法人员、行政相对人及有关人员签字或盖章。当事人或有关人员拒绝接受调査和提供证据的，行政执法人员应进行记录。</w:t>
      </w:r>
    </w:p>
    <w:p w14:paraId="44D06092">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行政执法机关采取现场检查(勘验)、抽样调査和听证取证方式的，应同时进行音像记录，不适宜音像记录的除外。采取其他调查取证方式的，可根据执法需要进行音像记录。</w:t>
      </w:r>
    </w:p>
    <w:p w14:paraId="5576A61C">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在证据可能灾失或以后难以取得的情况下，行政执法机关采取证据保全措施的，应记录以下事项：</w:t>
      </w:r>
    </w:p>
    <w:p w14:paraId="584A192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(一)证据保全的启动理由；</w:t>
      </w:r>
    </w:p>
    <w:p w14:paraId="7D72DB4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(二)证据保全的具体标的；</w:t>
      </w:r>
    </w:p>
    <w:p w14:paraId="6CC8E20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(三)证据保全的形式，包括先行登记保存证据法定文书复制、音像、鉴定、勘验、制作询问笔录等。</w:t>
      </w:r>
    </w:p>
    <w:p w14:paraId="0BC8A8A6">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xml:space="preserve"> 具有行政强制权的行政执法机关依法实施限制公民人身自由，查封场所、设施或财物，扣押财物，冻结存款、汇款等行政强制措施的，应通过制作法定文书的方式进行文字记录。</w:t>
      </w:r>
    </w:p>
    <w:p w14:paraId="16E8BFD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依法实施限制公民人身自由，查封场所、设施或财物，扣押财物的，还应同时进行音像记录。</w:t>
      </w:r>
    </w:p>
    <w:p w14:paraId="329589A0">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xml:space="preserve"> 草拟行政执法决定时的文字记录应载明起草人起草机构审査人、决定形成的法律依据、证据材料、应考虑的有关因素等。</w:t>
      </w:r>
    </w:p>
    <w:p w14:paraId="728975CB">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法制机构审査文字记录应载明法制机构审查人员、审査意见和建议。</w:t>
      </w:r>
    </w:p>
    <w:p w14:paraId="2B60082B">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组织专家论证的，应制作专家论证会议纪要或专家意见书。</w:t>
      </w:r>
    </w:p>
    <w:p w14:paraId="360B6821">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集体讨论应制作集体讨论记录或会议纪要。</w:t>
      </w:r>
    </w:p>
    <w:p w14:paraId="0E42D2D7">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xml:space="preserve"> 负责人审批记录包括负责人签署意见、负责人签名。</w:t>
      </w:r>
    </w:p>
    <w:p w14:paraId="328B3ABA">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xml:space="preserve"> 行政执法决定文书应符合法定格式，充分说明执法处理决定的理由，语言要简明准确。</w:t>
      </w:r>
    </w:p>
    <w:p w14:paraId="0B33F0CD">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xml:space="preserve"> 适用简易程序的，应记录以下内容：</w:t>
      </w:r>
    </w:p>
    <w:p w14:paraId="34A05416">
      <w:pPr>
        <w:numPr>
          <w:ilvl w:val="0"/>
          <w:numId w:val="1"/>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适用简易程序的事实依据、法律依据的具体条件；</w:t>
      </w:r>
    </w:p>
    <w:p w14:paraId="7108835E">
      <w:pPr>
        <w:numPr>
          <w:ilvl w:val="0"/>
          <w:numId w:val="1"/>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实施简易程序的程序步骤及法定文书;</w:t>
      </w:r>
    </w:p>
    <w:p w14:paraId="7CD20FE3">
      <w:pPr>
        <w:numPr>
          <w:ilvl w:val="0"/>
          <w:numId w:val="1"/>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当事人陈述、申辨的记录；</w:t>
      </w:r>
    </w:p>
    <w:p w14:paraId="3C236893">
      <w:pPr>
        <w:numPr>
          <w:ilvl w:val="0"/>
          <w:numId w:val="1"/>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对当事人陈述、申辨内容的复核及处理，是否采纳的理由;</w:t>
      </w:r>
    </w:p>
    <w:p w14:paraId="7EDB7917">
      <w:pPr>
        <w:numPr>
          <w:ilvl w:val="0"/>
          <w:numId w:val="1"/>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依法向所属行政机关备案的内容；</w:t>
      </w:r>
    </w:p>
    <w:p w14:paraId="31B3B7E9">
      <w:pPr>
        <w:numPr>
          <w:ilvl w:val="0"/>
          <w:numId w:val="1"/>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对符合当场收缴罚款情况的实施过程;</w:t>
      </w:r>
    </w:p>
    <w:p w14:paraId="0EFCE052">
      <w:pPr>
        <w:numPr>
          <w:ilvl w:val="0"/>
          <w:numId w:val="1"/>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其他依法记录的内容。</w:t>
      </w:r>
    </w:p>
    <w:p w14:paraId="2105EB8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对容易引起行政争议的简易程序执法行为，行政执法机关应采用适当方式进行音像记录。</w:t>
      </w:r>
    </w:p>
    <w:p w14:paraId="2047BFAC">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xml:space="preserve"> 直接送达行政执法文书，由送达人、受送达人或符合法定条件的签收人在送达回证上签名或盖章。</w:t>
      </w:r>
    </w:p>
    <w:p w14:paraId="5D550240">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xml:space="preserve"> 邮寄送达行政执法文书应用挂号信或特快专递，留存邮寄送达的登记、付邮凭证和回执。</w:t>
      </w:r>
    </w:p>
    <w:p w14:paraId="0E966E43">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xml:space="preserve"> 留置送达方式应符合法定形式，在送达回证上已明拒收事由和日期，由送达人、见证人签名或盖章，把执法文书留在受送达人的住所，并采用音像记录等方式记录送达过程。</w:t>
      </w:r>
    </w:p>
    <w:p w14:paraId="16CA8314">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xml:space="preserve"> 依法采用委托、转交等方式送达行政执法文书的，应记录委托、转交原因，由送达人、受送达人在送达回证上签名或盖章。</w:t>
      </w:r>
    </w:p>
    <w:p w14:paraId="0960BF09">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xml:space="preserve"> 公告送达应重点记录已经采用其他方式均无法送达的情况以及公告送达的方式和载体，留存书面公告，以适当方式进行音像记录，并在案卷中记明原因和经过。</w:t>
      </w:r>
    </w:p>
    <w:p w14:paraId="3F8F0DCF">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xml:space="preserve"> 行政执法机关作出行政执法决定后，应对当事人履行行政决定的情况进行文字记录。</w:t>
      </w:r>
    </w:p>
    <w:p w14:paraId="3CD8E10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依法应责令改正的，应按期对改正情况进行核查并进行文字记录，可根据执法需要进行音像记录。</w:t>
      </w:r>
    </w:p>
    <w:p w14:paraId="346FA422">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xml:space="preserve"> 当事人逾期不履行行政执法决定需要强制执行的，行政执法机关应在作出强制执行决定前或申请法院强制执行前，按照法定形式制作催告书并送达当事人。</w:t>
      </w:r>
    </w:p>
    <w:p w14:paraId="2D27B1B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当事人进行陈述、申辩的，应对当事人的陈述、申辩中提出的事实、理由和证据，行政执法机关对陈述、申辩内容复核及处理意见进行记录。</w:t>
      </w:r>
    </w:p>
    <w:p w14:paraId="51F741E4">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xml:space="preserve"> 经催告，当事人无正当理由逾期仍不履行行政执法决定，具有强制执行权的行政执法机关依法采取以下强制执行方式的，应制作相应文书进行文字记录:</w:t>
      </w:r>
    </w:p>
    <w:p w14:paraId="266E488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（一）加处罚款或滞纳金;</w:t>
      </w:r>
    </w:p>
    <w:p w14:paraId="6DDCC8C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（二）划拨存款、汇款;</w:t>
      </w:r>
    </w:p>
    <w:p w14:paraId="1871958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（三）拍卖或依法处理査封、扣押的场所、设施或财物；</w:t>
      </w:r>
    </w:p>
    <w:p w14:paraId="72C5D67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（四）排除妨碍、恢复原状；</w:t>
      </w:r>
    </w:p>
    <w:p w14:paraId="53D6A46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（五）代履行；</w:t>
      </w:r>
    </w:p>
    <w:p w14:paraId="2DBD837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（六）其他强制执行方式。</w:t>
      </w:r>
    </w:p>
    <w:p w14:paraId="29E5719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采取排除妨碍、恢复原状强制执行方式的，应同时进行音像记录。</w:t>
      </w:r>
    </w:p>
    <w:p w14:paraId="2733F5A7">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xml:space="preserve"> 没有强制执行权的行政执法机关在依法催告后，需申请法院强制执行的，应对申请法院强制执行的相关文书、强制执行结果等全过程进行记录。</w:t>
      </w:r>
    </w:p>
    <w:p w14:paraId="2DC256A3">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xml:space="preserve"> 行政机关应建立健全行政执法案卷。</w:t>
      </w:r>
    </w:p>
    <w:p w14:paraId="29DBDD7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行政执法机关及其行政执法人员在行政执法行为终结之日起30日内(法律、法规、规章有具体要求的，从其规定)，应将行政执法过程中形成的文字和音像记录资料，形成相应案卷，并按照《中华人民共和国档案法》的规定归档、保存。</w:t>
      </w:r>
    </w:p>
    <w:p w14:paraId="638932E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音像记录制作完成后，行政执法人员不得自行保管，应在24小时内按要求将信息储存至执法信息系统或本单位专用存储器。</w:t>
      </w:r>
    </w:p>
    <w:p w14:paraId="32DA8889">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 xml:space="preserve"> 行政执法机关应建立健全执法全过程记录管理与使用制度，明确专门人员负责对全过程记录文字和音像资料的归档、保存和使用。</w:t>
      </w:r>
    </w:p>
    <w:p w14:paraId="4EC2F837">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xml:space="preserve"> 当事人根据需要申请复制相关执法全过程记录信息的，经行政机关负责人同意，可复制使用，依法应保密的除外。</w:t>
      </w:r>
    </w:p>
    <w:p w14:paraId="6730FA8A">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 xml:space="preserve"> 涉及国家秘密、商业秘密和个人隐私的执法记录信息，应严格按照保密工作的有关规定和权限进行管理。</w:t>
      </w:r>
    </w:p>
    <w:p w14:paraId="4725A27F">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xml:space="preserve"> 县级以上政府及其行政执法机关应将行政执法全过程记录制度的建立和实施情况纳入依法行政及行政执法评议考核。</w:t>
      </w:r>
    </w:p>
    <w:p w14:paraId="4ED3C3E9">
      <w:pPr>
        <w:spacing w:line="560" w:lineRule="exact"/>
        <w:ind w:firstLine="643" w:firstLineChars="200"/>
      </w:pPr>
      <w:r>
        <w:rPr>
          <w:rFonts w:hint="eastAsia" w:ascii="仿宋" w:hAnsi="仿宋" w:eastAsia="仿宋" w:cs="仿宋"/>
          <w:b/>
          <w:bCs/>
          <w:sz w:val="32"/>
          <w:szCs w:val="32"/>
        </w:rPr>
        <w:t>第三十五条</w:t>
      </w:r>
      <w:r>
        <w:rPr>
          <w:rFonts w:hint="eastAsia" w:ascii="仿宋" w:hAnsi="仿宋" w:eastAsia="仿宋" w:cs="仿宋"/>
          <w:sz w:val="32"/>
          <w:szCs w:val="32"/>
        </w:rPr>
        <w:t xml:space="preserve"> 行政执法机关办理行政执法事项，应健全内部工作程序，全程记录内部审批流程，明确承办人、审核人、批准人，按照行政执法的依据、条件和程序，由承办人提出意见和理由，经审核人审核后，由批准人批准。</w:t>
      </w:r>
    </w:p>
    <w:p w14:paraId="4F0A469C">
      <w:pPr>
        <w:rPr>
          <w:rFonts w:ascii="仿宋" w:hAnsi="仿宋" w:eastAsia="仿宋" w:cs="仿宋"/>
          <w:sz w:val="32"/>
          <w:szCs w:val="32"/>
          <w:lang w:val="zh-CN"/>
        </w:rPr>
      </w:pPr>
      <w:r>
        <w:rPr>
          <w:rFonts w:hint="eastAsia" w:ascii="仿宋" w:hAnsi="仿宋" w:eastAsia="仿宋" w:cs="仿宋"/>
          <w:sz w:val="32"/>
          <w:szCs w:val="32"/>
          <w:lang w:val="zh-CN"/>
        </w:rPr>
        <w:br w:type="page"/>
      </w:r>
    </w:p>
    <w:p w14:paraId="20AB4D0F">
      <w:pP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    白城市重大行政执法决定法制审核办法</w:t>
      </w:r>
    </w:p>
    <w:p w14:paraId="5EF9A924">
      <w:pPr>
        <w:spacing w:line="560" w:lineRule="exact"/>
        <w:ind w:firstLine="640" w:firstLineChars="200"/>
        <w:rPr>
          <w:rFonts w:ascii="仿宋" w:hAnsi="仿宋" w:eastAsia="仿宋" w:cs="仿宋"/>
          <w:sz w:val="32"/>
          <w:szCs w:val="32"/>
        </w:rPr>
      </w:pPr>
    </w:p>
    <w:p w14:paraId="62959FD1">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了加强对重大行政执法行为的监督，保护公民、法人和其他组织的合法权益，促进行政机关依法行政，根据《中华人民共和国行政处罚法》、《中华人民共和国行政许可法》、《中华人民共和国行政强制法》和有关法律、法规、规章的规定，制定本办法。</w:t>
      </w:r>
    </w:p>
    <w:p w14:paraId="1D6417D7">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本办法所称重大行政执法决定法制审核，是指行政机关、法律法规授权的组织(以下简称行政执法机关)在作出重大行政执法决定之前，由该行政执法机关负责法制工作的机构(以下统称法制机构)对其合法性进行审核的活动。受委托组织在委托范围内作出重大行政执法决定前，由委托机关的法制机构进行审核。</w:t>
      </w:r>
    </w:p>
    <w:p w14:paraId="14DEC7C9">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行政执法机关作出行政许可、行政处罚、行政强制、行政征收等行政执法决定，具有下列情形之一的，应当在作出决定前进行法制审核：</w:t>
      </w:r>
    </w:p>
    <w:p w14:paraId="22FCD10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(一)可能造成重大社会影响或引发社会风险的;</w:t>
      </w:r>
    </w:p>
    <w:p w14:paraId="1E249AA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(二)直接关系行政管理相对人或他人重大权益的;</w:t>
      </w:r>
    </w:p>
    <w:p w14:paraId="4CAEE21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(三)需经听证程序作出行政执法决定的;</w:t>
      </w:r>
    </w:p>
    <w:p w14:paraId="5AE6CC2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(四)案件情况疑难复杂，涉及多个法律关系的；</w:t>
      </w:r>
    </w:p>
    <w:p w14:paraId="6E6FF7ED">
      <w:pPr>
        <w:spacing w:line="560" w:lineRule="exact"/>
        <w:ind w:left="638" w:leftChars="304"/>
        <w:rPr>
          <w:rFonts w:ascii="仿宋" w:hAnsi="仿宋" w:eastAsia="仿宋" w:cs="仿宋"/>
          <w:sz w:val="32"/>
          <w:szCs w:val="32"/>
        </w:rPr>
      </w:pPr>
      <w:r>
        <w:rPr>
          <w:rFonts w:hint="eastAsia" w:ascii="仿宋" w:hAnsi="仿宋" w:eastAsia="仿宋" w:cs="仿宋"/>
          <w:sz w:val="32"/>
          <w:szCs w:val="32"/>
        </w:rPr>
        <w:t>(五)其他法律、法规、规章规定应当进行法制审核的。</w:t>
      </w:r>
    </w:p>
    <w:p w14:paraId="06A40C0B">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重大行政执法决定法制审核是作出决定前的必经程序，未经审核或者审核未通过的，行政执法机关不得作出决定。</w:t>
      </w:r>
    </w:p>
    <w:p w14:paraId="13352457">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行政执法机关在调查终结后作出行政执法决定前，对符合重大行政执法决定条件的案件应当送本行政执法机关的法制机构进行审核。</w:t>
      </w:r>
    </w:p>
    <w:p w14:paraId="1B229778">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承办机构在送审时应当提交以下材料：</w:t>
      </w:r>
    </w:p>
    <w:p w14:paraId="3CDA059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(一)重大行政执法决定的调查终结报告;</w:t>
      </w:r>
    </w:p>
    <w:p w14:paraId="1A67E06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(二)重大行政执法决定建议或者意见及其情况说明;</w:t>
      </w:r>
    </w:p>
    <w:p w14:paraId="6CE900F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(三)重大行政执法决定书代拟稿;</w:t>
      </w:r>
    </w:p>
    <w:p w14:paraId="21929C7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(四)相关证据资料;</w:t>
      </w:r>
    </w:p>
    <w:p w14:paraId="7CB1F9F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(五)经听证或者评估的，还应当提交听证笔录或者评佔报告；</w:t>
      </w:r>
    </w:p>
    <w:p w14:paraId="1F8ADF6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(六)其他需要提交的材料。</w:t>
      </w:r>
    </w:p>
    <w:p w14:paraId="46E5B3D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法制机构认为提交材料不齐全的，可以要求承办机构在指定时间提交。</w:t>
      </w:r>
    </w:p>
    <w:p w14:paraId="1FC13ADD">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重大行政执法决定建议情況说明应当载明以下内容：</w:t>
      </w:r>
    </w:p>
    <w:p w14:paraId="4B5C3E1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(一)基本事实;</w:t>
      </w:r>
    </w:p>
    <w:p w14:paraId="17ABE5D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(二)适用法律、法规、规章和执行裁量基准的情况；</w:t>
      </w:r>
    </w:p>
    <w:p w14:paraId="794CC93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(三)行政执法人员资格情况;</w:t>
      </w:r>
    </w:p>
    <w:p w14:paraId="0E88635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(四)调查取证和听证情况;</w:t>
      </w:r>
    </w:p>
    <w:p w14:paraId="598118D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(五)其他需要说明的情况。</w:t>
      </w:r>
    </w:p>
    <w:p w14:paraId="03F11403">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法制机构对拟作出的重大行政执法决定从以下几个方面进行审核：</w:t>
      </w:r>
    </w:p>
    <w:p w14:paraId="20F0841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(一)行政执法机关主体是否合法，行政执法人员是否具备执法资格;</w:t>
      </w:r>
    </w:p>
    <w:p w14:paraId="3719587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(二)主要事实是否清楚，证据是否确凿、充分；</w:t>
      </w:r>
    </w:p>
    <w:p w14:paraId="18C72FA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(三)适用法律、法规、规章是否准确，执行裁量基准是否适当；</w:t>
      </w:r>
    </w:p>
    <w:p w14:paraId="55E374E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(四)程序是否合法；</w:t>
      </w:r>
    </w:p>
    <w:p w14:paraId="71CFE5A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(五)是否有超越本机关职权范围或</w:t>
      </w:r>
      <w:r>
        <w:rPr>
          <w:rFonts w:hint="eastAsia" w:ascii="仿宋" w:hAnsi="仿宋" w:eastAsia="仿宋" w:cs="仿宋"/>
          <w:sz w:val="32"/>
          <w:szCs w:val="32"/>
          <w:lang w:val="en-US" w:eastAsia="zh-CN"/>
        </w:rPr>
        <w:t>滥用</w:t>
      </w:r>
      <w:r>
        <w:rPr>
          <w:rFonts w:hint="eastAsia" w:ascii="仿宋" w:hAnsi="仿宋" w:eastAsia="仿宋" w:cs="仿宋"/>
          <w:sz w:val="32"/>
          <w:szCs w:val="32"/>
        </w:rPr>
        <w:t>职权的情形；</w:t>
      </w:r>
    </w:p>
    <w:p w14:paraId="1DE411F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(六)行政执法文书是否规范、齐备;</w:t>
      </w:r>
    </w:p>
    <w:p w14:paraId="6A4CF66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(七)违法行为是否涉嫌犯罪需要移送司法机关；</w:t>
      </w:r>
    </w:p>
    <w:p w14:paraId="591EC13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(八)其他应当审核的内容。</w:t>
      </w:r>
    </w:p>
    <w:p w14:paraId="37ED72BF">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法制机构在审核过程中，有权调阅行政执法活动相关材料，必要时也可以向当事人进行调查，相关单位和个人应当予以协助配合。</w:t>
      </w:r>
    </w:p>
    <w:p w14:paraId="6F063B93">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法制机构在收到重大行政执法决定送审材料后，应在七个工作日内审核完毕。案件复杂的，经行政执法机关负责人批准可以延长五个工作日。</w:t>
      </w:r>
    </w:p>
    <w:p w14:paraId="1A69FF5C">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承办机构对法制机构审核意见和建议应当研究采纳，有异议的应当与法制机构协商沟通，经沟通达不成一致意见的，将双方意见一并报送行政执法机关负责人处理。</w:t>
      </w:r>
    </w:p>
    <w:p w14:paraId="1A6967C0">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各级行政执法机关应当对本机关执行重大行政执法决定法制审核制度作具体规定，细化审核范围，优化审核流程，提高审核质量。</w:t>
      </w:r>
    </w:p>
    <w:p w14:paraId="53D5499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行政执法机关应当对下级行政执法机关执行重大行政执法决定法制审核制度的情况进行指导和监督。</w:t>
      </w:r>
    </w:p>
    <w:p w14:paraId="3628FE21">
      <w:pPr>
        <w:rPr>
          <w:rFonts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32"/>
          <w:szCs w:val="32"/>
        </w:rPr>
        <w:t xml:space="preserve">       </w:t>
      </w:r>
      <w:r>
        <w:rPr>
          <w:rFonts w:hint="eastAsia" w:ascii="方正小标宋简体" w:eastAsia="方正小标宋简体"/>
          <w:sz w:val="44"/>
          <w:szCs w:val="44"/>
        </w:rPr>
        <w:t>白城市司法局党员干部约谈工作制度</w:t>
      </w:r>
    </w:p>
    <w:p w14:paraId="0F341D52">
      <w:pPr>
        <w:spacing w:line="560" w:lineRule="exact"/>
        <w:ind w:firstLine="640" w:firstLineChars="200"/>
        <w:rPr>
          <w:rFonts w:ascii="仿宋" w:hAnsi="仿宋" w:eastAsia="仿宋"/>
          <w:sz w:val="32"/>
          <w:szCs w:val="32"/>
        </w:rPr>
      </w:pPr>
    </w:p>
    <w:p w14:paraId="5A935E6B">
      <w:pPr>
        <w:spacing w:line="560" w:lineRule="exact"/>
        <w:ind w:firstLine="640" w:firstLineChars="200"/>
        <w:rPr>
          <w:rFonts w:ascii="仿宋" w:hAnsi="仿宋" w:eastAsia="仿宋"/>
          <w:sz w:val="32"/>
          <w:szCs w:val="32"/>
        </w:rPr>
      </w:pPr>
      <w:r>
        <w:rPr>
          <w:rFonts w:hint="eastAsia" w:ascii="仿宋" w:hAnsi="仿宋" w:eastAsia="仿宋"/>
          <w:sz w:val="32"/>
          <w:szCs w:val="32"/>
        </w:rPr>
        <w:t>为深入了解党员干部的思想动态，对苗头性问题抓早抓小，防止腐败问题发生，局党组决定在市直司法行政系统内开展党员干部约谈工作，特制定本制度。</w:t>
      </w:r>
    </w:p>
    <w:p w14:paraId="01B82FE5">
      <w:pPr>
        <w:spacing w:line="56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bCs/>
          <w:sz w:val="32"/>
          <w:szCs w:val="32"/>
        </w:rPr>
        <w:t>第一条</w:t>
      </w:r>
      <w:r>
        <w:rPr>
          <w:rFonts w:hint="eastAsia" w:ascii="仿宋" w:hAnsi="仿宋" w:eastAsia="仿宋"/>
          <w:sz w:val="32"/>
          <w:szCs w:val="32"/>
        </w:rPr>
        <w:t xml:space="preserve"> 立足抓早抓小、着眼防范；实事求是、客观公正；讲究方法、注重实效；把握政策、严格保密。</w:t>
      </w:r>
    </w:p>
    <w:p w14:paraId="25F2DD76">
      <w:pPr>
        <w:widowControl/>
        <w:shd w:val="clear" w:color="auto" w:fill="FFFFFF"/>
        <w:spacing w:line="560" w:lineRule="exact"/>
        <w:ind w:firstLine="643" w:firstLineChars="200"/>
        <w:jc w:val="left"/>
        <w:rPr>
          <w:rFonts w:ascii="仿宋" w:hAnsi="仿宋" w:eastAsia="仿宋" w:cs="宋体"/>
          <w:color w:val="333333"/>
          <w:kern w:val="0"/>
          <w:sz w:val="32"/>
          <w:szCs w:val="32"/>
        </w:rPr>
      </w:pPr>
      <w:r>
        <w:rPr>
          <w:rFonts w:hint="eastAsia" w:ascii="仿宋" w:hAnsi="仿宋" w:eastAsia="仿宋"/>
          <w:b/>
          <w:bCs/>
          <w:sz w:val="32"/>
          <w:szCs w:val="32"/>
        </w:rPr>
        <w:t>第二条</w:t>
      </w:r>
      <w:r>
        <w:rPr>
          <w:rFonts w:hint="eastAsia" w:ascii="仿宋" w:hAnsi="仿宋" w:eastAsia="仿宋" w:cs="宋体"/>
          <w:color w:val="333333"/>
          <w:kern w:val="0"/>
          <w:sz w:val="32"/>
          <w:szCs w:val="32"/>
        </w:rPr>
        <w:t xml:space="preserve"> </w:t>
      </w:r>
      <w:r>
        <w:rPr>
          <w:rFonts w:hint="eastAsia" w:ascii="仿宋" w:hAnsi="仿宋" w:eastAsia="仿宋"/>
          <w:sz w:val="32"/>
          <w:szCs w:val="32"/>
        </w:rPr>
        <w:t>约谈的对象为局党委班子成员，局机关中层干部以及直属单位主要负责人。</w:t>
      </w:r>
    </w:p>
    <w:p w14:paraId="73CF4B7F">
      <w:pPr>
        <w:widowControl/>
        <w:shd w:val="clear" w:color="auto" w:fill="FFFFFF"/>
        <w:spacing w:line="560" w:lineRule="exact"/>
        <w:ind w:firstLine="643" w:firstLineChars="200"/>
        <w:jc w:val="left"/>
        <w:rPr>
          <w:rFonts w:ascii="黑体" w:hAnsi="黑体" w:eastAsia="黑体" w:cs="宋体"/>
          <w:color w:val="333333"/>
          <w:kern w:val="0"/>
          <w:sz w:val="32"/>
          <w:szCs w:val="32"/>
        </w:rPr>
      </w:pPr>
      <w:r>
        <w:rPr>
          <w:rFonts w:hint="eastAsia" w:ascii="仿宋" w:hAnsi="仿宋" w:eastAsia="仿宋"/>
          <w:b/>
          <w:bCs/>
          <w:sz w:val="32"/>
          <w:szCs w:val="32"/>
        </w:rPr>
        <w:t>第三条</w:t>
      </w:r>
      <w:r>
        <w:rPr>
          <w:rFonts w:hint="eastAsia" w:ascii="黑体" w:hAnsi="黑体" w:eastAsia="黑体" w:cs="宋体"/>
          <w:color w:val="333333"/>
          <w:kern w:val="0"/>
          <w:sz w:val="32"/>
          <w:szCs w:val="32"/>
        </w:rPr>
        <w:t xml:space="preserve"> </w:t>
      </w:r>
    </w:p>
    <w:p w14:paraId="2707398A">
      <w:pPr>
        <w:widowControl/>
        <w:shd w:val="clear" w:color="auto" w:fill="FFFFFF"/>
        <w:spacing w:line="560" w:lineRule="exact"/>
        <w:ind w:firstLine="640" w:firstLineChars="200"/>
        <w:jc w:val="left"/>
        <w:rPr>
          <w:rFonts w:ascii="黑体" w:hAnsi="黑体" w:eastAsia="黑体" w:cs="宋体"/>
          <w:color w:val="333333"/>
          <w:kern w:val="0"/>
          <w:sz w:val="32"/>
          <w:szCs w:val="32"/>
        </w:rPr>
      </w:pPr>
      <w:r>
        <w:rPr>
          <w:rFonts w:hint="eastAsia" w:ascii="仿宋" w:hAnsi="仿宋" w:eastAsia="仿宋"/>
          <w:sz w:val="32"/>
          <w:szCs w:val="32"/>
        </w:rPr>
        <w:t>（一）分级约谈：按照局领导班子分工，党员干部约谈采取一级抓一级、分级负责的办法进行。书记（局长）负责与班子成员、内设机构、直属单位主要负责人进行约谈；班子成员负责与分管科室、分管单位副职进行约谈。</w:t>
      </w:r>
    </w:p>
    <w:p w14:paraId="1FC80C48">
      <w:pPr>
        <w:widowControl/>
        <w:shd w:val="clear" w:color="auto" w:fill="FFFFFF"/>
        <w:spacing w:line="560" w:lineRule="exact"/>
        <w:ind w:firstLine="640" w:firstLineChars="200"/>
        <w:jc w:val="left"/>
        <w:rPr>
          <w:rFonts w:ascii="仿宋" w:hAnsi="仿宋" w:eastAsia="仿宋"/>
          <w:sz w:val="32"/>
          <w:szCs w:val="32"/>
        </w:rPr>
      </w:pPr>
      <w:r>
        <w:rPr>
          <w:rFonts w:hint="eastAsia" w:ascii="仿宋" w:hAnsi="仿宋" w:eastAsia="仿宋"/>
          <w:sz w:val="32"/>
          <w:szCs w:val="32"/>
        </w:rPr>
        <w:t>（二）约谈程序：</w:t>
      </w:r>
    </w:p>
    <w:p w14:paraId="10F54092">
      <w:pPr>
        <w:widowControl/>
        <w:shd w:val="clear" w:color="auto" w:fill="FFFFFF"/>
        <w:spacing w:line="560" w:lineRule="exact"/>
        <w:ind w:firstLine="640" w:firstLineChars="200"/>
        <w:jc w:val="left"/>
        <w:rPr>
          <w:rFonts w:ascii="仿宋" w:hAnsi="仿宋" w:eastAsia="仿宋"/>
          <w:sz w:val="32"/>
          <w:szCs w:val="32"/>
        </w:rPr>
      </w:pPr>
      <w:r>
        <w:rPr>
          <w:rFonts w:hint="eastAsia" w:ascii="仿宋" w:hAnsi="仿宋" w:eastAsia="仿宋"/>
          <w:sz w:val="32"/>
          <w:szCs w:val="32"/>
        </w:rPr>
        <w:t>1、明确约谈对象。每年局党组班子成员都要按分管科室、单位有计划地安排约谈。提前以适当方式将约谈时间、地点通知约谈对象。</w:t>
      </w:r>
    </w:p>
    <w:p w14:paraId="4A8D644D">
      <w:pPr>
        <w:widowControl/>
        <w:shd w:val="clear" w:color="auto" w:fill="FFFFFF"/>
        <w:spacing w:line="560" w:lineRule="exact"/>
        <w:ind w:firstLine="640" w:firstLineChars="200"/>
        <w:jc w:val="left"/>
        <w:rPr>
          <w:rFonts w:ascii="仿宋" w:hAnsi="仿宋" w:eastAsia="仿宋"/>
          <w:sz w:val="32"/>
          <w:szCs w:val="32"/>
        </w:rPr>
      </w:pPr>
      <w:r>
        <w:rPr>
          <w:rFonts w:hint="eastAsia" w:ascii="仿宋" w:hAnsi="仿宋" w:eastAsia="仿宋"/>
          <w:sz w:val="32"/>
          <w:szCs w:val="32"/>
        </w:rPr>
        <w:t>2、确定约谈主题。根据需要，应确定好约谈的主题，并进行有关材料和内容的准备，以增强约谈的针对性和实效性。</w:t>
      </w:r>
    </w:p>
    <w:p w14:paraId="33E03BFB">
      <w:pPr>
        <w:widowControl/>
        <w:shd w:val="clear" w:color="auto" w:fill="FFFFFF"/>
        <w:spacing w:line="560" w:lineRule="exact"/>
        <w:ind w:firstLine="640" w:firstLineChars="200"/>
        <w:jc w:val="left"/>
        <w:rPr>
          <w:rFonts w:ascii="仿宋" w:hAnsi="仿宋" w:eastAsia="仿宋"/>
          <w:sz w:val="32"/>
          <w:szCs w:val="32"/>
        </w:rPr>
      </w:pPr>
      <w:r>
        <w:rPr>
          <w:rFonts w:hint="eastAsia" w:ascii="仿宋" w:hAnsi="仿宋" w:eastAsia="仿宋"/>
          <w:sz w:val="32"/>
          <w:szCs w:val="32"/>
        </w:rPr>
        <w:t>3、选择约谈方式。一般情况下，应以“一对一”个别约谈的方式为主。对情况较为复杂的，应有两名以上同志负责约谈并做好记录。对普遍性问题或科室、单位中存在的问题，根据需要，也可采取集体约谈的方式进行。</w:t>
      </w:r>
    </w:p>
    <w:p w14:paraId="470B540C">
      <w:pPr>
        <w:widowControl/>
        <w:shd w:val="clear" w:color="auto" w:fill="FFFFFF"/>
        <w:spacing w:line="560" w:lineRule="exact"/>
        <w:ind w:firstLine="640" w:firstLineChars="200"/>
        <w:jc w:val="left"/>
        <w:rPr>
          <w:rFonts w:ascii="仿宋" w:hAnsi="仿宋" w:eastAsia="仿宋"/>
          <w:sz w:val="32"/>
          <w:szCs w:val="32"/>
        </w:rPr>
      </w:pPr>
      <w:r>
        <w:rPr>
          <w:rFonts w:hint="eastAsia" w:ascii="仿宋" w:hAnsi="仿宋" w:eastAsia="仿宋"/>
          <w:sz w:val="32"/>
          <w:szCs w:val="32"/>
        </w:rPr>
        <w:t>4、做好约谈记录。每次约谈活动，主谈人与约谈对象均应认真做好记录，内容包括约谈的时间、地点、次数、主谈对象、约谈内容等基本情况。</w:t>
      </w:r>
    </w:p>
    <w:p w14:paraId="0BD53590">
      <w:pPr>
        <w:widowControl/>
        <w:shd w:val="clear" w:color="auto" w:fill="FFFFFF"/>
        <w:spacing w:line="560" w:lineRule="exact"/>
        <w:ind w:firstLine="643" w:firstLineChars="200"/>
        <w:jc w:val="left"/>
        <w:rPr>
          <w:rFonts w:ascii="仿宋" w:hAnsi="仿宋" w:eastAsia="仿宋"/>
          <w:sz w:val="32"/>
          <w:szCs w:val="32"/>
        </w:rPr>
      </w:pPr>
      <w:r>
        <w:rPr>
          <w:rFonts w:hint="eastAsia" w:ascii="仿宋" w:hAnsi="仿宋" w:eastAsia="仿宋"/>
          <w:b/>
          <w:bCs/>
          <w:sz w:val="32"/>
          <w:szCs w:val="32"/>
        </w:rPr>
        <w:t>第四条</w:t>
      </w:r>
      <w:r>
        <w:rPr>
          <w:rFonts w:hint="eastAsia" w:ascii="仿宋" w:hAnsi="仿宋" w:eastAsia="仿宋" w:cs="宋体"/>
          <w:color w:val="333333"/>
          <w:kern w:val="0"/>
          <w:sz w:val="32"/>
          <w:szCs w:val="32"/>
        </w:rPr>
        <w:t xml:space="preserve"> </w:t>
      </w:r>
      <w:r>
        <w:rPr>
          <w:rFonts w:hint="eastAsia" w:ascii="仿宋" w:hAnsi="仿宋" w:eastAsia="仿宋"/>
          <w:sz w:val="32"/>
          <w:szCs w:val="32"/>
        </w:rPr>
        <w:t>实行定期约谈和适时约谈两种形式。定期约谈每半年不少于1次，遇到下列情形之一的，应适时进行约谈：</w:t>
      </w:r>
    </w:p>
    <w:p w14:paraId="606EBDB7">
      <w:pPr>
        <w:widowControl/>
        <w:shd w:val="clear" w:color="auto" w:fill="FFFFFF"/>
        <w:spacing w:line="560" w:lineRule="exact"/>
        <w:ind w:firstLine="640" w:firstLineChars="200"/>
        <w:jc w:val="left"/>
        <w:rPr>
          <w:rFonts w:ascii="仿宋" w:hAnsi="仿宋" w:eastAsia="仿宋"/>
          <w:sz w:val="32"/>
          <w:szCs w:val="32"/>
        </w:rPr>
      </w:pPr>
      <w:r>
        <w:rPr>
          <w:rFonts w:hint="eastAsia" w:ascii="仿宋" w:hAnsi="仿宋" w:eastAsia="仿宋"/>
          <w:sz w:val="32"/>
          <w:szCs w:val="32"/>
        </w:rPr>
        <w:t>（一）党员干部岗位变动、职务升降或到龄退休时；</w:t>
      </w:r>
    </w:p>
    <w:p w14:paraId="12D24923">
      <w:pPr>
        <w:widowControl/>
        <w:shd w:val="clear" w:color="auto" w:fill="FFFFFF"/>
        <w:spacing w:line="560" w:lineRule="exact"/>
        <w:ind w:firstLine="640" w:firstLineChars="200"/>
        <w:jc w:val="left"/>
        <w:rPr>
          <w:rFonts w:ascii="仿宋" w:hAnsi="仿宋" w:eastAsia="仿宋"/>
          <w:sz w:val="32"/>
          <w:szCs w:val="32"/>
        </w:rPr>
      </w:pPr>
      <w:r>
        <w:rPr>
          <w:rFonts w:hint="eastAsia" w:ascii="仿宋" w:hAnsi="仿宋" w:eastAsia="仿宋"/>
          <w:sz w:val="32"/>
          <w:szCs w:val="32"/>
        </w:rPr>
        <w:t>（二）党员干部受到表彰奖励或批评处分时；</w:t>
      </w:r>
    </w:p>
    <w:p w14:paraId="7E57A50D">
      <w:pPr>
        <w:widowControl/>
        <w:shd w:val="clear" w:color="auto" w:fill="FFFFFF"/>
        <w:spacing w:line="560" w:lineRule="exact"/>
        <w:ind w:firstLine="640" w:firstLineChars="200"/>
        <w:jc w:val="left"/>
        <w:rPr>
          <w:rFonts w:ascii="仿宋" w:hAnsi="仿宋" w:eastAsia="仿宋"/>
          <w:sz w:val="32"/>
          <w:szCs w:val="32"/>
        </w:rPr>
      </w:pPr>
      <w:r>
        <w:rPr>
          <w:rFonts w:hint="eastAsia" w:ascii="仿宋" w:hAnsi="仿宋" w:eastAsia="仿宋"/>
          <w:sz w:val="32"/>
          <w:szCs w:val="32"/>
        </w:rPr>
        <w:t>（三）党员干部在工作中遇到较大困难和挫折，出现思想情绪波动、工作状态不佳时；</w:t>
      </w:r>
    </w:p>
    <w:p w14:paraId="4B90FE45">
      <w:pPr>
        <w:widowControl/>
        <w:shd w:val="clear" w:color="auto" w:fill="FFFFFF"/>
        <w:spacing w:line="560" w:lineRule="exact"/>
        <w:ind w:firstLine="640" w:firstLineChars="200"/>
        <w:jc w:val="left"/>
        <w:rPr>
          <w:rFonts w:ascii="仿宋" w:hAnsi="仿宋" w:eastAsia="仿宋"/>
          <w:sz w:val="32"/>
          <w:szCs w:val="32"/>
        </w:rPr>
      </w:pPr>
      <w:r>
        <w:rPr>
          <w:rFonts w:hint="eastAsia" w:ascii="仿宋" w:hAnsi="仿宋" w:eastAsia="仿宋"/>
          <w:sz w:val="32"/>
          <w:szCs w:val="32"/>
        </w:rPr>
        <w:t>（四）党员干部家庭发生重大变故、个人患有严重疾病时；</w:t>
      </w:r>
    </w:p>
    <w:p w14:paraId="1F673F48">
      <w:pPr>
        <w:widowControl/>
        <w:shd w:val="clear" w:color="auto" w:fill="FFFFFF"/>
        <w:spacing w:line="560" w:lineRule="exact"/>
        <w:ind w:firstLine="640" w:firstLineChars="200"/>
        <w:jc w:val="left"/>
        <w:rPr>
          <w:rFonts w:ascii="仿宋" w:hAnsi="仿宋" w:eastAsia="仿宋"/>
          <w:sz w:val="32"/>
          <w:szCs w:val="32"/>
        </w:rPr>
      </w:pPr>
      <w:r>
        <w:rPr>
          <w:rFonts w:hint="eastAsia" w:ascii="仿宋" w:hAnsi="仿宋" w:eastAsia="仿宋"/>
          <w:sz w:val="32"/>
          <w:szCs w:val="32"/>
        </w:rPr>
        <w:t>（五）党员干部在遵纪守法、廉政建设、思想作风方面出现违纪苗头或群众对党员干部在这些方面有反映时；</w:t>
      </w:r>
    </w:p>
    <w:p w14:paraId="53AFE740">
      <w:pPr>
        <w:widowControl/>
        <w:shd w:val="clear" w:color="auto" w:fill="FFFFFF"/>
        <w:spacing w:line="560" w:lineRule="exact"/>
        <w:ind w:firstLine="640" w:firstLineChars="200"/>
        <w:jc w:val="left"/>
        <w:rPr>
          <w:rFonts w:ascii="仿宋" w:hAnsi="仿宋" w:eastAsia="仿宋"/>
          <w:sz w:val="32"/>
          <w:szCs w:val="32"/>
        </w:rPr>
      </w:pPr>
      <w:r>
        <w:rPr>
          <w:rFonts w:hint="eastAsia" w:ascii="仿宋" w:hAnsi="仿宋" w:eastAsia="仿宋"/>
          <w:sz w:val="32"/>
          <w:szCs w:val="32"/>
        </w:rPr>
        <w:t>（六）科室、单位内部出现不团结的苗头或产生矛盾和意见分歧影响工作时；</w:t>
      </w:r>
    </w:p>
    <w:p w14:paraId="1FED1A76">
      <w:pPr>
        <w:widowControl/>
        <w:shd w:val="clear" w:color="auto" w:fill="FFFFFF"/>
        <w:spacing w:line="560" w:lineRule="exact"/>
        <w:ind w:firstLine="640" w:firstLineChars="200"/>
        <w:jc w:val="left"/>
        <w:rPr>
          <w:rFonts w:ascii="仿宋" w:hAnsi="仿宋" w:eastAsia="仿宋"/>
          <w:sz w:val="32"/>
          <w:szCs w:val="32"/>
        </w:rPr>
      </w:pPr>
      <w:r>
        <w:rPr>
          <w:rFonts w:hint="eastAsia" w:ascii="仿宋" w:hAnsi="仿宋" w:eastAsia="仿宋"/>
          <w:sz w:val="32"/>
          <w:szCs w:val="32"/>
        </w:rPr>
        <w:t>（七）发现党员干部在理解和贯彻执行党的方针、政策以及上级指示精神上出现偏差，或没有履行好职责造成较大失误时；</w:t>
      </w:r>
    </w:p>
    <w:p w14:paraId="1E6FCBC2">
      <w:pPr>
        <w:widowControl/>
        <w:shd w:val="clear" w:color="auto" w:fill="FFFFFF"/>
        <w:spacing w:line="560" w:lineRule="exact"/>
        <w:ind w:firstLine="640" w:firstLineChars="200"/>
        <w:jc w:val="left"/>
        <w:rPr>
          <w:rFonts w:ascii="仿宋" w:hAnsi="仿宋" w:eastAsia="仿宋"/>
          <w:sz w:val="32"/>
          <w:szCs w:val="32"/>
        </w:rPr>
      </w:pPr>
      <w:r>
        <w:rPr>
          <w:rFonts w:hint="eastAsia" w:ascii="仿宋" w:hAnsi="仿宋" w:eastAsia="仿宋"/>
          <w:sz w:val="32"/>
          <w:szCs w:val="32"/>
        </w:rPr>
        <w:t>（八）党员干部本人因思想、工作、学习、生活、个人重大事项等原因主动要求约谈时。</w:t>
      </w:r>
    </w:p>
    <w:p w14:paraId="4CA2DEA3">
      <w:pPr>
        <w:widowControl/>
        <w:shd w:val="clear" w:color="auto" w:fill="FFFFFF"/>
        <w:snapToGrid w:val="0"/>
        <w:spacing w:line="560" w:lineRule="exact"/>
        <w:ind w:firstLine="643" w:firstLineChars="200"/>
        <w:jc w:val="left"/>
        <w:rPr>
          <w:rFonts w:ascii="仿宋" w:hAnsi="仿宋" w:eastAsia="仿宋"/>
          <w:sz w:val="32"/>
          <w:szCs w:val="32"/>
        </w:rPr>
      </w:pPr>
      <w:r>
        <w:rPr>
          <w:rFonts w:hint="eastAsia" w:ascii="仿宋" w:hAnsi="仿宋" w:eastAsia="仿宋"/>
          <w:b/>
          <w:bCs/>
          <w:sz w:val="32"/>
          <w:szCs w:val="32"/>
        </w:rPr>
        <w:t>第五条</w:t>
      </w:r>
      <w:r>
        <w:rPr>
          <w:rFonts w:hint="eastAsia" w:ascii="仿宋" w:hAnsi="仿宋" w:eastAsia="仿宋" w:cs="宋体"/>
          <w:color w:val="333333"/>
          <w:kern w:val="0"/>
          <w:sz w:val="32"/>
          <w:szCs w:val="32"/>
        </w:rPr>
        <w:t xml:space="preserve"> </w:t>
      </w:r>
      <w:r>
        <w:rPr>
          <w:rFonts w:hint="eastAsia" w:ascii="仿宋" w:hAnsi="仿宋" w:eastAsia="仿宋"/>
          <w:sz w:val="32"/>
          <w:szCs w:val="32"/>
        </w:rPr>
        <w:t>本制度规定的各项情形应严格执行，如有违反将视情节追究责任。</w:t>
      </w:r>
    </w:p>
    <w:p w14:paraId="320BB55A">
      <w:pPr>
        <w:rPr>
          <w:rFonts w:ascii="方正小标宋简体" w:hAnsi="仿宋" w:eastAsia="方正小标宋简体"/>
          <w:sz w:val="44"/>
          <w:szCs w:val="44"/>
        </w:rPr>
      </w:pPr>
      <w:r>
        <w:rPr>
          <w:rFonts w:hint="eastAsia" w:ascii="仿宋" w:hAnsi="仿宋" w:eastAsia="仿宋"/>
          <w:sz w:val="32"/>
          <w:szCs w:val="32"/>
        </w:rPr>
        <w:br w:type="page"/>
      </w:r>
      <w:r>
        <w:rPr>
          <w:rFonts w:hint="eastAsia" w:ascii="方正小标宋简体" w:hAnsi="仿宋" w:eastAsia="方正小标宋简体"/>
          <w:sz w:val="44"/>
          <w:szCs w:val="44"/>
        </w:rPr>
        <w:t>白城市司法局新任职干部任前廉政谈话制度</w:t>
      </w:r>
    </w:p>
    <w:p w14:paraId="5DD7C5C3">
      <w:pPr>
        <w:rPr>
          <w:rFonts w:ascii="仿宋" w:hAnsi="仿宋" w:eastAsia="仿宋"/>
          <w:sz w:val="32"/>
          <w:szCs w:val="32"/>
        </w:rPr>
      </w:pPr>
    </w:p>
    <w:p w14:paraId="1468F585">
      <w:pPr>
        <w:spacing w:line="576" w:lineRule="exact"/>
        <w:ind w:firstLine="643" w:firstLineChars="200"/>
        <w:rPr>
          <w:rFonts w:ascii="仿宋" w:hAnsi="仿宋" w:eastAsia="仿宋"/>
          <w:sz w:val="32"/>
          <w:szCs w:val="32"/>
        </w:rPr>
      </w:pPr>
      <w:r>
        <w:rPr>
          <w:rFonts w:hint="eastAsia" w:ascii="仿宋" w:hAnsi="仿宋" w:eastAsia="仿宋"/>
          <w:b/>
          <w:bCs/>
          <w:sz w:val="32"/>
          <w:szCs w:val="32"/>
        </w:rPr>
        <w:t>第一条</w:t>
      </w:r>
      <w:r>
        <w:rPr>
          <w:rFonts w:hint="eastAsia" w:ascii="仿宋" w:hAnsi="仿宋" w:eastAsia="仿宋"/>
          <w:sz w:val="32"/>
          <w:szCs w:val="32"/>
        </w:rPr>
        <w:t xml:space="preserve"> 为进一步落实党风廉政责任制，加强干部廉洁自律工作，不断深化对党员干部的廉政教育，提高是非面前的辨别力，诱惑面前的自控力，围绕增强党性意识、纪律意识、群众意识和自律意识，通过廉政谈话将监督关口前移，帮助和促进干部筑牢思想道德防线，规范权力运行轨道，特制定本制度。</w:t>
      </w:r>
    </w:p>
    <w:p w14:paraId="70C25107">
      <w:pPr>
        <w:spacing w:line="576" w:lineRule="exact"/>
        <w:ind w:firstLine="643" w:firstLineChars="200"/>
        <w:rPr>
          <w:rFonts w:ascii="仿宋" w:hAnsi="仿宋" w:eastAsia="仿宋"/>
          <w:sz w:val="32"/>
          <w:szCs w:val="32"/>
        </w:rPr>
      </w:pPr>
      <w:r>
        <w:rPr>
          <w:rFonts w:hint="eastAsia" w:ascii="仿宋" w:hAnsi="仿宋" w:eastAsia="仿宋"/>
          <w:b/>
          <w:bCs/>
          <w:sz w:val="32"/>
          <w:szCs w:val="32"/>
        </w:rPr>
        <w:t>第二条</w:t>
      </w:r>
      <w:r>
        <w:rPr>
          <w:rFonts w:hint="eastAsia" w:ascii="仿宋" w:hAnsi="仿宋" w:eastAsia="仿宋"/>
          <w:sz w:val="32"/>
          <w:szCs w:val="32"/>
        </w:rPr>
        <w:t xml:space="preserve"> 谈话范围为新任职干部。</w:t>
      </w:r>
    </w:p>
    <w:p w14:paraId="7BCDBDE4">
      <w:pPr>
        <w:spacing w:line="576" w:lineRule="exact"/>
        <w:ind w:firstLine="643" w:firstLineChars="200"/>
        <w:rPr>
          <w:rFonts w:ascii="仿宋" w:hAnsi="仿宋" w:eastAsia="仿宋"/>
          <w:sz w:val="32"/>
          <w:szCs w:val="32"/>
        </w:rPr>
      </w:pPr>
      <w:r>
        <w:rPr>
          <w:rFonts w:hint="eastAsia" w:ascii="仿宋" w:hAnsi="仿宋" w:eastAsia="仿宋"/>
          <w:b/>
          <w:bCs/>
          <w:sz w:val="32"/>
          <w:szCs w:val="32"/>
        </w:rPr>
        <w:t>第三条</w:t>
      </w:r>
      <w:r>
        <w:rPr>
          <w:rFonts w:hint="eastAsia" w:ascii="仿宋" w:hAnsi="仿宋" w:eastAsia="仿宋"/>
          <w:sz w:val="32"/>
          <w:szCs w:val="32"/>
        </w:rPr>
        <w:t xml:space="preserve"> 谈话的组织及分工：</w:t>
      </w:r>
    </w:p>
    <w:p w14:paraId="097497EC">
      <w:pPr>
        <w:spacing w:line="576" w:lineRule="exact"/>
        <w:ind w:firstLine="640" w:firstLineChars="200"/>
        <w:rPr>
          <w:rFonts w:ascii="仿宋" w:hAnsi="仿宋" w:eastAsia="仿宋"/>
          <w:sz w:val="32"/>
          <w:szCs w:val="32"/>
        </w:rPr>
      </w:pPr>
      <w:r>
        <w:rPr>
          <w:rFonts w:hint="eastAsia" w:ascii="仿宋" w:hAnsi="仿宋" w:eastAsia="仿宋"/>
          <w:sz w:val="32"/>
          <w:szCs w:val="32"/>
        </w:rPr>
        <w:t>按照干部管理权限，分级负责，分别进行。对新提拔干部的谈话由分管领导或政治（警务）部主任负责谈话。</w:t>
      </w:r>
    </w:p>
    <w:p w14:paraId="6D5B1392">
      <w:pPr>
        <w:spacing w:line="576" w:lineRule="exact"/>
        <w:ind w:firstLine="643" w:firstLineChars="200"/>
        <w:rPr>
          <w:rFonts w:ascii="仿宋" w:hAnsi="仿宋" w:eastAsia="仿宋"/>
          <w:sz w:val="32"/>
          <w:szCs w:val="32"/>
        </w:rPr>
      </w:pPr>
      <w:r>
        <w:rPr>
          <w:rFonts w:hint="eastAsia" w:ascii="仿宋" w:hAnsi="仿宋" w:eastAsia="仿宋"/>
          <w:b/>
          <w:bCs/>
          <w:sz w:val="32"/>
          <w:szCs w:val="32"/>
        </w:rPr>
        <w:t>第四条</w:t>
      </w:r>
      <w:r>
        <w:rPr>
          <w:rFonts w:hint="eastAsia" w:ascii="仿宋" w:hAnsi="仿宋" w:eastAsia="仿宋"/>
          <w:sz w:val="32"/>
          <w:szCs w:val="32"/>
        </w:rPr>
        <w:t xml:space="preserve"> 谈话方式：集体谈话或单独谈话。</w:t>
      </w:r>
    </w:p>
    <w:p w14:paraId="52D8B1A7">
      <w:pPr>
        <w:spacing w:line="576" w:lineRule="exact"/>
        <w:ind w:firstLine="643" w:firstLineChars="200"/>
        <w:rPr>
          <w:rFonts w:ascii="仿宋" w:hAnsi="仿宋" w:eastAsia="仿宋"/>
          <w:sz w:val="32"/>
          <w:szCs w:val="32"/>
        </w:rPr>
      </w:pPr>
      <w:r>
        <w:rPr>
          <w:rFonts w:hint="eastAsia" w:ascii="仿宋" w:hAnsi="仿宋" w:eastAsia="仿宋"/>
          <w:b/>
          <w:bCs/>
          <w:sz w:val="32"/>
          <w:szCs w:val="32"/>
        </w:rPr>
        <w:t>第五条</w:t>
      </w:r>
      <w:r>
        <w:rPr>
          <w:rFonts w:hint="eastAsia" w:ascii="仿宋" w:hAnsi="仿宋" w:eastAsia="仿宋"/>
          <w:sz w:val="32"/>
          <w:szCs w:val="32"/>
        </w:rPr>
        <w:t xml:space="preserve"> 谈话的程序及要求：</w:t>
      </w:r>
    </w:p>
    <w:p w14:paraId="179997D6">
      <w:pPr>
        <w:spacing w:line="576" w:lineRule="exact"/>
        <w:ind w:firstLine="640" w:firstLineChars="200"/>
        <w:rPr>
          <w:rFonts w:ascii="仿宋" w:hAnsi="仿宋" w:eastAsia="仿宋"/>
          <w:sz w:val="32"/>
          <w:szCs w:val="32"/>
        </w:rPr>
      </w:pPr>
      <w:r>
        <w:rPr>
          <w:rFonts w:hint="eastAsia" w:ascii="仿宋" w:hAnsi="仿宋" w:eastAsia="仿宋"/>
          <w:sz w:val="32"/>
          <w:szCs w:val="32"/>
        </w:rPr>
        <w:t>（一） 根据掌握的情况和工作需要，确定谈话对象，报局主要领导同意；</w:t>
      </w:r>
    </w:p>
    <w:p w14:paraId="7C90F743">
      <w:pPr>
        <w:spacing w:line="576" w:lineRule="exact"/>
        <w:ind w:firstLine="640" w:firstLineChars="200"/>
        <w:rPr>
          <w:rFonts w:ascii="仿宋" w:hAnsi="仿宋" w:eastAsia="仿宋"/>
          <w:sz w:val="32"/>
          <w:szCs w:val="32"/>
        </w:rPr>
      </w:pPr>
      <w:r>
        <w:rPr>
          <w:rFonts w:hint="eastAsia" w:ascii="仿宋" w:hAnsi="仿宋" w:eastAsia="仿宋"/>
          <w:sz w:val="32"/>
          <w:szCs w:val="32"/>
        </w:rPr>
        <w:t>（二）提前以适当方式将谈话时间、地点通知谈话对象；</w:t>
      </w:r>
    </w:p>
    <w:p w14:paraId="3609176A">
      <w:pPr>
        <w:spacing w:line="576" w:lineRule="exact"/>
        <w:ind w:firstLine="640" w:firstLineChars="200"/>
        <w:rPr>
          <w:rFonts w:ascii="仿宋" w:hAnsi="仿宋" w:eastAsia="仿宋"/>
          <w:sz w:val="32"/>
          <w:szCs w:val="32"/>
        </w:rPr>
      </w:pPr>
      <w:r>
        <w:rPr>
          <w:rFonts w:hint="eastAsia" w:ascii="仿宋" w:hAnsi="仿宋" w:eastAsia="仿宋"/>
          <w:sz w:val="32"/>
          <w:szCs w:val="32"/>
        </w:rPr>
        <w:t>（三）需要谈话对象对有关问题作出书面答复或者说明的，可以要求谈话对象提供书面材料；</w:t>
      </w:r>
    </w:p>
    <w:p w14:paraId="6B6ECB11">
      <w:pPr>
        <w:spacing w:line="576" w:lineRule="exact"/>
        <w:ind w:firstLine="640" w:firstLineChars="200"/>
        <w:rPr>
          <w:rFonts w:ascii="仿宋" w:hAnsi="仿宋" w:eastAsia="仿宋"/>
          <w:sz w:val="32"/>
          <w:szCs w:val="32"/>
        </w:rPr>
      </w:pPr>
      <w:r>
        <w:rPr>
          <w:rFonts w:hint="eastAsia" w:ascii="仿宋" w:hAnsi="仿宋" w:eastAsia="仿宋"/>
          <w:sz w:val="32"/>
          <w:szCs w:val="32"/>
        </w:rPr>
        <w:t>（四）谈话对象提出的建议和意见，可以采纳的，应当采纳，并及时将采纳情况告知谈话对象；</w:t>
      </w:r>
    </w:p>
    <w:p w14:paraId="5BF38A17">
      <w:pPr>
        <w:spacing w:line="576" w:lineRule="exact"/>
        <w:ind w:firstLine="640" w:firstLineChars="200"/>
        <w:rPr>
          <w:rFonts w:ascii="仿宋" w:hAnsi="仿宋" w:eastAsia="仿宋"/>
          <w:sz w:val="32"/>
          <w:szCs w:val="32"/>
        </w:rPr>
      </w:pPr>
      <w:r>
        <w:rPr>
          <w:rFonts w:hint="eastAsia" w:ascii="仿宋" w:hAnsi="仿宋" w:eastAsia="仿宋"/>
          <w:sz w:val="32"/>
          <w:szCs w:val="32"/>
        </w:rPr>
        <w:t>（五）应做好谈话记录，记录谈话的时间、地点、内容、谈话人员、谈话对象等基本情况。对谈话中涉及重大问题或重要情况应及时向主要领导汇报。</w:t>
      </w:r>
    </w:p>
    <w:p w14:paraId="2578D878">
      <w:pPr>
        <w:spacing w:line="576" w:lineRule="exact"/>
        <w:ind w:firstLine="643" w:firstLineChars="200"/>
        <w:rPr>
          <w:rFonts w:ascii="仿宋" w:hAnsi="仿宋" w:eastAsia="仿宋"/>
          <w:sz w:val="32"/>
          <w:szCs w:val="32"/>
        </w:rPr>
      </w:pPr>
      <w:r>
        <w:rPr>
          <w:rFonts w:hint="eastAsia" w:ascii="仿宋" w:hAnsi="仿宋" w:eastAsia="仿宋"/>
          <w:b/>
          <w:bCs/>
          <w:sz w:val="32"/>
          <w:szCs w:val="32"/>
        </w:rPr>
        <w:t>第六条</w:t>
      </w:r>
      <w:r>
        <w:rPr>
          <w:rFonts w:hint="eastAsia" w:ascii="仿宋" w:hAnsi="仿宋" w:eastAsia="仿宋"/>
          <w:sz w:val="32"/>
          <w:szCs w:val="32"/>
        </w:rPr>
        <w:t xml:space="preserve"> 新任职干部要正确认识和对待廉政谈话制度，正视存在的问题，敢于承认错误，自觉改正不足，不断增强纪律观念，实事求是地向组织汇报自己的学习、工作和廉洁自律情况。</w:t>
      </w:r>
    </w:p>
    <w:p w14:paraId="4B1BBA92">
      <w:pPr>
        <w:spacing w:line="576" w:lineRule="exact"/>
        <w:ind w:firstLine="643" w:firstLineChars="200"/>
        <w:rPr>
          <w:rFonts w:ascii="仿宋" w:hAnsi="仿宋" w:eastAsia="仿宋"/>
          <w:sz w:val="32"/>
          <w:szCs w:val="32"/>
        </w:rPr>
      </w:pPr>
      <w:r>
        <w:rPr>
          <w:rFonts w:hint="eastAsia" w:ascii="仿宋" w:hAnsi="仿宋" w:eastAsia="仿宋"/>
          <w:b/>
          <w:bCs/>
          <w:sz w:val="32"/>
          <w:szCs w:val="32"/>
        </w:rPr>
        <w:t>第七条</w:t>
      </w:r>
      <w:r>
        <w:rPr>
          <w:rFonts w:hint="eastAsia" w:ascii="仿宋" w:hAnsi="仿宋" w:eastAsia="仿宋"/>
          <w:sz w:val="32"/>
          <w:szCs w:val="32"/>
        </w:rPr>
        <w:t xml:space="preserve"> 本制度规定的各项情形应严格执行，如有违反将视情节追究责任。</w:t>
      </w:r>
    </w:p>
    <w:p w14:paraId="0895D57C">
      <w:pPr>
        <w:spacing w:line="576" w:lineRule="exact"/>
        <w:ind w:firstLine="643" w:firstLineChars="200"/>
        <w:rPr>
          <w:rFonts w:ascii="仿宋" w:hAnsi="仿宋" w:eastAsia="仿宋"/>
          <w:sz w:val="32"/>
          <w:szCs w:val="32"/>
        </w:rPr>
      </w:pPr>
      <w:r>
        <w:rPr>
          <w:rFonts w:hint="eastAsia" w:ascii="仿宋" w:hAnsi="仿宋" w:eastAsia="仿宋"/>
          <w:b/>
          <w:bCs/>
          <w:sz w:val="32"/>
          <w:szCs w:val="32"/>
        </w:rPr>
        <w:t>第八条</w:t>
      </w:r>
      <w:r>
        <w:rPr>
          <w:rFonts w:hint="eastAsia" w:ascii="仿宋" w:hAnsi="仿宋" w:eastAsia="仿宋"/>
          <w:sz w:val="32"/>
          <w:szCs w:val="32"/>
        </w:rPr>
        <w:t xml:space="preserve"> 本制度自发布之日起施行。</w:t>
      </w:r>
    </w:p>
    <w:p w14:paraId="63C56E32">
      <w:pPr>
        <w:rPr>
          <w:rFonts w:ascii="仿宋" w:hAnsi="仿宋" w:eastAsia="仿宋"/>
          <w:sz w:val="32"/>
          <w:szCs w:val="32"/>
        </w:rPr>
      </w:pPr>
      <w:r>
        <w:rPr>
          <w:rFonts w:hint="eastAsia" w:ascii="仿宋" w:hAnsi="仿宋" w:eastAsia="仿宋"/>
          <w:sz w:val="32"/>
          <w:szCs w:val="32"/>
        </w:rPr>
        <w:br w:type="page"/>
      </w:r>
    </w:p>
    <w:p w14:paraId="22846D96">
      <w:pPr>
        <w:pStyle w:val="7"/>
        <w:spacing w:before="0" w:beforeAutospacing="0" w:after="0" w:afterAutospacing="0" w:line="56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bCs/>
          <w:color w:val="000000"/>
          <w:sz w:val="44"/>
          <w:szCs w:val="44"/>
        </w:rPr>
        <w:t>白城仲裁委员会收费办法</w:t>
      </w:r>
    </w:p>
    <w:p w14:paraId="747D7A22">
      <w:pPr>
        <w:pStyle w:val="7"/>
        <w:spacing w:before="0" w:beforeAutospacing="0" w:after="0" w:afterAutospacing="0" w:line="560" w:lineRule="exact"/>
        <w:rPr>
          <w:rFonts w:ascii="仿宋_GB2312" w:eastAsia="仿宋_GB2312"/>
          <w:color w:val="000000"/>
          <w:sz w:val="32"/>
        </w:rPr>
      </w:pPr>
    </w:p>
    <w:p w14:paraId="5A466960">
      <w:pPr>
        <w:pStyle w:val="7"/>
        <w:spacing w:before="0" w:beforeAutospacing="0" w:after="0" w:afterAutospacing="0" w:line="560" w:lineRule="exact"/>
        <w:ind w:firstLine="643" w:firstLineChars="200"/>
        <w:rPr>
          <w:rFonts w:ascii="仿宋" w:hAnsi="仿宋" w:eastAsia="仿宋" w:cs="仿宋"/>
          <w:color w:val="000000"/>
          <w:sz w:val="32"/>
        </w:rPr>
      </w:pPr>
      <w:r>
        <w:rPr>
          <w:rFonts w:hint="eastAsia" w:ascii="仿宋" w:hAnsi="仿宋" w:eastAsia="仿宋"/>
          <w:b/>
          <w:bCs/>
          <w:kern w:val="2"/>
          <w:sz w:val="32"/>
          <w:szCs w:val="32"/>
        </w:rPr>
        <w:t>第一条</w:t>
      </w:r>
      <w:r>
        <w:rPr>
          <w:rFonts w:hint="eastAsia" w:ascii="仿宋" w:hAnsi="仿宋" w:eastAsia="仿宋" w:cs="仿宋"/>
          <w:color w:val="000000"/>
          <w:sz w:val="32"/>
        </w:rPr>
        <w:t xml:space="preserve"> 为了规范仲裁委员会的仲裁收费，制定本办法。 </w:t>
      </w:r>
    </w:p>
    <w:p w14:paraId="4A10AB15">
      <w:pPr>
        <w:pStyle w:val="7"/>
        <w:spacing w:before="0" w:beforeAutospacing="0" w:after="0" w:afterAutospacing="0" w:line="560" w:lineRule="exact"/>
        <w:ind w:firstLine="643" w:firstLineChars="200"/>
        <w:rPr>
          <w:rFonts w:ascii="仿宋" w:hAnsi="仿宋" w:eastAsia="仿宋" w:cs="仿宋"/>
          <w:color w:val="000000"/>
          <w:sz w:val="32"/>
        </w:rPr>
      </w:pPr>
      <w:r>
        <w:rPr>
          <w:rFonts w:hint="eastAsia" w:ascii="仿宋" w:hAnsi="仿宋" w:eastAsia="仿宋"/>
          <w:b/>
          <w:bCs/>
          <w:kern w:val="2"/>
          <w:sz w:val="32"/>
          <w:szCs w:val="32"/>
        </w:rPr>
        <w:t>第二条</w:t>
      </w:r>
      <w:r>
        <w:rPr>
          <w:rFonts w:hint="eastAsia" w:ascii="仿宋" w:hAnsi="仿宋" w:eastAsia="仿宋" w:cs="仿宋"/>
          <w:color w:val="000000"/>
          <w:sz w:val="32"/>
        </w:rPr>
        <w:t xml:space="preserve"> 当事人申请仲裁，应当按照本办法的规定向仲裁委员会交纳仲裁费用，仲裁费用包括案件受理费和案件处理费。 </w:t>
      </w:r>
    </w:p>
    <w:p w14:paraId="54F2EFDF">
      <w:pPr>
        <w:pStyle w:val="7"/>
        <w:spacing w:before="0" w:beforeAutospacing="0" w:after="0" w:afterAutospacing="0" w:line="560" w:lineRule="exact"/>
        <w:ind w:firstLine="643" w:firstLineChars="200"/>
        <w:rPr>
          <w:rFonts w:ascii="仿宋" w:hAnsi="仿宋" w:eastAsia="仿宋" w:cs="仿宋"/>
          <w:color w:val="000000"/>
          <w:sz w:val="32"/>
        </w:rPr>
      </w:pPr>
      <w:r>
        <w:rPr>
          <w:rFonts w:hint="eastAsia" w:ascii="仿宋" w:hAnsi="仿宋" w:eastAsia="仿宋"/>
          <w:b/>
          <w:bCs/>
          <w:kern w:val="2"/>
          <w:sz w:val="32"/>
          <w:szCs w:val="32"/>
        </w:rPr>
        <w:t>第三条</w:t>
      </w:r>
      <w:r>
        <w:rPr>
          <w:rFonts w:hint="eastAsia" w:ascii="仿宋" w:hAnsi="仿宋" w:eastAsia="仿宋" w:cs="仿宋"/>
          <w:color w:val="000000"/>
          <w:sz w:val="32"/>
        </w:rPr>
        <w:t xml:space="preserve"> 案件受理费用于给付仲裁员报酬、聘用仲裁秘书、维持仲裁委员会正常运转的必要开支。 </w:t>
      </w:r>
    </w:p>
    <w:p w14:paraId="77B45433">
      <w:pPr>
        <w:pStyle w:val="7"/>
        <w:spacing w:before="0" w:beforeAutospacing="0" w:after="0" w:afterAutospacing="0" w:line="560" w:lineRule="exact"/>
        <w:ind w:firstLine="643" w:firstLineChars="200"/>
        <w:rPr>
          <w:rFonts w:ascii="仿宋" w:hAnsi="仿宋" w:eastAsia="仿宋" w:cs="仿宋"/>
          <w:color w:val="000000"/>
          <w:sz w:val="32"/>
        </w:rPr>
      </w:pPr>
      <w:r>
        <w:rPr>
          <w:rFonts w:hint="eastAsia" w:ascii="仿宋" w:hAnsi="仿宋" w:eastAsia="仿宋"/>
          <w:b/>
          <w:bCs/>
          <w:kern w:val="2"/>
          <w:sz w:val="32"/>
          <w:szCs w:val="32"/>
        </w:rPr>
        <w:t>第四条</w:t>
      </w:r>
      <w:r>
        <w:rPr>
          <w:rFonts w:hint="eastAsia" w:ascii="仿宋" w:hAnsi="仿宋" w:eastAsia="仿宋" w:cs="仿宋"/>
          <w:color w:val="000000"/>
          <w:sz w:val="32"/>
        </w:rPr>
        <w:t xml:space="preserve"> 申请人应当自收到仲裁委员会受理通知书之日起5日内，按照本办法的规定预交仲裁费用。被申请人在提出反请求时，同样应当按照本办法的规定预交仲裁费用。 </w:t>
      </w:r>
    </w:p>
    <w:p w14:paraId="6ADF09E2">
      <w:pPr>
        <w:pStyle w:val="7"/>
        <w:spacing w:before="0" w:beforeAutospacing="0" w:after="0" w:afterAutospacing="0" w:line="560" w:lineRule="exact"/>
        <w:ind w:firstLine="640" w:firstLineChars="200"/>
        <w:rPr>
          <w:rFonts w:ascii="仿宋" w:hAnsi="仿宋" w:eastAsia="仿宋" w:cs="仿宋"/>
          <w:color w:val="000000"/>
          <w:sz w:val="32"/>
        </w:rPr>
      </w:pPr>
      <w:r>
        <w:rPr>
          <w:rFonts w:hint="eastAsia" w:ascii="仿宋" w:hAnsi="仿宋" w:eastAsia="仿宋" w:cs="仿宋"/>
          <w:color w:val="000000"/>
          <w:sz w:val="32"/>
        </w:rPr>
        <w:t xml:space="preserve">仲裁案件受理费的具体标准由仲裁委员会在仲裁案件受理费表规定的幅度内确定。 </w:t>
      </w:r>
    </w:p>
    <w:p w14:paraId="55617BB7">
      <w:pPr>
        <w:pStyle w:val="7"/>
        <w:spacing w:before="0" w:beforeAutospacing="0" w:after="0" w:afterAutospacing="0" w:line="560" w:lineRule="exact"/>
        <w:ind w:firstLine="643" w:firstLineChars="200"/>
        <w:rPr>
          <w:rFonts w:ascii="仿宋" w:hAnsi="仿宋" w:eastAsia="仿宋" w:cs="仿宋"/>
          <w:color w:val="000000"/>
          <w:sz w:val="32"/>
        </w:rPr>
      </w:pPr>
      <w:r>
        <w:rPr>
          <w:rFonts w:hint="eastAsia" w:ascii="仿宋" w:hAnsi="仿宋" w:eastAsia="仿宋"/>
          <w:b/>
          <w:bCs/>
          <w:kern w:val="2"/>
          <w:sz w:val="32"/>
          <w:szCs w:val="32"/>
        </w:rPr>
        <w:t>第五条</w:t>
      </w:r>
      <w:r>
        <w:rPr>
          <w:rFonts w:hint="eastAsia" w:ascii="仿宋" w:hAnsi="仿宋" w:eastAsia="仿宋" w:cs="仿宋"/>
          <w:color w:val="000000"/>
          <w:sz w:val="32"/>
        </w:rPr>
        <w:t xml:space="preserve"> 仲裁案件受理费以申请人请求的数额为计算基数；请求的数额与实际争议金额不一致的，以实际争议金额为准。 </w:t>
      </w:r>
    </w:p>
    <w:p w14:paraId="10A910A4">
      <w:pPr>
        <w:pStyle w:val="7"/>
        <w:spacing w:before="0" w:beforeAutospacing="0" w:after="0" w:afterAutospacing="0" w:line="560" w:lineRule="exact"/>
        <w:ind w:firstLine="640" w:firstLineChars="200"/>
        <w:rPr>
          <w:rFonts w:ascii="仿宋" w:hAnsi="仿宋" w:eastAsia="仿宋" w:cs="仿宋"/>
          <w:color w:val="000000"/>
          <w:sz w:val="32"/>
        </w:rPr>
      </w:pPr>
      <w:r>
        <w:rPr>
          <w:rFonts w:hint="eastAsia" w:ascii="仿宋" w:hAnsi="仿宋" w:eastAsia="仿宋" w:cs="仿宋"/>
          <w:color w:val="000000"/>
          <w:sz w:val="32"/>
        </w:rPr>
        <w:t xml:space="preserve">申请仲裁时争议金额未确定的，由仲裁委员会根据争议所涉及权益的具体情况确定预先收取的案件受理费数额。 </w:t>
      </w:r>
    </w:p>
    <w:p w14:paraId="65063352">
      <w:pPr>
        <w:pStyle w:val="7"/>
        <w:spacing w:before="0" w:beforeAutospacing="0" w:after="0" w:afterAutospacing="0" w:line="560" w:lineRule="exact"/>
        <w:ind w:firstLine="643" w:firstLineChars="200"/>
        <w:rPr>
          <w:rFonts w:ascii="仿宋" w:hAnsi="仿宋" w:eastAsia="仿宋" w:cs="仿宋"/>
          <w:color w:val="000000"/>
          <w:sz w:val="32"/>
        </w:rPr>
      </w:pPr>
      <w:r>
        <w:rPr>
          <w:rFonts w:hint="eastAsia" w:ascii="仿宋" w:hAnsi="仿宋" w:eastAsia="仿宋"/>
          <w:b/>
          <w:bCs/>
          <w:kern w:val="2"/>
          <w:sz w:val="32"/>
          <w:szCs w:val="32"/>
        </w:rPr>
        <w:t>第六条</w:t>
      </w:r>
      <w:r>
        <w:rPr>
          <w:rFonts w:hint="eastAsia" w:ascii="仿宋" w:hAnsi="仿宋" w:eastAsia="仿宋" w:cs="仿宋"/>
          <w:color w:val="000000"/>
          <w:sz w:val="32"/>
        </w:rPr>
        <w:t xml:space="preserve"> 当事人预交案件受理费确有困难的，由当事人提出申请，经仲裁委员会批准，可以缓交或减免。 </w:t>
      </w:r>
    </w:p>
    <w:p w14:paraId="6F4DC123">
      <w:pPr>
        <w:pStyle w:val="7"/>
        <w:spacing w:before="0" w:beforeAutospacing="0" w:after="0" w:afterAutospacing="0" w:line="560" w:lineRule="exact"/>
        <w:ind w:firstLine="640" w:firstLineChars="200"/>
        <w:rPr>
          <w:rFonts w:ascii="仿宋" w:hAnsi="仿宋" w:eastAsia="仿宋" w:cs="仿宋"/>
          <w:color w:val="000000"/>
          <w:sz w:val="32"/>
        </w:rPr>
      </w:pPr>
      <w:r>
        <w:rPr>
          <w:rFonts w:hint="eastAsia" w:ascii="仿宋" w:hAnsi="仿宋" w:eastAsia="仿宋" w:cs="仿宋"/>
          <w:color w:val="000000"/>
          <w:sz w:val="32"/>
        </w:rPr>
        <w:t xml:space="preserve">当事人在本办法第四条第一款规定的期限内不预交案件受理费，又不提出缓交或减免申请的，视为撤回仲裁申请。 </w:t>
      </w:r>
    </w:p>
    <w:p w14:paraId="17A092A9">
      <w:pPr>
        <w:pStyle w:val="7"/>
        <w:spacing w:before="0" w:beforeAutospacing="0" w:after="0" w:afterAutospacing="0" w:line="560" w:lineRule="exact"/>
        <w:ind w:firstLine="643" w:firstLineChars="200"/>
        <w:rPr>
          <w:rFonts w:ascii="仿宋" w:hAnsi="仿宋" w:eastAsia="仿宋" w:cs="仿宋"/>
          <w:color w:val="000000"/>
          <w:sz w:val="32"/>
        </w:rPr>
      </w:pPr>
      <w:r>
        <w:rPr>
          <w:rFonts w:hint="eastAsia" w:ascii="仿宋" w:hAnsi="仿宋" w:eastAsia="仿宋"/>
          <w:b/>
          <w:bCs/>
          <w:kern w:val="2"/>
          <w:sz w:val="32"/>
          <w:szCs w:val="32"/>
        </w:rPr>
        <w:t>第七条</w:t>
      </w:r>
      <w:r>
        <w:rPr>
          <w:rFonts w:hint="eastAsia" w:ascii="仿宋" w:hAnsi="仿宋" w:eastAsia="仿宋" w:cs="仿宋"/>
          <w:color w:val="000000"/>
          <w:sz w:val="32"/>
        </w:rPr>
        <w:t xml:space="preserve">  案件处理费按照办理案件时的实际支出收取。一般不超过案件受理费的20%。 </w:t>
      </w:r>
    </w:p>
    <w:p w14:paraId="29DFDE64">
      <w:pPr>
        <w:pStyle w:val="7"/>
        <w:spacing w:before="0" w:beforeAutospacing="0" w:after="0" w:afterAutospacing="0" w:line="560" w:lineRule="exact"/>
        <w:ind w:firstLine="643" w:firstLineChars="200"/>
        <w:rPr>
          <w:rFonts w:ascii="仿宋" w:hAnsi="仿宋" w:eastAsia="仿宋" w:cs="仿宋"/>
          <w:color w:val="000000"/>
          <w:sz w:val="32"/>
        </w:rPr>
      </w:pPr>
      <w:r>
        <w:rPr>
          <w:rFonts w:hint="eastAsia" w:ascii="仿宋" w:hAnsi="仿宋" w:eastAsia="仿宋"/>
          <w:b/>
          <w:bCs/>
          <w:kern w:val="2"/>
          <w:sz w:val="32"/>
          <w:szCs w:val="32"/>
        </w:rPr>
        <w:t>第八条</w:t>
      </w:r>
      <w:r>
        <w:rPr>
          <w:rFonts w:hint="eastAsia" w:ascii="仿宋" w:hAnsi="仿宋" w:eastAsia="仿宋" w:cs="仿宋"/>
          <w:color w:val="000000"/>
          <w:sz w:val="32"/>
        </w:rPr>
        <w:t xml:space="preserve">  案件处理费用途： </w:t>
      </w:r>
    </w:p>
    <w:p w14:paraId="3D7EA651">
      <w:pPr>
        <w:pStyle w:val="7"/>
        <w:spacing w:before="0" w:beforeAutospacing="0" w:after="0" w:afterAutospacing="0" w:line="560" w:lineRule="exact"/>
        <w:ind w:firstLine="640" w:firstLineChars="200"/>
        <w:rPr>
          <w:rFonts w:ascii="仿宋" w:hAnsi="仿宋" w:eastAsia="仿宋" w:cs="仿宋"/>
          <w:color w:val="000000"/>
          <w:sz w:val="32"/>
        </w:rPr>
      </w:pPr>
      <w:r>
        <w:rPr>
          <w:rFonts w:hint="eastAsia" w:ascii="仿宋" w:hAnsi="仿宋" w:eastAsia="仿宋" w:cs="仿宋"/>
          <w:color w:val="000000"/>
          <w:sz w:val="32"/>
        </w:rPr>
        <w:t xml:space="preserve">(一)仲裁员、仲裁秘书因办理仲裁案件出差、开庭而支出的食宿费、交通费及其他合理费用； </w:t>
      </w:r>
    </w:p>
    <w:p w14:paraId="3FDA7CD5">
      <w:pPr>
        <w:pStyle w:val="7"/>
        <w:spacing w:before="0" w:beforeAutospacing="0" w:after="0" w:afterAutospacing="0" w:line="560" w:lineRule="exact"/>
        <w:ind w:firstLine="640" w:firstLineChars="200"/>
        <w:rPr>
          <w:rFonts w:ascii="仿宋" w:hAnsi="仿宋" w:eastAsia="仿宋" w:cs="仿宋"/>
          <w:color w:val="000000"/>
          <w:sz w:val="32"/>
        </w:rPr>
      </w:pPr>
      <w:r>
        <w:rPr>
          <w:rFonts w:hint="eastAsia" w:ascii="仿宋" w:hAnsi="仿宋" w:eastAsia="仿宋" w:cs="仿宋"/>
          <w:color w:val="000000"/>
          <w:sz w:val="32"/>
        </w:rPr>
        <w:t xml:space="preserve">(二)证人、鉴定人、翻译人员等因出庭而支出的食宿费、交通费、误工补贴； </w:t>
      </w:r>
    </w:p>
    <w:p w14:paraId="04F5898D">
      <w:pPr>
        <w:pStyle w:val="7"/>
        <w:spacing w:before="0" w:beforeAutospacing="0" w:after="0" w:afterAutospacing="0" w:line="560" w:lineRule="exact"/>
        <w:ind w:firstLine="640" w:firstLineChars="200"/>
        <w:rPr>
          <w:rFonts w:ascii="仿宋" w:hAnsi="仿宋" w:eastAsia="仿宋" w:cs="仿宋"/>
          <w:color w:val="000000"/>
          <w:sz w:val="32"/>
        </w:rPr>
      </w:pPr>
      <w:r>
        <w:rPr>
          <w:rFonts w:hint="eastAsia" w:ascii="仿宋" w:hAnsi="仿宋" w:eastAsia="仿宋" w:cs="仿宋"/>
          <w:color w:val="000000"/>
          <w:sz w:val="32"/>
        </w:rPr>
        <w:t xml:space="preserve">(三)咨询、鉴定、勘验、翻译等费用； </w:t>
      </w:r>
    </w:p>
    <w:p w14:paraId="2950ECBF">
      <w:pPr>
        <w:pStyle w:val="7"/>
        <w:spacing w:before="0" w:beforeAutospacing="0" w:after="0" w:afterAutospacing="0" w:line="560" w:lineRule="exact"/>
        <w:ind w:firstLine="640" w:firstLineChars="200"/>
        <w:rPr>
          <w:rFonts w:ascii="仿宋" w:hAnsi="仿宋" w:eastAsia="仿宋" w:cs="仿宋"/>
          <w:color w:val="000000"/>
          <w:sz w:val="32"/>
        </w:rPr>
      </w:pPr>
      <w:r>
        <w:rPr>
          <w:rFonts w:hint="eastAsia" w:ascii="仿宋" w:hAnsi="仿宋" w:eastAsia="仿宋" w:cs="仿宋"/>
          <w:color w:val="000000"/>
          <w:sz w:val="32"/>
        </w:rPr>
        <w:t xml:space="preserve">(四)复制、送达案件材料、文书的费用； </w:t>
      </w:r>
    </w:p>
    <w:p w14:paraId="778B3F8F">
      <w:pPr>
        <w:pStyle w:val="7"/>
        <w:spacing w:before="0" w:beforeAutospacing="0" w:after="0" w:afterAutospacing="0" w:line="560" w:lineRule="exact"/>
        <w:ind w:firstLine="640" w:firstLineChars="200"/>
        <w:rPr>
          <w:rFonts w:ascii="仿宋" w:hAnsi="仿宋" w:eastAsia="仿宋" w:cs="仿宋"/>
          <w:color w:val="000000"/>
          <w:sz w:val="32"/>
        </w:rPr>
      </w:pPr>
      <w:r>
        <w:rPr>
          <w:rFonts w:hint="eastAsia" w:ascii="仿宋" w:hAnsi="仿宋" w:eastAsia="仿宋" w:cs="仿宋"/>
          <w:color w:val="000000"/>
          <w:sz w:val="32"/>
        </w:rPr>
        <w:t xml:space="preserve">(五)其他应当由当事人承担的合理费用。 </w:t>
      </w:r>
    </w:p>
    <w:p w14:paraId="74FF55E8">
      <w:pPr>
        <w:pStyle w:val="7"/>
        <w:spacing w:before="0" w:beforeAutospacing="0" w:after="0" w:afterAutospacing="0" w:line="560" w:lineRule="exact"/>
        <w:ind w:firstLine="640" w:firstLineChars="200"/>
        <w:rPr>
          <w:rFonts w:ascii="仿宋" w:hAnsi="仿宋" w:eastAsia="仿宋" w:cs="仿宋"/>
          <w:color w:val="000000"/>
          <w:sz w:val="32"/>
        </w:rPr>
      </w:pPr>
      <w:r>
        <w:rPr>
          <w:rFonts w:hint="eastAsia" w:ascii="仿宋" w:hAnsi="仿宋" w:eastAsia="仿宋" w:cs="仿宋"/>
          <w:color w:val="000000"/>
          <w:sz w:val="32"/>
        </w:rPr>
        <w:t>本条款第(二)、(三)项规定的案件处理费，由提出申请的一方当事人预付。</w:t>
      </w:r>
    </w:p>
    <w:p w14:paraId="55F8264B">
      <w:pPr>
        <w:pStyle w:val="7"/>
        <w:spacing w:before="0" w:beforeAutospacing="0" w:after="0" w:afterAutospacing="0" w:line="560" w:lineRule="exact"/>
        <w:ind w:firstLine="643" w:firstLineChars="200"/>
        <w:rPr>
          <w:rFonts w:ascii="仿宋" w:hAnsi="仿宋" w:eastAsia="仿宋" w:cs="仿宋"/>
          <w:color w:val="000000"/>
          <w:sz w:val="32"/>
        </w:rPr>
      </w:pPr>
      <w:r>
        <w:rPr>
          <w:rFonts w:hint="eastAsia" w:ascii="仿宋" w:hAnsi="仿宋" w:eastAsia="仿宋"/>
          <w:b/>
          <w:bCs/>
          <w:kern w:val="2"/>
          <w:sz w:val="32"/>
          <w:szCs w:val="32"/>
        </w:rPr>
        <w:t>第九条</w:t>
      </w:r>
      <w:r>
        <w:rPr>
          <w:rFonts w:hint="eastAsia" w:ascii="仿宋" w:hAnsi="仿宋" w:eastAsia="仿宋" w:cs="仿宋"/>
          <w:color w:val="000000"/>
          <w:sz w:val="32"/>
        </w:rPr>
        <w:t xml:space="preserve"> 仲裁费用原则上由败诉的当事人承担；当事人部分胜诉、部分败诉的，由仲裁庭根据当事人各方责任大小确定其各自应当承担的仲裁费用的比例。当事人自行和解或者经仲裁庭调解结案的，当事人可以协商确定各自承担的仲裁费用的比例。 </w:t>
      </w:r>
    </w:p>
    <w:p w14:paraId="144A2E7D">
      <w:pPr>
        <w:pStyle w:val="7"/>
        <w:spacing w:before="0" w:beforeAutospacing="0" w:after="0" w:afterAutospacing="0" w:line="560" w:lineRule="exact"/>
        <w:ind w:firstLine="640" w:firstLineChars="200"/>
        <w:rPr>
          <w:rFonts w:ascii="仿宋" w:hAnsi="仿宋" w:eastAsia="仿宋" w:cs="仿宋"/>
          <w:color w:val="000000"/>
          <w:sz w:val="32"/>
        </w:rPr>
      </w:pPr>
      <w:r>
        <w:rPr>
          <w:rFonts w:hint="eastAsia" w:ascii="仿宋" w:hAnsi="仿宋" w:eastAsia="仿宋" w:cs="仿宋"/>
          <w:color w:val="000000"/>
          <w:sz w:val="32"/>
        </w:rPr>
        <w:t xml:space="preserve">仲裁庭应当在调解书或者裁决书中写明双方当事人最终应当支付的仲裁费用金额。 </w:t>
      </w:r>
    </w:p>
    <w:p w14:paraId="7B6D1F6F">
      <w:pPr>
        <w:pStyle w:val="7"/>
        <w:spacing w:before="0" w:beforeAutospacing="0" w:after="0" w:afterAutospacing="0" w:line="560" w:lineRule="exact"/>
        <w:ind w:firstLine="643" w:firstLineChars="200"/>
        <w:rPr>
          <w:rFonts w:ascii="仿宋" w:hAnsi="仿宋" w:eastAsia="仿宋" w:cs="仿宋"/>
          <w:color w:val="000000"/>
          <w:sz w:val="32"/>
        </w:rPr>
      </w:pPr>
      <w:r>
        <w:rPr>
          <w:rFonts w:hint="eastAsia" w:ascii="仿宋" w:hAnsi="仿宋" w:eastAsia="仿宋"/>
          <w:b/>
          <w:bCs/>
          <w:kern w:val="2"/>
          <w:sz w:val="32"/>
          <w:szCs w:val="32"/>
        </w:rPr>
        <w:t>第十条</w:t>
      </w:r>
      <w:r>
        <w:rPr>
          <w:rFonts w:hint="eastAsia" w:ascii="仿宋" w:hAnsi="仿宋" w:eastAsia="仿宋" w:cs="仿宋"/>
          <w:color w:val="000000"/>
          <w:sz w:val="32"/>
        </w:rPr>
        <w:t xml:space="preserve"> 依照仲裁法第六十一条的规定，仲裁庭同意重新仲裁的，仲裁委员会不得再行收取案件受理费。 </w:t>
      </w:r>
    </w:p>
    <w:p w14:paraId="6E65AF27">
      <w:pPr>
        <w:pStyle w:val="7"/>
        <w:spacing w:before="0" w:beforeAutospacing="0" w:after="0" w:afterAutospacing="0" w:line="560" w:lineRule="exact"/>
        <w:ind w:firstLine="640" w:firstLineChars="200"/>
        <w:rPr>
          <w:rFonts w:ascii="仿宋" w:hAnsi="仿宋" w:eastAsia="仿宋" w:cs="仿宋"/>
          <w:color w:val="000000"/>
          <w:sz w:val="32"/>
        </w:rPr>
      </w:pPr>
      <w:r>
        <w:rPr>
          <w:rFonts w:hint="eastAsia" w:ascii="仿宋" w:hAnsi="仿宋" w:eastAsia="仿宋" w:cs="仿宋"/>
          <w:color w:val="000000"/>
          <w:sz w:val="32"/>
        </w:rPr>
        <w:t xml:space="preserve">仲裁庭依法对裁决书中的文字、计算错误或者仲裁庭已经裁决但在裁决书中遗漏的事项作出补正，不得收费。 </w:t>
      </w:r>
    </w:p>
    <w:p w14:paraId="2D49AB73">
      <w:pPr>
        <w:pStyle w:val="7"/>
        <w:spacing w:before="0" w:beforeAutospacing="0" w:after="0" w:afterAutospacing="0" w:line="560" w:lineRule="exact"/>
        <w:ind w:firstLine="643" w:firstLineChars="200"/>
        <w:rPr>
          <w:rFonts w:ascii="仿宋" w:hAnsi="仿宋" w:eastAsia="仿宋" w:cs="仿宋"/>
          <w:color w:val="000000"/>
          <w:sz w:val="32"/>
        </w:rPr>
      </w:pPr>
      <w:r>
        <w:rPr>
          <w:rFonts w:hint="eastAsia" w:ascii="仿宋" w:hAnsi="仿宋" w:eastAsia="仿宋"/>
          <w:b/>
          <w:bCs/>
          <w:kern w:val="2"/>
          <w:sz w:val="32"/>
          <w:szCs w:val="32"/>
        </w:rPr>
        <w:t>第十一条</w:t>
      </w:r>
      <w:r>
        <w:rPr>
          <w:rFonts w:hint="eastAsia" w:ascii="仿宋" w:hAnsi="仿宋" w:eastAsia="仿宋" w:cs="仿宋"/>
          <w:color w:val="000000"/>
          <w:sz w:val="32"/>
        </w:rPr>
        <w:t xml:space="preserve"> 申请人经书面通知，无正当理由不到庭或者未经仲裁庭许可中途退庭，可以视为撤回仲裁申请，案件受理费、处理费不予退回。 </w:t>
      </w:r>
    </w:p>
    <w:p w14:paraId="0BAFDB5A">
      <w:pPr>
        <w:pStyle w:val="7"/>
        <w:spacing w:before="0" w:beforeAutospacing="0" w:after="0" w:afterAutospacing="0" w:line="560" w:lineRule="exact"/>
        <w:ind w:firstLine="643" w:firstLineChars="200"/>
        <w:rPr>
          <w:rFonts w:ascii="仿宋" w:hAnsi="仿宋" w:eastAsia="仿宋" w:cs="仿宋"/>
          <w:color w:val="000000"/>
          <w:sz w:val="32"/>
        </w:rPr>
      </w:pPr>
      <w:r>
        <w:rPr>
          <w:rFonts w:hint="eastAsia" w:ascii="仿宋" w:hAnsi="仿宋" w:eastAsia="仿宋"/>
          <w:b/>
          <w:bCs/>
          <w:kern w:val="2"/>
          <w:sz w:val="32"/>
          <w:szCs w:val="32"/>
        </w:rPr>
        <w:t>第十二条</w:t>
      </w:r>
      <w:r>
        <w:rPr>
          <w:rFonts w:hint="eastAsia" w:ascii="仿宋" w:hAnsi="仿宋" w:eastAsia="仿宋" w:cs="仿宋"/>
          <w:color w:val="000000"/>
          <w:sz w:val="32"/>
        </w:rPr>
        <w:t xml:space="preserve"> 仲裁委员会受理仲裁申请后，仲裁庭组成前，申请人撤回仲裁申请，或者当事人自行达成和解协议并撤回仲裁申请的，案件受理费应当全部退回。</w:t>
      </w:r>
    </w:p>
    <w:p w14:paraId="44B426C1">
      <w:pPr>
        <w:pStyle w:val="7"/>
        <w:spacing w:before="0" w:beforeAutospacing="0" w:after="0" w:afterAutospacing="0" w:line="560" w:lineRule="exact"/>
        <w:ind w:firstLine="640" w:firstLineChars="200"/>
        <w:rPr>
          <w:rFonts w:ascii="仿宋" w:hAnsi="仿宋" w:eastAsia="仿宋" w:cs="仿宋"/>
          <w:color w:val="000000"/>
          <w:sz w:val="32"/>
        </w:rPr>
      </w:pPr>
      <w:r>
        <w:rPr>
          <w:rFonts w:hint="eastAsia" w:ascii="仿宋" w:hAnsi="仿宋" w:eastAsia="仿宋" w:cs="仿宋"/>
          <w:color w:val="000000"/>
          <w:sz w:val="32"/>
        </w:rPr>
        <w:t xml:space="preserve">仲裁庭组成后，申请人撤回仲裁申请或者当事人自行达成和解协议并撤回仲裁申请的，应当根据实际情况酌情退回部分案件受理费。 </w:t>
      </w:r>
    </w:p>
    <w:p w14:paraId="4F13DE9D">
      <w:pPr>
        <w:pStyle w:val="7"/>
        <w:spacing w:before="0" w:beforeAutospacing="0" w:after="0" w:afterAutospacing="0" w:line="560" w:lineRule="exact"/>
        <w:ind w:firstLine="643" w:firstLineChars="200"/>
        <w:rPr>
          <w:rFonts w:ascii="仿宋" w:hAnsi="仿宋" w:eastAsia="仿宋" w:cs="仿宋"/>
          <w:color w:val="000000"/>
          <w:sz w:val="32"/>
        </w:rPr>
      </w:pPr>
      <w:r>
        <w:rPr>
          <w:rFonts w:hint="eastAsia" w:ascii="仿宋" w:hAnsi="仿宋" w:eastAsia="仿宋"/>
          <w:b/>
          <w:bCs/>
          <w:kern w:val="2"/>
          <w:sz w:val="32"/>
          <w:szCs w:val="32"/>
        </w:rPr>
        <w:t>第十三条</w:t>
      </w:r>
      <w:r>
        <w:rPr>
          <w:rFonts w:hint="eastAsia" w:ascii="仿宋" w:hAnsi="仿宋" w:eastAsia="仿宋" w:cs="仿宋"/>
          <w:color w:val="000000"/>
          <w:sz w:val="32"/>
        </w:rPr>
        <w:t xml:space="preserve"> 本办法第五条、第十二条的规定同样适用于被申请人提出反请求的情形。 </w:t>
      </w:r>
    </w:p>
    <w:p w14:paraId="1165D897">
      <w:pPr>
        <w:pStyle w:val="7"/>
        <w:spacing w:before="0" w:beforeAutospacing="0" w:after="0" w:afterAutospacing="0" w:line="560" w:lineRule="exact"/>
        <w:ind w:firstLine="643" w:firstLineChars="200"/>
        <w:rPr>
          <w:rFonts w:ascii="仿宋" w:hAnsi="仿宋" w:eastAsia="仿宋" w:cs="仿宋"/>
          <w:color w:val="000000"/>
          <w:sz w:val="32"/>
        </w:rPr>
      </w:pPr>
      <w:r>
        <w:rPr>
          <w:rFonts w:hint="eastAsia" w:ascii="仿宋" w:hAnsi="仿宋" w:eastAsia="仿宋"/>
          <w:b/>
          <w:bCs/>
          <w:kern w:val="2"/>
          <w:sz w:val="32"/>
          <w:szCs w:val="32"/>
        </w:rPr>
        <w:t>第十四条</w:t>
      </w:r>
      <w:r>
        <w:rPr>
          <w:rFonts w:hint="eastAsia" w:ascii="仿宋" w:hAnsi="仿宋" w:eastAsia="仿宋" w:cs="仿宋"/>
          <w:color w:val="000000"/>
          <w:sz w:val="32"/>
        </w:rPr>
        <w:t xml:space="preserve"> 仲裁委员会收取仲裁案件受理费，应当使用省、自治区、直辖市人民政府财政部门统一印制的收费票据，并按照国家有关规定，建立、健全财务核算制度，加强财务、收支管理，接受财政、审计、财务、物价等部门的监督。</w:t>
      </w:r>
    </w:p>
    <w:p w14:paraId="18A5A22C">
      <w:pPr>
        <w:rPr>
          <w:rFonts w:ascii="仿宋" w:hAnsi="仿宋" w:eastAsia="仿宋" w:cs="仿宋"/>
          <w:color w:val="000000"/>
          <w:sz w:val="32"/>
        </w:rPr>
      </w:pPr>
      <w:r>
        <w:rPr>
          <w:rFonts w:hint="eastAsia" w:ascii="仿宋" w:hAnsi="仿宋" w:eastAsia="仿宋" w:cs="仿宋"/>
          <w:color w:val="000000"/>
          <w:sz w:val="32"/>
        </w:rPr>
        <w:br w:type="page"/>
      </w:r>
    </w:p>
    <w:p w14:paraId="26947AA6">
      <w:pPr>
        <w:rPr>
          <w:rFonts w:ascii="宋体" w:hAnsi="宋体"/>
          <w:b/>
          <w:sz w:val="44"/>
          <w:szCs w:val="44"/>
        </w:rPr>
      </w:pPr>
      <w:r>
        <w:rPr>
          <w:rFonts w:hint="eastAsia" w:ascii="宋体" w:hAnsi="宋体"/>
          <w:b/>
          <w:sz w:val="44"/>
          <w:szCs w:val="44"/>
        </w:rPr>
        <w:t xml:space="preserve">  白城仲裁委员会仲裁员劳动报酬支付办法</w:t>
      </w:r>
    </w:p>
    <w:p w14:paraId="4E3B2FA0">
      <w:pPr>
        <w:spacing w:line="560" w:lineRule="exact"/>
        <w:rPr>
          <w:rFonts w:ascii="仿宋_GB2312" w:hAnsi="黑体" w:eastAsia="仿宋_GB2312"/>
          <w:sz w:val="32"/>
          <w:szCs w:val="32"/>
        </w:rPr>
      </w:pPr>
    </w:p>
    <w:p w14:paraId="48FA92F8">
      <w:pPr>
        <w:pStyle w:val="3"/>
        <w:spacing w:line="560" w:lineRule="exact"/>
        <w:ind w:firstLine="643" w:firstLineChars="200"/>
        <w:rPr>
          <w:rFonts w:ascii="仿宋_GB2312" w:eastAsia="仿宋_GB2312"/>
        </w:rPr>
      </w:pPr>
      <w:r>
        <w:rPr>
          <w:rFonts w:hint="eastAsia" w:ascii="仿宋" w:hAnsi="仿宋" w:eastAsia="仿宋"/>
          <w:b/>
          <w:bCs/>
          <w:szCs w:val="32"/>
        </w:rPr>
        <w:t>第一条</w:t>
      </w:r>
      <w:r>
        <w:rPr>
          <w:rFonts w:hint="eastAsia" w:ascii="仿宋_GB2312" w:eastAsia="仿宋_GB2312"/>
        </w:rPr>
        <w:t xml:space="preserve"> 为规范仲裁员劳动报酬的支付工作，根据国务院《仲裁委员会收费办法》和《白城仲裁委员会章程》的规定，结合我市实际，制定本办法。</w:t>
      </w:r>
    </w:p>
    <w:p w14:paraId="278B1400">
      <w:pPr>
        <w:spacing w:line="560" w:lineRule="exact"/>
        <w:ind w:firstLine="643" w:firstLineChars="200"/>
        <w:rPr>
          <w:rFonts w:ascii="仿宋_GB2312" w:eastAsia="仿宋_GB2312"/>
          <w:sz w:val="32"/>
        </w:rPr>
      </w:pPr>
      <w:r>
        <w:rPr>
          <w:rFonts w:hint="eastAsia" w:ascii="仿宋" w:hAnsi="仿宋" w:eastAsia="仿宋"/>
          <w:b/>
          <w:bCs/>
          <w:sz w:val="32"/>
          <w:szCs w:val="32"/>
        </w:rPr>
        <w:t>第二条</w:t>
      </w:r>
      <w:r>
        <w:rPr>
          <w:rFonts w:hint="eastAsia" w:ascii="仿宋_GB2312" w:eastAsia="仿宋_GB2312"/>
          <w:sz w:val="32"/>
        </w:rPr>
        <w:t xml:space="preserve"> 本着按劳取酬的原则，仲裁员报酬为案件受理费的20%。仲裁委员会办公室根据争议标的、案件难易和办案质量，结合仲裁庭组成情况，经请示仲裁委主任决定，可进行上下浮动。</w:t>
      </w:r>
    </w:p>
    <w:p w14:paraId="6B75A76F">
      <w:pPr>
        <w:spacing w:line="560" w:lineRule="exact"/>
        <w:ind w:firstLine="643" w:firstLineChars="200"/>
        <w:rPr>
          <w:rFonts w:ascii="仿宋_GB2312" w:eastAsia="仿宋_GB2312"/>
          <w:sz w:val="32"/>
        </w:rPr>
      </w:pPr>
      <w:r>
        <w:rPr>
          <w:rFonts w:hint="eastAsia" w:ascii="仿宋" w:hAnsi="仿宋" w:eastAsia="仿宋"/>
          <w:b/>
          <w:bCs/>
          <w:sz w:val="32"/>
          <w:szCs w:val="32"/>
        </w:rPr>
        <w:t>第三条</w:t>
      </w:r>
      <w:r>
        <w:rPr>
          <w:rFonts w:hint="eastAsia" w:ascii="仿宋_GB2312" w:eastAsia="仿宋_GB2312"/>
          <w:sz w:val="32"/>
        </w:rPr>
        <w:t xml:space="preserve"> 仲裁庭由三个仲裁员组成的，首席仲裁员与其他两名仲裁员的报酬分配比例为4：3：3；由一人组成仲裁庭的，按仲裁员全部报酬支付给该仲裁员；不开庭审理的，仲裁员报酬按照仲裁员全部报酬的50%支付。仲裁委员会办公室根据争议标的、案件难易和办案质量，结合仲裁庭组成情况，经请示仲裁委主任决定，进行上下浮动。</w:t>
      </w:r>
    </w:p>
    <w:p w14:paraId="2D6C5275">
      <w:pPr>
        <w:spacing w:line="560" w:lineRule="exact"/>
        <w:ind w:firstLine="643" w:firstLineChars="200"/>
        <w:rPr>
          <w:rFonts w:ascii="仿宋_GB2312" w:eastAsia="仿宋_GB2312"/>
          <w:sz w:val="32"/>
        </w:rPr>
      </w:pPr>
      <w:r>
        <w:rPr>
          <w:rFonts w:hint="eastAsia" w:ascii="仿宋" w:hAnsi="仿宋" w:eastAsia="仿宋"/>
          <w:b/>
          <w:bCs/>
          <w:sz w:val="32"/>
          <w:szCs w:val="32"/>
        </w:rPr>
        <w:t>第四条</w:t>
      </w:r>
      <w:r>
        <w:rPr>
          <w:rFonts w:hint="eastAsia" w:ascii="仿宋_GB2312" w:eastAsia="仿宋_GB2312"/>
          <w:sz w:val="32"/>
        </w:rPr>
        <w:t xml:space="preserve"> 仲裁员的报酬在结案后一次付清。</w:t>
      </w:r>
    </w:p>
    <w:p w14:paraId="7E85670A">
      <w:pPr>
        <w:spacing w:line="560" w:lineRule="exact"/>
        <w:ind w:firstLine="643" w:firstLineChars="200"/>
        <w:rPr>
          <w:rFonts w:ascii="仿宋_GB2312" w:eastAsia="仿宋_GB2312"/>
          <w:sz w:val="32"/>
        </w:rPr>
      </w:pPr>
      <w:r>
        <w:rPr>
          <w:rFonts w:hint="eastAsia" w:ascii="仿宋" w:hAnsi="仿宋" w:eastAsia="仿宋"/>
          <w:b/>
          <w:bCs/>
          <w:sz w:val="32"/>
          <w:szCs w:val="32"/>
        </w:rPr>
        <w:t>第五条</w:t>
      </w:r>
      <w:r>
        <w:rPr>
          <w:rFonts w:hint="eastAsia" w:ascii="仿宋_GB2312" w:eastAsia="仿宋_GB2312"/>
          <w:sz w:val="32"/>
        </w:rPr>
        <w:t xml:space="preserve"> 裁决书被人民法院撤销的，根据不同情况向有责任的仲裁员追回报酬：</w:t>
      </w:r>
    </w:p>
    <w:p w14:paraId="54D70EC5">
      <w:pPr>
        <w:spacing w:line="560" w:lineRule="exact"/>
        <w:ind w:firstLine="640" w:firstLineChars="200"/>
        <w:rPr>
          <w:rFonts w:ascii="仿宋_GB2312" w:eastAsia="仿宋_GB2312"/>
          <w:sz w:val="32"/>
        </w:rPr>
      </w:pPr>
      <w:r>
        <w:rPr>
          <w:rFonts w:hint="eastAsia" w:ascii="仿宋_GB2312" w:eastAsia="仿宋_GB2312"/>
          <w:sz w:val="32"/>
        </w:rPr>
        <w:t>（一）当事人提供的证据是伪造的，仲裁员未认真鉴别而作为依据的，扣回仲裁员报酬的50%。</w:t>
      </w:r>
    </w:p>
    <w:p w14:paraId="10208B70">
      <w:pPr>
        <w:spacing w:line="560" w:lineRule="exact"/>
        <w:ind w:firstLine="640" w:firstLineChars="200"/>
        <w:rPr>
          <w:rFonts w:ascii="仿宋_GB2312" w:eastAsia="仿宋_GB2312"/>
          <w:sz w:val="32"/>
        </w:rPr>
      </w:pPr>
      <w:r>
        <w:rPr>
          <w:rFonts w:hint="eastAsia" w:ascii="仿宋_GB2312" w:eastAsia="仿宋_GB2312"/>
          <w:sz w:val="32"/>
        </w:rPr>
        <w:t>（二）仲裁员在仲裁案件时有索贿受贿、徇私舞弊、枉法行为或严重影响仲裁委员会形象的，仲裁委员会有权将仲裁员所得的报酬全额追回。</w:t>
      </w:r>
    </w:p>
    <w:p w14:paraId="01AF2C68">
      <w:pPr>
        <w:spacing w:line="560" w:lineRule="exact"/>
        <w:ind w:firstLine="643" w:firstLineChars="200"/>
        <w:rPr>
          <w:rFonts w:ascii="仿宋_GB2312" w:eastAsia="仿宋_GB2312"/>
          <w:sz w:val="32"/>
        </w:rPr>
      </w:pPr>
      <w:r>
        <w:rPr>
          <w:rFonts w:hint="eastAsia" w:ascii="仿宋" w:hAnsi="仿宋" w:eastAsia="仿宋"/>
          <w:b/>
          <w:bCs/>
          <w:sz w:val="32"/>
          <w:szCs w:val="32"/>
        </w:rPr>
        <w:t>第六条</w:t>
      </w:r>
      <w:r>
        <w:rPr>
          <w:rFonts w:hint="eastAsia" w:ascii="仿宋_GB2312" w:eastAsia="仿宋_GB2312"/>
          <w:sz w:val="32"/>
        </w:rPr>
        <w:t xml:space="preserve"> 裁决书被人民法院依法裁定不予执行，仲裁员对此有过错责任的，扣回仲裁员报酬的50%。</w:t>
      </w:r>
    </w:p>
    <w:p w14:paraId="4CB3EDD5">
      <w:pPr>
        <w:rPr>
          <w:rFonts w:ascii="仿宋_GB2312" w:eastAsia="仿宋_GB2312"/>
          <w:sz w:val="32"/>
        </w:rPr>
      </w:pPr>
      <w:r>
        <w:rPr>
          <w:rFonts w:hint="eastAsia" w:ascii="仿宋_GB2312" w:eastAsia="仿宋_GB2312"/>
          <w:sz w:val="32"/>
        </w:rPr>
        <w:br w:type="page"/>
      </w:r>
    </w:p>
    <w:p w14:paraId="3B1B338C">
      <w:pPr>
        <w:pStyle w:val="7"/>
        <w:spacing w:before="0" w:beforeAutospacing="0" w:after="0" w:afterAutospacing="0" w:line="560" w:lineRule="exact"/>
        <w:jc w:val="center"/>
        <w:rPr>
          <w:rFonts w:ascii="方正小标宋简体" w:hAnsi="方正小标宋简体" w:eastAsia="方正小标宋简体" w:cs="方正小标宋简体"/>
          <w:bCs/>
          <w:color w:val="000000" w:themeColor="text1"/>
          <w:sz w:val="44"/>
          <w:szCs w:val="44"/>
        </w:rPr>
      </w:pPr>
      <w:r>
        <w:rPr>
          <w:rFonts w:hint="eastAsia" w:ascii="方正小标宋简体" w:hAnsi="方正小标宋简体" w:eastAsia="方正小标宋简体" w:cs="方正小标宋简体"/>
          <w:bCs/>
          <w:color w:val="000000" w:themeColor="text1"/>
          <w:sz w:val="44"/>
          <w:szCs w:val="44"/>
        </w:rPr>
        <w:t>白城市法律服务机构及法律服务人员</w:t>
      </w:r>
    </w:p>
    <w:p w14:paraId="431A8403">
      <w:pPr>
        <w:pStyle w:val="7"/>
        <w:spacing w:before="0" w:beforeAutospacing="0" w:after="0" w:afterAutospacing="0" w:line="560" w:lineRule="exact"/>
        <w:jc w:val="center"/>
        <w:rPr>
          <w:rFonts w:ascii="方正小标宋简体" w:hAnsi="方正小标宋简体" w:eastAsia="方正小标宋简体" w:cs="方正小标宋简体"/>
          <w:bCs/>
          <w:color w:val="000000" w:themeColor="text1"/>
          <w:sz w:val="44"/>
          <w:szCs w:val="44"/>
        </w:rPr>
      </w:pPr>
      <w:r>
        <w:rPr>
          <w:rFonts w:hint="eastAsia" w:ascii="方正小标宋简体" w:hAnsi="方正小标宋简体" w:eastAsia="方正小标宋简体" w:cs="方正小标宋简体"/>
          <w:bCs/>
          <w:color w:val="000000" w:themeColor="text1"/>
          <w:sz w:val="44"/>
          <w:szCs w:val="44"/>
        </w:rPr>
        <w:t>执业信用管理办法</w:t>
      </w:r>
    </w:p>
    <w:p w14:paraId="374A446A">
      <w:pPr>
        <w:pStyle w:val="7"/>
        <w:spacing w:before="0" w:beforeAutospacing="0" w:after="0" w:afterAutospacing="0" w:line="560" w:lineRule="exact"/>
        <w:ind w:firstLine="3150"/>
        <w:jc w:val="both"/>
        <w:rPr>
          <w:rFonts w:ascii="楷体" w:hAnsi="楷体" w:eastAsia="楷体" w:cs="楷体"/>
          <w:bCs/>
          <w:color w:val="000000" w:themeColor="text1"/>
          <w:sz w:val="32"/>
          <w:szCs w:val="32"/>
        </w:rPr>
      </w:pPr>
    </w:p>
    <w:p w14:paraId="4AC0AD3B">
      <w:pPr>
        <w:pStyle w:val="7"/>
        <w:spacing w:before="0" w:beforeAutospacing="0" w:after="0" w:afterAutospacing="0" w:line="560" w:lineRule="exact"/>
        <w:jc w:val="center"/>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第一章  总则</w:t>
      </w:r>
    </w:p>
    <w:p w14:paraId="7BBA409E">
      <w:pPr>
        <w:pStyle w:val="7"/>
        <w:spacing w:before="0" w:beforeAutospacing="0" w:after="0" w:afterAutospacing="0" w:line="560" w:lineRule="exact"/>
        <w:ind w:firstLine="643" w:firstLineChars="200"/>
        <w:jc w:val="both"/>
        <w:rPr>
          <w:rFonts w:ascii="仿宋" w:hAnsi="仿宋" w:eastAsia="仿宋" w:cs="仿宋"/>
          <w:bCs/>
          <w:color w:val="000000" w:themeColor="text1"/>
          <w:sz w:val="32"/>
          <w:szCs w:val="32"/>
        </w:rPr>
      </w:pPr>
      <w:r>
        <w:rPr>
          <w:rFonts w:hint="eastAsia" w:ascii="仿宋" w:hAnsi="仿宋" w:eastAsia="仿宋" w:cs="仿宋"/>
          <w:b/>
          <w:color w:val="000000" w:themeColor="text1"/>
          <w:sz w:val="32"/>
          <w:szCs w:val="32"/>
        </w:rPr>
        <w:t xml:space="preserve">第一条 </w:t>
      </w:r>
      <w:r>
        <w:rPr>
          <w:rFonts w:hint="eastAsia" w:ascii="仿宋" w:hAnsi="仿宋" w:eastAsia="仿宋" w:cs="仿宋"/>
          <w:bCs/>
          <w:color w:val="000000" w:themeColor="text1"/>
          <w:sz w:val="32"/>
          <w:szCs w:val="32"/>
        </w:rPr>
        <w:t>【目的依据】为促进法律服务行业信用体系建设，建立和完善法律服务机构、法律服务人员依法自律、诚信执业、规范服务，依据《律师法》《公证法》《律师事务所管理办法》《基层法律服务所管理办法》《基层法律服务工作者管理办法》等法律法规以及</w:t>
      </w:r>
      <w:r>
        <w:rPr>
          <w:rFonts w:hint="eastAsia" w:ascii="仿宋" w:hAnsi="仿宋" w:eastAsia="仿宋" w:cs="仿宋"/>
          <w:color w:val="000000" w:themeColor="text1"/>
          <w:sz w:val="32"/>
          <w:szCs w:val="32"/>
        </w:rPr>
        <w:t>《白城市社会信用体系建设实施方案》白政发【2018】6号</w:t>
      </w:r>
      <w:r>
        <w:rPr>
          <w:rFonts w:hint="eastAsia" w:ascii="仿宋" w:hAnsi="仿宋" w:eastAsia="仿宋" w:cs="仿宋"/>
          <w:bCs/>
          <w:color w:val="000000" w:themeColor="text1"/>
          <w:sz w:val="32"/>
          <w:szCs w:val="32"/>
        </w:rPr>
        <w:t>的文件精神，结合工作实际，特制定本办法。</w:t>
      </w:r>
    </w:p>
    <w:p w14:paraId="09EE8E1B">
      <w:pPr>
        <w:pStyle w:val="7"/>
        <w:spacing w:before="0" w:beforeAutospacing="0" w:after="0" w:afterAutospacing="0" w:line="560" w:lineRule="exact"/>
        <w:ind w:firstLine="643" w:firstLineChars="200"/>
        <w:jc w:val="both"/>
        <w:rPr>
          <w:rFonts w:ascii="仿宋" w:hAnsi="仿宋" w:eastAsia="仿宋" w:cs="仿宋"/>
          <w:bCs/>
          <w:color w:val="000000" w:themeColor="text1"/>
          <w:sz w:val="32"/>
          <w:szCs w:val="32"/>
        </w:rPr>
      </w:pPr>
      <w:r>
        <w:rPr>
          <w:rFonts w:hint="eastAsia" w:ascii="仿宋" w:hAnsi="仿宋" w:eastAsia="仿宋" w:cs="仿宋"/>
          <w:b/>
          <w:color w:val="000000" w:themeColor="text1"/>
          <w:sz w:val="32"/>
          <w:szCs w:val="32"/>
        </w:rPr>
        <w:t xml:space="preserve">第二条 </w:t>
      </w:r>
      <w:r>
        <w:rPr>
          <w:rFonts w:hint="eastAsia" w:ascii="仿宋" w:hAnsi="仿宋" w:eastAsia="仿宋" w:cs="仿宋"/>
          <w:bCs/>
          <w:color w:val="000000" w:themeColor="text1"/>
          <w:sz w:val="32"/>
          <w:szCs w:val="32"/>
        </w:rPr>
        <w:t>【适用范围】本办法适用于本市依法设立、依法注册的市属、各县（市、区）属法律服务机构、法律服务人员执业信用信息收集、整理、使用的相关活动。</w:t>
      </w:r>
    </w:p>
    <w:p w14:paraId="681F14A6">
      <w:pPr>
        <w:pStyle w:val="7"/>
        <w:spacing w:before="0" w:beforeAutospacing="0" w:after="0" w:afterAutospacing="0" w:line="560" w:lineRule="exact"/>
        <w:ind w:firstLine="643" w:firstLineChars="200"/>
        <w:jc w:val="both"/>
        <w:rPr>
          <w:rFonts w:ascii="仿宋" w:hAnsi="仿宋" w:eastAsia="仿宋" w:cs="仿宋"/>
          <w:bCs/>
          <w:color w:val="000000" w:themeColor="text1"/>
          <w:sz w:val="32"/>
          <w:szCs w:val="32"/>
        </w:rPr>
      </w:pPr>
      <w:r>
        <w:rPr>
          <w:rFonts w:hint="eastAsia" w:ascii="仿宋" w:hAnsi="仿宋" w:eastAsia="仿宋" w:cs="仿宋"/>
          <w:b/>
          <w:color w:val="000000" w:themeColor="text1"/>
          <w:sz w:val="32"/>
          <w:szCs w:val="32"/>
        </w:rPr>
        <w:t xml:space="preserve">第三条 </w:t>
      </w:r>
      <w:r>
        <w:rPr>
          <w:rFonts w:hint="eastAsia" w:ascii="仿宋" w:hAnsi="仿宋" w:eastAsia="仿宋" w:cs="仿宋"/>
          <w:bCs/>
          <w:color w:val="000000" w:themeColor="text1"/>
          <w:sz w:val="32"/>
          <w:szCs w:val="32"/>
        </w:rPr>
        <w:t>【基本原则】法律服务机构、法律服务人员信用信息的收集、整理、使用应当合法、客观、公正，并保守国家秘密、商业秘密、个人隐私，尊重和保护法律服务机构、法律服务人员个人信息，切实维护法律服务机构的合法权益。</w:t>
      </w:r>
    </w:p>
    <w:p w14:paraId="642F8936">
      <w:pPr>
        <w:spacing w:line="560" w:lineRule="exact"/>
        <w:ind w:firstLine="643" w:firstLineChars="200"/>
        <w:rPr>
          <w:rFonts w:ascii="仿宋" w:hAnsi="仿宋" w:eastAsia="仿宋" w:cs="仿宋"/>
          <w:bCs/>
          <w:color w:val="000000" w:themeColor="text1"/>
          <w:sz w:val="32"/>
          <w:szCs w:val="32"/>
        </w:rPr>
      </w:pPr>
      <w:r>
        <w:rPr>
          <w:rFonts w:hint="eastAsia" w:ascii="仿宋" w:hAnsi="仿宋" w:eastAsia="仿宋" w:cs="仿宋"/>
          <w:b/>
          <w:color w:val="000000" w:themeColor="text1"/>
          <w:kern w:val="0"/>
          <w:sz w:val="32"/>
          <w:szCs w:val="32"/>
        </w:rPr>
        <w:t xml:space="preserve">第四条 </w:t>
      </w:r>
      <w:r>
        <w:rPr>
          <w:rFonts w:hint="eastAsia" w:ascii="仿宋" w:hAnsi="仿宋" w:eastAsia="仿宋" w:cs="仿宋"/>
          <w:bCs/>
          <w:color w:val="000000" w:themeColor="text1"/>
          <w:sz w:val="32"/>
          <w:szCs w:val="32"/>
        </w:rPr>
        <w:t>【管理机构】市司法局负责对全市法律服务行业信用信息工作的组织领导及信用信息的评价、监管。</w:t>
      </w:r>
    </w:p>
    <w:p w14:paraId="692AA7DE">
      <w:pPr>
        <w:pStyle w:val="7"/>
        <w:spacing w:before="0" w:beforeAutospacing="0" w:after="0" w:afterAutospacing="0" w:line="560" w:lineRule="exact"/>
        <w:jc w:val="center"/>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第二章  信用信息的构成</w:t>
      </w:r>
    </w:p>
    <w:p w14:paraId="577CA378">
      <w:pPr>
        <w:pStyle w:val="7"/>
        <w:spacing w:before="0" w:beforeAutospacing="0" w:after="0" w:afterAutospacing="0" w:line="560" w:lineRule="exact"/>
        <w:ind w:firstLine="643" w:firstLineChars="200"/>
        <w:jc w:val="both"/>
        <w:rPr>
          <w:rFonts w:ascii="仿宋" w:hAnsi="仿宋" w:eastAsia="仿宋" w:cs="仿宋"/>
          <w:bCs/>
          <w:color w:val="000000" w:themeColor="text1"/>
          <w:sz w:val="32"/>
          <w:szCs w:val="32"/>
        </w:rPr>
      </w:pPr>
      <w:r>
        <w:rPr>
          <w:rFonts w:hint="eastAsia" w:ascii="仿宋" w:hAnsi="仿宋" w:eastAsia="仿宋" w:cs="仿宋"/>
          <w:b/>
          <w:color w:val="000000" w:themeColor="text1"/>
          <w:sz w:val="32"/>
          <w:szCs w:val="32"/>
        </w:rPr>
        <w:t xml:space="preserve">第五条 </w:t>
      </w:r>
      <w:r>
        <w:rPr>
          <w:rFonts w:hint="eastAsia" w:ascii="仿宋" w:hAnsi="仿宋" w:eastAsia="仿宋" w:cs="仿宋"/>
          <w:bCs/>
          <w:color w:val="000000" w:themeColor="text1"/>
          <w:sz w:val="32"/>
          <w:szCs w:val="32"/>
        </w:rPr>
        <w:t>【信息种类】法律服务机构、法律服务人员的信用信息由基本信息、表彰记录、公益记录、惩处记录构成。</w:t>
      </w:r>
    </w:p>
    <w:p w14:paraId="6B128BB4">
      <w:pPr>
        <w:pStyle w:val="7"/>
        <w:spacing w:before="0" w:beforeAutospacing="0" w:after="0" w:afterAutospacing="0" w:line="560" w:lineRule="exact"/>
        <w:ind w:firstLine="643" w:firstLineChars="200"/>
        <w:jc w:val="both"/>
        <w:rPr>
          <w:rFonts w:ascii="仿宋" w:hAnsi="仿宋" w:eastAsia="仿宋" w:cs="仿宋"/>
          <w:bCs/>
          <w:color w:val="000000" w:themeColor="text1"/>
          <w:sz w:val="32"/>
          <w:szCs w:val="32"/>
        </w:rPr>
      </w:pPr>
      <w:r>
        <w:rPr>
          <w:rFonts w:hint="eastAsia" w:ascii="仿宋" w:hAnsi="仿宋" w:eastAsia="仿宋" w:cs="仿宋"/>
          <w:b/>
          <w:color w:val="000000" w:themeColor="text1"/>
          <w:sz w:val="32"/>
          <w:szCs w:val="32"/>
        </w:rPr>
        <w:t xml:space="preserve">第六条 </w:t>
      </w:r>
      <w:r>
        <w:rPr>
          <w:rFonts w:hint="eastAsia" w:ascii="仿宋" w:hAnsi="仿宋" w:eastAsia="仿宋" w:cs="仿宋"/>
          <w:bCs/>
          <w:color w:val="000000" w:themeColor="text1"/>
          <w:sz w:val="32"/>
          <w:szCs w:val="32"/>
        </w:rPr>
        <w:t>【基本信息】基本信息是指法律服务机构设立、变更、存续情况和法律服务人员注册、执业的基本信息。</w:t>
      </w:r>
    </w:p>
    <w:p w14:paraId="218119A7">
      <w:pPr>
        <w:pStyle w:val="7"/>
        <w:spacing w:before="0" w:beforeAutospacing="0" w:after="0" w:afterAutospacing="0" w:line="560" w:lineRule="exact"/>
        <w:ind w:firstLine="640" w:firstLineChars="200"/>
        <w:jc w:val="both"/>
        <w:rPr>
          <w:rFonts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法律服务机构的执业信用基本信息内容包括：</w:t>
      </w:r>
    </w:p>
    <w:p w14:paraId="5C61A4AB">
      <w:pPr>
        <w:pStyle w:val="7"/>
        <w:spacing w:before="0" w:beforeAutospacing="0" w:after="0" w:afterAutospacing="0" w:line="560" w:lineRule="exact"/>
        <w:ind w:firstLine="640" w:firstLineChars="200"/>
        <w:jc w:val="both"/>
        <w:rPr>
          <w:rFonts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（一）法律服务机构名称；</w:t>
      </w:r>
    </w:p>
    <w:p w14:paraId="774DA63D">
      <w:pPr>
        <w:pStyle w:val="7"/>
        <w:spacing w:before="0" w:beforeAutospacing="0" w:after="0" w:afterAutospacing="0" w:line="560" w:lineRule="exact"/>
        <w:ind w:firstLine="640" w:firstLineChars="200"/>
        <w:jc w:val="both"/>
        <w:rPr>
          <w:rFonts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（二）注册登记地；</w:t>
      </w:r>
    </w:p>
    <w:p w14:paraId="75E50A98">
      <w:pPr>
        <w:pStyle w:val="7"/>
        <w:spacing w:before="0" w:beforeAutospacing="0" w:after="0" w:afterAutospacing="0" w:line="560" w:lineRule="exact"/>
        <w:ind w:firstLine="640" w:firstLineChars="200"/>
        <w:jc w:val="both"/>
        <w:rPr>
          <w:rFonts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（三）机构代码证号；</w:t>
      </w:r>
    </w:p>
    <w:p w14:paraId="6D667200">
      <w:pPr>
        <w:pStyle w:val="7"/>
        <w:spacing w:before="0" w:beforeAutospacing="0" w:after="0" w:afterAutospacing="0" w:line="560" w:lineRule="exact"/>
        <w:ind w:firstLine="640" w:firstLineChars="200"/>
        <w:jc w:val="both"/>
        <w:rPr>
          <w:rFonts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（四）成立时间；</w:t>
      </w:r>
    </w:p>
    <w:p w14:paraId="0B720C8F">
      <w:pPr>
        <w:pStyle w:val="7"/>
        <w:spacing w:before="0" w:beforeAutospacing="0" w:after="0" w:afterAutospacing="0" w:line="560" w:lineRule="exact"/>
        <w:ind w:firstLine="640" w:firstLineChars="200"/>
        <w:jc w:val="both"/>
        <w:rPr>
          <w:rFonts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（五）组织形式及变动情况；</w:t>
      </w:r>
    </w:p>
    <w:p w14:paraId="4856941F">
      <w:pPr>
        <w:pStyle w:val="7"/>
        <w:spacing w:before="0" w:beforeAutospacing="0" w:after="0" w:afterAutospacing="0" w:line="560" w:lineRule="exact"/>
        <w:ind w:firstLine="640" w:firstLineChars="200"/>
        <w:jc w:val="both"/>
        <w:rPr>
          <w:rFonts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（六）法律服务机构执业人数；</w:t>
      </w:r>
    </w:p>
    <w:p w14:paraId="1377234E">
      <w:pPr>
        <w:pStyle w:val="7"/>
        <w:spacing w:before="0" w:beforeAutospacing="0" w:after="0" w:afterAutospacing="0" w:line="560" w:lineRule="exact"/>
        <w:ind w:firstLine="640" w:firstLineChars="200"/>
        <w:jc w:val="both"/>
        <w:rPr>
          <w:rFonts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（七）负责人姓名；</w:t>
      </w:r>
    </w:p>
    <w:p w14:paraId="2464E9CD">
      <w:pPr>
        <w:pStyle w:val="7"/>
        <w:spacing w:before="0" w:beforeAutospacing="0" w:after="0" w:afterAutospacing="0" w:line="560" w:lineRule="exact"/>
        <w:ind w:firstLine="640" w:firstLineChars="200"/>
        <w:jc w:val="both"/>
        <w:rPr>
          <w:rFonts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（八）奖惩情况；</w:t>
      </w:r>
    </w:p>
    <w:p w14:paraId="7E3F587C">
      <w:pPr>
        <w:pStyle w:val="7"/>
        <w:spacing w:before="0" w:beforeAutospacing="0" w:after="0" w:afterAutospacing="0" w:line="560" w:lineRule="exact"/>
        <w:ind w:firstLine="640" w:firstLineChars="200"/>
        <w:jc w:val="both"/>
        <w:rPr>
          <w:rFonts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（九）对外联系电话、电子邮箱。</w:t>
      </w:r>
    </w:p>
    <w:p w14:paraId="499B7174">
      <w:pPr>
        <w:pStyle w:val="7"/>
        <w:spacing w:before="0" w:beforeAutospacing="0" w:after="0" w:afterAutospacing="0" w:line="560" w:lineRule="exact"/>
        <w:ind w:firstLine="640" w:firstLineChars="200"/>
        <w:jc w:val="both"/>
        <w:rPr>
          <w:rFonts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法律服务人员执业信用基本信息内容包括：</w:t>
      </w:r>
    </w:p>
    <w:p w14:paraId="6A48316C">
      <w:pPr>
        <w:pStyle w:val="7"/>
        <w:spacing w:before="0" w:beforeAutospacing="0" w:after="0" w:afterAutospacing="0" w:line="560" w:lineRule="exact"/>
        <w:ind w:firstLine="640" w:firstLineChars="200"/>
        <w:jc w:val="both"/>
        <w:rPr>
          <w:rFonts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（一）姓名；</w:t>
      </w:r>
    </w:p>
    <w:p w14:paraId="447A849C">
      <w:pPr>
        <w:pStyle w:val="7"/>
        <w:spacing w:before="0" w:beforeAutospacing="0" w:after="0" w:afterAutospacing="0" w:line="560" w:lineRule="exact"/>
        <w:ind w:firstLine="640" w:firstLineChars="200"/>
        <w:jc w:val="both"/>
        <w:rPr>
          <w:rFonts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（二）性别；</w:t>
      </w:r>
    </w:p>
    <w:p w14:paraId="2138D4B2">
      <w:pPr>
        <w:pStyle w:val="7"/>
        <w:spacing w:before="0" w:beforeAutospacing="0" w:after="0" w:afterAutospacing="0" w:line="560" w:lineRule="exact"/>
        <w:ind w:firstLine="640" w:firstLineChars="200"/>
        <w:jc w:val="both"/>
        <w:rPr>
          <w:rFonts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（三）年龄；</w:t>
      </w:r>
    </w:p>
    <w:p w14:paraId="75334C89">
      <w:pPr>
        <w:pStyle w:val="7"/>
        <w:spacing w:before="0" w:beforeAutospacing="0" w:after="0" w:afterAutospacing="0" w:line="560" w:lineRule="exact"/>
        <w:ind w:firstLine="640" w:firstLineChars="200"/>
        <w:jc w:val="both"/>
        <w:rPr>
          <w:rFonts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（四）籍贯；</w:t>
      </w:r>
    </w:p>
    <w:p w14:paraId="63793F94">
      <w:pPr>
        <w:pStyle w:val="7"/>
        <w:spacing w:before="0" w:beforeAutospacing="0" w:after="0" w:afterAutospacing="0" w:line="560" w:lineRule="exact"/>
        <w:ind w:firstLine="640" w:firstLineChars="200"/>
        <w:jc w:val="both"/>
        <w:rPr>
          <w:rFonts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（五）政治面貌；</w:t>
      </w:r>
    </w:p>
    <w:p w14:paraId="5C9E291D">
      <w:pPr>
        <w:pStyle w:val="7"/>
        <w:spacing w:before="0" w:beforeAutospacing="0" w:after="0" w:afterAutospacing="0" w:line="560" w:lineRule="exact"/>
        <w:ind w:firstLine="640" w:firstLineChars="200"/>
        <w:jc w:val="both"/>
        <w:rPr>
          <w:rFonts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（六）行业内及社会职务；</w:t>
      </w:r>
    </w:p>
    <w:p w14:paraId="23385AAA">
      <w:pPr>
        <w:pStyle w:val="7"/>
        <w:spacing w:before="0" w:beforeAutospacing="0" w:after="0" w:afterAutospacing="0" w:line="560" w:lineRule="exact"/>
        <w:ind w:firstLine="640" w:firstLineChars="200"/>
        <w:jc w:val="both"/>
        <w:rPr>
          <w:rFonts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（七）执业证号；</w:t>
      </w:r>
    </w:p>
    <w:p w14:paraId="6A0B787C">
      <w:pPr>
        <w:pStyle w:val="7"/>
        <w:spacing w:before="0" w:beforeAutospacing="0" w:after="0" w:afterAutospacing="0" w:line="560" w:lineRule="exact"/>
        <w:ind w:firstLine="640" w:firstLineChars="200"/>
        <w:jc w:val="both"/>
        <w:rPr>
          <w:rFonts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（八）所属法律服务机构名称；</w:t>
      </w:r>
    </w:p>
    <w:p w14:paraId="393D23DD">
      <w:pPr>
        <w:pStyle w:val="7"/>
        <w:spacing w:before="0" w:beforeAutospacing="0" w:after="0" w:afterAutospacing="0" w:line="560" w:lineRule="exact"/>
        <w:ind w:firstLine="640" w:firstLineChars="200"/>
        <w:jc w:val="both"/>
        <w:rPr>
          <w:rFonts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（九）执业起始时间。</w:t>
      </w:r>
    </w:p>
    <w:p w14:paraId="08C3CA16">
      <w:pPr>
        <w:pStyle w:val="7"/>
        <w:spacing w:before="0" w:beforeAutospacing="0" w:after="0" w:afterAutospacing="0" w:line="560" w:lineRule="exact"/>
        <w:ind w:firstLine="643" w:firstLineChars="200"/>
        <w:jc w:val="both"/>
        <w:rPr>
          <w:rFonts w:ascii="仿宋" w:hAnsi="仿宋" w:eastAsia="仿宋" w:cs="仿宋"/>
          <w:bCs/>
          <w:color w:val="000000" w:themeColor="text1"/>
          <w:sz w:val="32"/>
          <w:szCs w:val="32"/>
        </w:rPr>
      </w:pPr>
      <w:r>
        <w:rPr>
          <w:rFonts w:hint="eastAsia" w:ascii="仿宋" w:hAnsi="仿宋" w:eastAsia="仿宋" w:cs="仿宋"/>
          <w:b/>
          <w:color w:val="000000" w:themeColor="text1"/>
          <w:sz w:val="32"/>
          <w:szCs w:val="32"/>
        </w:rPr>
        <w:t xml:space="preserve">第七条 </w:t>
      </w:r>
      <w:r>
        <w:rPr>
          <w:rFonts w:hint="eastAsia" w:ascii="仿宋" w:hAnsi="仿宋" w:eastAsia="仿宋" w:cs="仿宋"/>
          <w:bCs/>
          <w:color w:val="000000" w:themeColor="text1"/>
          <w:sz w:val="32"/>
          <w:szCs w:val="32"/>
        </w:rPr>
        <w:t>【表彰记录】表彰信息是指法律服务机构和法律服务人员依法执业、规范服务，从而获得各级党的机关、国家机关、行政机关、司法行政机关、行业协会以及其他学术团体、法学研究机构给予的表彰奖励信息，包括行政综合类表彰信息和法学专业类表彰信息。</w:t>
      </w:r>
    </w:p>
    <w:p w14:paraId="67B8EDAF">
      <w:pPr>
        <w:pStyle w:val="7"/>
        <w:spacing w:before="0" w:beforeAutospacing="0" w:after="0" w:afterAutospacing="0" w:line="560" w:lineRule="exact"/>
        <w:ind w:firstLine="643" w:firstLineChars="200"/>
        <w:jc w:val="both"/>
        <w:rPr>
          <w:rFonts w:ascii="仿宋" w:hAnsi="仿宋" w:eastAsia="仿宋" w:cs="仿宋"/>
          <w:bCs/>
          <w:color w:val="000000" w:themeColor="text1"/>
          <w:sz w:val="32"/>
          <w:szCs w:val="32"/>
        </w:rPr>
      </w:pPr>
      <w:r>
        <w:rPr>
          <w:rFonts w:hint="eastAsia" w:ascii="仿宋" w:hAnsi="仿宋" w:eastAsia="仿宋" w:cs="仿宋"/>
          <w:b/>
          <w:color w:val="000000" w:themeColor="text1"/>
          <w:sz w:val="32"/>
          <w:szCs w:val="32"/>
        </w:rPr>
        <w:t xml:space="preserve">第八条 </w:t>
      </w:r>
      <w:r>
        <w:rPr>
          <w:rFonts w:hint="eastAsia" w:ascii="仿宋" w:hAnsi="仿宋" w:eastAsia="仿宋" w:cs="仿宋"/>
          <w:bCs/>
          <w:color w:val="000000" w:themeColor="text1"/>
          <w:sz w:val="32"/>
          <w:szCs w:val="32"/>
        </w:rPr>
        <w:t>【公益记录】公益记录是指法律服务机构和法律服务人员自行组织或参加由司法行政机关、律师协会组织的公益类法律服务活动。包括办理法律援助案件，参与党和政府机关信访部门，司法机关公共法律服务中心接待，参与重大案件处置，参与捐赠、救助、帮扶等慈善公益活动，参与公益和志愿法律服务等。</w:t>
      </w:r>
    </w:p>
    <w:p w14:paraId="5C439DDE">
      <w:pPr>
        <w:pStyle w:val="7"/>
        <w:spacing w:before="0" w:beforeAutospacing="0" w:after="0" w:afterAutospacing="0" w:line="560" w:lineRule="exact"/>
        <w:ind w:firstLine="643" w:firstLineChars="200"/>
        <w:jc w:val="both"/>
        <w:rPr>
          <w:rFonts w:ascii="仿宋" w:hAnsi="仿宋" w:eastAsia="仿宋" w:cs="仿宋"/>
          <w:bCs/>
          <w:color w:val="000000" w:themeColor="text1"/>
          <w:sz w:val="32"/>
          <w:szCs w:val="32"/>
        </w:rPr>
      </w:pPr>
      <w:r>
        <w:rPr>
          <w:rFonts w:hint="eastAsia" w:ascii="仿宋" w:hAnsi="仿宋" w:eastAsia="仿宋" w:cs="仿宋"/>
          <w:b/>
          <w:color w:val="000000" w:themeColor="text1"/>
          <w:sz w:val="32"/>
          <w:szCs w:val="32"/>
        </w:rPr>
        <w:t xml:space="preserve">第九条 </w:t>
      </w:r>
      <w:r>
        <w:rPr>
          <w:rFonts w:hint="eastAsia" w:ascii="仿宋" w:hAnsi="仿宋" w:eastAsia="仿宋" w:cs="仿宋"/>
          <w:bCs/>
          <w:color w:val="000000" w:themeColor="text1"/>
          <w:sz w:val="32"/>
          <w:szCs w:val="32"/>
        </w:rPr>
        <w:t>【惩处记录】惩处记录是指法律服务机构和法律服务人员执业行为违反行政管理、行业规范而受到行政处罚、行业处分的信息。</w:t>
      </w:r>
    </w:p>
    <w:p w14:paraId="44964A4A">
      <w:pPr>
        <w:pStyle w:val="7"/>
        <w:spacing w:before="0" w:beforeAutospacing="0" w:after="0" w:afterAutospacing="0" w:line="560" w:lineRule="exact"/>
        <w:jc w:val="center"/>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第三章  信用信息的记录方式</w:t>
      </w:r>
    </w:p>
    <w:p w14:paraId="3070A3FB">
      <w:pPr>
        <w:pStyle w:val="7"/>
        <w:spacing w:before="0" w:beforeAutospacing="0" w:after="0" w:afterAutospacing="0" w:line="560" w:lineRule="exact"/>
        <w:ind w:firstLine="643" w:firstLineChars="200"/>
        <w:jc w:val="both"/>
        <w:rPr>
          <w:rFonts w:ascii="仿宋" w:hAnsi="仿宋" w:eastAsia="仿宋" w:cs="仿宋"/>
          <w:bCs/>
          <w:color w:val="000000" w:themeColor="text1"/>
          <w:sz w:val="32"/>
          <w:szCs w:val="32"/>
        </w:rPr>
      </w:pPr>
      <w:r>
        <w:rPr>
          <w:rFonts w:hint="eastAsia" w:ascii="仿宋" w:hAnsi="仿宋" w:eastAsia="仿宋" w:cs="仿宋"/>
          <w:b/>
          <w:color w:val="000000" w:themeColor="text1"/>
          <w:sz w:val="32"/>
          <w:szCs w:val="32"/>
        </w:rPr>
        <w:t xml:space="preserve">第十条 </w:t>
      </w:r>
      <w:r>
        <w:rPr>
          <w:rFonts w:hint="eastAsia" w:ascii="仿宋" w:hAnsi="仿宋" w:eastAsia="仿宋" w:cs="仿宋"/>
          <w:bCs/>
          <w:color w:val="000000" w:themeColor="text1"/>
          <w:sz w:val="32"/>
          <w:szCs w:val="32"/>
        </w:rPr>
        <w:t>【评价机制】信用信息采取“正面信息和负面信息如实记载，信用信息适时更新”的管理机制，基本信息、表彰记录、公益记录为正面信息，惩处记录为负面信息。</w:t>
      </w:r>
    </w:p>
    <w:p w14:paraId="203D8DCE">
      <w:pPr>
        <w:pStyle w:val="7"/>
        <w:spacing w:before="0" w:beforeAutospacing="0" w:after="0" w:afterAutospacing="0" w:line="560" w:lineRule="exact"/>
        <w:ind w:firstLine="643" w:firstLineChars="200"/>
        <w:jc w:val="both"/>
        <w:rPr>
          <w:rFonts w:ascii="仿宋" w:hAnsi="仿宋" w:eastAsia="仿宋" w:cs="仿宋"/>
          <w:bCs/>
          <w:color w:val="000000" w:themeColor="text1"/>
          <w:sz w:val="32"/>
          <w:szCs w:val="32"/>
        </w:rPr>
      </w:pPr>
      <w:r>
        <w:rPr>
          <w:rFonts w:hint="eastAsia" w:ascii="仿宋" w:hAnsi="仿宋" w:eastAsia="仿宋" w:cs="仿宋"/>
          <w:b/>
          <w:color w:val="000000" w:themeColor="text1"/>
          <w:sz w:val="32"/>
          <w:szCs w:val="32"/>
        </w:rPr>
        <w:t xml:space="preserve">第十一条 </w:t>
      </w:r>
      <w:r>
        <w:rPr>
          <w:rFonts w:hint="eastAsia" w:ascii="仿宋" w:hAnsi="仿宋" w:eastAsia="仿宋" w:cs="仿宋"/>
          <w:bCs/>
          <w:color w:val="000000" w:themeColor="text1"/>
          <w:sz w:val="32"/>
          <w:szCs w:val="32"/>
        </w:rPr>
        <w:t>【记录方式】基本信息以档案信息表的形式记载于信息档案，表彰记录、公益记录以法律服务机构和法律服务人员获得的表彰、所参与公益活动的情况逐条记载于信用档案，惩处记录按照法律服务机构和法律服务人员违反有关规定记载于信用档案。</w:t>
      </w:r>
    </w:p>
    <w:p w14:paraId="677D3154">
      <w:pPr>
        <w:pStyle w:val="7"/>
        <w:spacing w:before="0" w:beforeAutospacing="0" w:after="0" w:afterAutospacing="0" w:line="560" w:lineRule="exact"/>
        <w:ind w:firstLine="640" w:firstLineChars="200"/>
        <w:jc w:val="center"/>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第四章  信用信息录入异议及处理</w:t>
      </w:r>
    </w:p>
    <w:p w14:paraId="40907156">
      <w:pPr>
        <w:pStyle w:val="7"/>
        <w:spacing w:before="0" w:beforeAutospacing="0" w:after="0" w:afterAutospacing="0" w:line="560" w:lineRule="exact"/>
        <w:ind w:firstLine="643" w:firstLineChars="200"/>
        <w:jc w:val="both"/>
        <w:rPr>
          <w:rFonts w:ascii="仿宋" w:hAnsi="仿宋" w:eastAsia="仿宋" w:cs="仿宋"/>
          <w:bCs/>
          <w:color w:val="000000" w:themeColor="text1"/>
          <w:sz w:val="32"/>
          <w:szCs w:val="32"/>
        </w:rPr>
      </w:pPr>
      <w:r>
        <w:rPr>
          <w:rFonts w:hint="eastAsia" w:ascii="仿宋" w:hAnsi="仿宋" w:eastAsia="仿宋" w:cs="仿宋"/>
          <w:b/>
          <w:color w:val="000000" w:themeColor="text1"/>
          <w:sz w:val="32"/>
          <w:szCs w:val="32"/>
        </w:rPr>
        <w:t xml:space="preserve">第十二条 </w:t>
      </w:r>
      <w:r>
        <w:rPr>
          <w:rFonts w:hint="eastAsia" w:ascii="仿宋" w:hAnsi="仿宋" w:eastAsia="仿宋" w:cs="仿宋"/>
          <w:bCs/>
          <w:color w:val="000000" w:themeColor="text1"/>
          <w:sz w:val="32"/>
          <w:szCs w:val="32"/>
        </w:rPr>
        <w:t>【异议提出】法律服务机构和法律服务人员发现涉及自身所录入的信用信息不准确、不完整，可向市司法局公共法律服务管理科书面提出异议申请，并提供相关证明材料，要求予以更正。</w:t>
      </w:r>
    </w:p>
    <w:p w14:paraId="1AA78430">
      <w:pPr>
        <w:pStyle w:val="7"/>
        <w:spacing w:before="0" w:beforeAutospacing="0" w:after="0" w:afterAutospacing="0" w:line="560" w:lineRule="exact"/>
        <w:ind w:firstLine="643" w:firstLineChars="200"/>
        <w:jc w:val="both"/>
        <w:rPr>
          <w:rFonts w:ascii="仿宋" w:hAnsi="仿宋" w:eastAsia="仿宋" w:cs="仿宋"/>
          <w:bCs/>
          <w:color w:val="000000" w:themeColor="text1"/>
          <w:sz w:val="32"/>
          <w:szCs w:val="32"/>
        </w:rPr>
      </w:pPr>
      <w:r>
        <w:rPr>
          <w:rFonts w:hint="eastAsia" w:ascii="仿宋" w:hAnsi="仿宋" w:eastAsia="仿宋" w:cs="仿宋"/>
          <w:b/>
          <w:color w:val="000000" w:themeColor="text1"/>
          <w:sz w:val="32"/>
          <w:szCs w:val="32"/>
        </w:rPr>
        <w:t xml:space="preserve">第十三条 </w:t>
      </w:r>
      <w:r>
        <w:rPr>
          <w:rFonts w:hint="eastAsia" w:ascii="仿宋" w:hAnsi="仿宋" w:eastAsia="仿宋" w:cs="仿宋"/>
          <w:bCs/>
          <w:color w:val="000000" w:themeColor="text1"/>
          <w:sz w:val="32"/>
          <w:szCs w:val="32"/>
        </w:rPr>
        <w:t>【异议处理】市司法局公共法律服务管理科对于法律服务机构和法律服务人员提出书面异议，视不同情况作出如下处理：</w:t>
      </w:r>
    </w:p>
    <w:p w14:paraId="76A5A55B">
      <w:pPr>
        <w:pStyle w:val="7"/>
        <w:spacing w:before="0" w:beforeAutospacing="0" w:after="0" w:afterAutospacing="0" w:line="560" w:lineRule="exact"/>
        <w:ind w:firstLine="640" w:firstLineChars="200"/>
        <w:jc w:val="both"/>
        <w:rPr>
          <w:rFonts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（一）经审查核实，异议成立的，提出信用信息更正报告，报分管领导审批后予以更正。</w:t>
      </w:r>
    </w:p>
    <w:p w14:paraId="082C8A6B">
      <w:pPr>
        <w:pStyle w:val="7"/>
        <w:spacing w:before="0" w:beforeAutospacing="0" w:after="0" w:afterAutospacing="0" w:line="560" w:lineRule="exact"/>
        <w:ind w:firstLine="640" w:firstLineChars="200"/>
        <w:jc w:val="both"/>
        <w:rPr>
          <w:rFonts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（二）经审查核实，异议不成立的，作出不予更正的决定，并向异议申请人书面答复。</w:t>
      </w:r>
    </w:p>
    <w:p w14:paraId="1EC07A62">
      <w:pPr>
        <w:pStyle w:val="7"/>
        <w:spacing w:before="0" w:beforeAutospacing="0" w:after="0" w:afterAutospacing="0" w:line="560" w:lineRule="exact"/>
        <w:ind w:firstLine="640" w:firstLineChars="200"/>
        <w:jc w:val="both"/>
        <w:rPr>
          <w:rFonts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（三）对于提出书面异议申请而又不提供相应证明材料的，不予变更已录入的信用信息。</w:t>
      </w:r>
    </w:p>
    <w:p w14:paraId="5B4A6314">
      <w:pPr>
        <w:pStyle w:val="7"/>
        <w:spacing w:before="0" w:beforeAutospacing="0" w:after="0" w:afterAutospacing="0" w:line="560" w:lineRule="exact"/>
        <w:jc w:val="center"/>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第五章 责任追究</w:t>
      </w:r>
    </w:p>
    <w:p w14:paraId="6F96DEC0">
      <w:pPr>
        <w:pStyle w:val="7"/>
        <w:spacing w:before="0" w:beforeAutospacing="0" w:after="0" w:afterAutospacing="0" w:line="560" w:lineRule="exact"/>
        <w:ind w:firstLine="643" w:firstLineChars="200"/>
        <w:jc w:val="both"/>
        <w:rPr>
          <w:rFonts w:ascii="仿宋" w:hAnsi="仿宋" w:eastAsia="仿宋" w:cs="仿宋"/>
          <w:bCs/>
          <w:color w:val="000000" w:themeColor="text1"/>
          <w:sz w:val="32"/>
          <w:szCs w:val="32"/>
        </w:rPr>
      </w:pPr>
      <w:r>
        <w:rPr>
          <w:rFonts w:hint="eastAsia" w:ascii="仿宋" w:hAnsi="仿宋" w:eastAsia="仿宋" w:cs="仿宋"/>
          <w:b/>
          <w:color w:val="000000" w:themeColor="text1"/>
          <w:sz w:val="32"/>
          <w:szCs w:val="32"/>
        </w:rPr>
        <w:t xml:space="preserve">第十四条 </w:t>
      </w:r>
      <w:r>
        <w:rPr>
          <w:rFonts w:hint="eastAsia" w:ascii="仿宋" w:hAnsi="仿宋" w:eastAsia="仿宋" w:cs="仿宋"/>
          <w:bCs/>
          <w:color w:val="000000" w:themeColor="text1"/>
          <w:sz w:val="32"/>
          <w:szCs w:val="32"/>
        </w:rPr>
        <w:t>【机构责任】法律服务机构和法律服务人员应按照本办法如实填报信用信息，并提供相应的证明材料，对提供虚假信息的，或者隐瞒不报的，一经查实，按向司法行政机关提供虚假材料的违规行为计入法律服务机构和法律服务人员的负面记录。</w:t>
      </w:r>
    </w:p>
    <w:p w14:paraId="6095DCF2">
      <w:pPr>
        <w:pStyle w:val="7"/>
        <w:spacing w:before="0" w:beforeAutospacing="0" w:after="0" w:afterAutospacing="0" w:line="560" w:lineRule="exact"/>
        <w:ind w:firstLine="643" w:firstLineChars="200"/>
        <w:jc w:val="both"/>
        <w:rPr>
          <w:rFonts w:ascii="仿宋" w:hAnsi="仿宋" w:eastAsia="仿宋" w:cs="仿宋"/>
          <w:bCs/>
          <w:color w:val="000000" w:themeColor="text1"/>
          <w:sz w:val="32"/>
          <w:szCs w:val="32"/>
        </w:rPr>
      </w:pPr>
      <w:r>
        <w:rPr>
          <w:rFonts w:hint="eastAsia" w:ascii="仿宋" w:hAnsi="仿宋" w:eastAsia="仿宋" w:cs="仿宋"/>
          <w:b/>
          <w:color w:val="000000" w:themeColor="text1"/>
          <w:sz w:val="32"/>
          <w:szCs w:val="32"/>
        </w:rPr>
        <w:t xml:space="preserve">第十五条 </w:t>
      </w:r>
      <w:r>
        <w:rPr>
          <w:rFonts w:hint="eastAsia" w:ascii="仿宋" w:hAnsi="仿宋" w:eastAsia="仿宋" w:cs="仿宋"/>
          <w:bCs/>
          <w:color w:val="000000" w:themeColor="text1"/>
          <w:sz w:val="32"/>
          <w:szCs w:val="32"/>
        </w:rPr>
        <w:t>【管理责任】市司法局公共法律服务管理科对全市各法律服务机构和法律服务人员信用信息报送工作进行审查，并与法律服务机构和法律服务人员年度考核挂钩。</w:t>
      </w:r>
    </w:p>
    <w:p w14:paraId="61DFBCE8">
      <w:pPr>
        <w:pStyle w:val="7"/>
        <w:spacing w:before="0" w:beforeAutospacing="0" w:after="0" w:afterAutospacing="0" w:line="560" w:lineRule="exact"/>
        <w:ind w:firstLine="3150"/>
        <w:jc w:val="both"/>
        <w:rPr>
          <w:rFonts w:ascii="黑体" w:hAnsi="黑体" w:eastAsia="黑体" w:cs="黑体"/>
          <w:bCs/>
          <w:color w:val="000000" w:themeColor="text1"/>
          <w:sz w:val="32"/>
          <w:szCs w:val="32"/>
        </w:rPr>
      </w:pPr>
      <w:r>
        <w:rPr>
          <w:rFonts w:hint="eastAsia" w:ascii="黑体" w:hAnsi="黑体" w:eastAsia="黑体" w:cs="黑体"/>
          <w:bCs/>
          <w:color w:val="000000" w:themeColor="text1"/>
          <w:sz w:val="32"/>
          <w:szCs w:val="32"/>
        </w:rPr>
        <w:t>第六章  附则</w:t>
      </w:r>
    </w:p>
    <w:p w14:paraId="7BC59950">
      <w:pPr>
        <w:pStyle w:val="7"/>
        <w:spacing w:before="0" w:beforeAutospacing="0" w:after="0" w:afterAutospacing="0" w:line="560" w:lineRule="exact"/>
        <w:ind w:firstLine="643" w:firstLineChars="200"/>
        <w:jc w:val="both"/>
        <w:rPr>
          <w:rFonts w:ascii="仿宋" w:hAnsi="仿宋" w:eastAsia="仿宋" w:cs="仿宋"/>
          <w:bCs/>
          <w:color w:val="000000" w:themeColor="text1"/>
          <w:sz w:val="32"/>
          <w:szCs w:val="32"/>
        </w:rPr>
      </w:pPr>
      <w:r>
        <w:rPr>
          <w:rFonts w:hint="eastAsia" w:ascii="仿宋" w:hAnsi="仿宋" w:eastAsia="仿宋" w:cs="仿宋"/>
          <w:b/>
          <w:color w:val="000000" w:themeColor="text1"/>
          <w:sz w:val="32"/>
          <w:szCs w:val="32"/>
        </w:rPr>
        <w:t xml:space="preserve">第十六条 </w:t>
      </w:r>
      <w:r>
        <w:rPr>
          <w:rFonts w:hint="eastAsia" w:ascii="仿宋" w:hAnsi="仿宋" w:eastAsia="仿宋" w:cs="仿宋"/>
          <w:bCs/>
          <w:color w:val="000000" w:themeColor="text1"/>
          <w:sz w:val="32"/>
          <w:szCs w:val="32"/>
        </w:rPr>
        <w:t>【施行日期】本办法自公布时施行。表彰记录、公益记录信息从2018年开始录入，惩处记录从本办法施行之日起开始录入。</w:t>
      </w:r>
    </w:p>
    <w:p w14:paraId="6FE4F228">
      <w:pPr>
        <w:rPr>
          <w:rFonts w:ascii="仿宋" w:hAnsi="仿宋" w:eastAsia="仿宋" w:cs="仿宋"/>
          <w:bCs/>
          <w:color w:val="000000" w:themeColor="text1"/>
          <w:sz w:val="32"/>
          <w:szCs w:val="32"/>
        </w:rPr>
      </w:pPr>
      <w:r>
        <w:rPr>
          <w:rFonts w:hint="eastAsia" w:ascii="仿宋" w:hAnsi="仿宋" w:eastAsia="仿宋" w:cs="仿宋"/>
          <w:bCs/>
          <w:color w:val="000000" w:themeColor="text1"/>
          <w:sz w:val="32"/>
          <w:szCs w:val="32"/>
        </w:rPr>
        <w:br w:type="page"/>
      </w:r>
    </w:p>
    <w:p w14:paraId="6455A57E">
      <w:pP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     白城市公共法律服务队伍案件评查</w:t>
      </w:r>
    </w:p>
    <w:p w14:paraId="66312956">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和旁听工作制度</w:t>
      </w:r>
    </w:p>
    <w:p w14:paraId="52B6E65F">
      <w:pPr>
        <w:spacing w:line="560" w:lineRule="exact"/>
        <w:ind w:firstLine="640" w:firstLineChars="200"/>
        <w:jc w:val="center"/>
        <w:rPr>
          <w:rFonts w:ascii="仿宋" w:hAnsi="仿宋" w:eastAsia="仿宋"/>
          <w:sz w:val="32"/>
          <w:szCs w:val="32"/>
        </w:rPr>
      </w:pPr>
    </w:p>
    <w:p w14:paraId="4AB91CA7">
      <w:pPr>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第一章 总则</w:t>
      </w:r>
    </w:p>
    <w:p w14:paraId="3EA45716">
      <w:pPr>
        <w:spacing w:line="560" w:lineRule="exact"/>
        <w:ind w:firstLine="643" w:firstLineChars="200"/>
        <w:rPr>
          <w:rFonts w:ascii="仿宋" w:hAnsi="仿宋" w:eastAsia="仿宋" w:cs="仿宋"/>
          <w:sz w:val="32"/>
          <w:szCs w:val="32"/>
        </w:rPr>
      </w:pPr>
      <w:r>
        <w:rPr>
          <w:rFonts w:hint="eastAsia" w:ascii="仿宋" w:hAnsi="仿宋" w:eastAsia="仿宋"/>
          <w:b/>
          <w:bCs/>
          <w:sz w:val="32"/>
          <w:szCs w:val="32"/>
        </w:rPr>
        <w:t>第一条</w:t>
      </w:r>
      <w:r>
        <w:rPr>
          <w:rFonts w:hint="eastAsia" w:ascii="仿宋" w:hAnsi="仿宋" w:eastAsia="仿宋"/>
          <w:sz w:val="32"/>
          <w:szCs w:val="32"/>
        </w:rPr>
        <w:t xml:space="preserve"> 为进一步加强我市公共法律服务队伍管理，提高公共法律服务队伍服务能力和水平，根据《律师法》、《律师事务所管理办法》、《律师执业管理办法》、《公证法》、《公证程序规则》、《公证机构执业管理办法》、《公证员执业管理办法》、《司法鉴定程序通则》、《基层法律服务工作者管理办法》、《基层法律服务所管理办法》</w:t>
      </w:r>
      <w:r>
        <w:rPr>
          <w:rFonts w:hint="eastAsia" w:ascii="仿宋" w:hAnsi="仿宋" w:eastAsia="仿宋" w:cs="仿宋"/>
          <w:sz w:val="32"/>
          <w:szCs w:val="32"/>
        </w:rPr>
        <w:t>等相关法律法规和文件精神，制定此工作制度。</w:t>
      </w:r>
    </w:p>
    <w:p w14:paraId="396B7FB6">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第二条</w:t>
      </w:r>
      <w:r>
        <w:rPr>
          <w:rFonts w:hint="eastAsia" w:ascii="仿宋" w:hAnsi="仿宋" w:eastAsia="仿宋"/>
          <w:sz w:val="32"/>
          <w:szCs w:val="32"/>
        </w:rPr>
        <w:t xml:space="preserve"> 本工作机制中的公共法律服务队伍是指由律师（包括法律援助律师、社会律师、公司律师、公职律师、实习律师）、公证员、司法鉴定人、基层法律服务工作者组成的各法律服务队伍。</w:t>
      </w:r>
    </w:p>
    <w:p w14:paraId="594E010E">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第三条</w:t>
      </w:r>
      <w:r>
        <w:rPr>
          <w:rFonts w:hint="eastAsia" w:ascii="仿宋" w:hAnsi="仿宋" w:eastAsia="仿宋"/>
          <w:sz w:val="32"/>
          <w:szCs w:val="32"/>
        </w:rPr>
        <w:t xml:space="preserve"> 白城市司法局公共法律服务管理科是开展案件评查和旁听工作的组织实施部门，负责开展全市法律服务队伍案件评查和旁听工作。</w:t>
      </w:r>
    </w:p>
    <w:p w14:paraId="04B3722A">
      <w:pPr>
        <w:spacing w:line="560" w:lineRule="exact"/>
        <w:ind w:firstLine="645"/>
        <w:jc w:val="center"/>
        <w:rPr>
          <w:rFonts w:ascii="仿宋" w:hAnsi="仿宋" w:eastAsia="仿宋"/>
          <w:sz w:val="32"/>
          <w:szCs w:val="32"/>
        </w:rPr>
      </w:pPr>
      <w:r>
        <w:rPr>
          <w:rFonts w:hint="eastAsia" w:ascii="黑体" w:hAnsi="黑体" w:eastAsia="黑体" w:cs="黑体"/>
          <w:sz w:val="32"/>
          <w:szCs w:val="32"/>
        </w:rPr>
        <w:t>第二章 旁听制度</w:t>
      </w:r>
    </w:p>
    <w:p w14:paraId="55A60B6D">
      <w:pPr>
        <w:spacing w:line="560" w:lineRule="exact"/>
        <w:ind w:firstLine="645"/>
        <w:rPr>
          <w:rFonts w:ascii="仿宋" w:hAnsi="仿宋" w:eastAsia="仿宋"/>
          <w:sz w:val="32"/>
          <w:szCs w:val="32"/>
        </w:rPr>
      </w:pPr>
      <w:r>
        <w:rPr>
          <w:rFonts w:hint="eastAsia" w:ascii="仿宋" w:hAnsi="仿宋" w:eastAsia="仿宋"/>
          <w:b/>
          <w:bCs/>
          <w:sz w:val="32"/>
          <w:szCs w:val="32"/>
        </w:rPr>
        <w:t>第三条</w:t>
      </w:r>
      <w:r>
        <w:rPr>
          <w:rFonts w:hint="eastAsia" w:ascii="仿宋" w:hAnsi="仿宋" w:eastAsia="仿宋"/>
          <w:sz w:val="32"/>
          <w:szCs w:val="32"/>
        </w:rPr>
        <w:t xml:space="preserve"> 全市各律师所、公证处、司法鉴定机构、法律援助中心、基层法律服务所要加强对重大敏感案件和涉黑涉恶案件的上报备案工作，凡办理业务涉及到此类事项，必须按照要求逐级上报备案。由司法行政机关公共法律服务管理部门按管理层级和权限开展旁听工作。</w:t>
      </w:r>
    </w:p>
    <w:p w14:paraId="0BA701D0">
      <w:pPr>
        <w:spacing w:line="560" w:lineRule="exact"/>
        <w:ind w:firstLine="645"/>
        <w:rPr>
          <w:rFonts w:ascii="仿宋" w:hAnsi="仿宋" w:eastAsia="仿宋"/>
          <w:sz w:val="32"/>
          <w:szCs w:val="32"/>
        </w:rPr>
      </w:pPr>
      <w:r>
        <w:rPr>
          <w:rFonts w:hint="eastAsia" w:ascii="仿宋" w:hAnsi="仿宋" w:eastAsia="仿宋"/>
          <w:b/>
          <w:bCs/>
          <w:sz w:val="32"/>
          <w:szCs w:val="32"/>
        </w:rPr>
        <w:t>第四条</w:t>
      </w:r>
      <w:r>
        <w:rPr>
          <w:rFonts w:hint="eastAsia" w:ascii="仿宋" w:hAnsi="仿宋" w:eastAsia="仿宋"/>
          <w:sz w:val="32"/>
          <w:szCs w:val="32"/>
        </w:rPr>
        <w:t xml:space="preserve"> 白城市司法局公共法律服务管理科根据执业监管、业务考核等实际工作需要，对全市律师、公证员、司法鉴定人、基层法律服务工作者执业活动开展旁听工作。</w:t>
      </w:r>
    </w:p>
    <w:p w14:paraId="39CB21AE">
      <w:pPr>
        <w:spacing w:line="560" w:lineRule="exact"/>
        <w:ind w:firstLine="645"/>
        <w:rPr>
          <w:rFonts w:ascii="仿宋" w:hAnsi="仿宋" w:eastAsia="仿宋"/>
          <w:sz w:val="32"/>
          <w:szCs w:val="32"/>
        </w:rPr>
      </w:pPr>
      <w:r>
        <w:rPr>
          <w:rFonts w:hint="eastAsia" w:ascii="仿宋" w:hAnsi="仿宋" w:eastAsia="仿宋"/>
          <w:b/>
          <w:bCs/>
          <w:sz w:val="32"/>
          <w:szCs w:val="32"/>
        </w:rPr>
        <w:t>第五条</w:t>
      </w:r>
      <w:r>
        <w:rPr>
          <w:rFonts w:hint="eastAsia" w:ascii="仿宋" w:hAnsi="仿宋" w:eastAsia="仿宋"/>
          <w:sz w:val="32"/>
          <w:szCs w:val="32"/>
        </w:rPr>
        <w:t xml:space="preserve"> 旁听工作必须由两名或两名以上司法行政工作人员进行，必要时可联合相关部门开展案件旁听工作。</w:t>
      </w:r>
    </w:p>
    <w:p w14:paraId="2CEA1EA5">
      <w:pPr>
        <w:spacing w:line="560" w:lineRule="exact"/>
        <w:ind w:firstLine="645"/>
        <w:rPr>
          <w:rFonts w:ascii="仿宋" w:hAnsi="仿宋" w:eastAsia="仿宋"/>
          <w:sz w:val="32"/>
          <w:szCs w:val="32"/>
        </w:rPr>
      </w:pPr>
      <w:r>
        <w:rPr>
          <w:rFonts w:hint="eastAsia" w:ascii="仿宋" w:hAnsi="仿宋" w:eastAsia="仿宋"/>
          <w:b/>
          <w:bCs/>
          <w:sz w:val="32"/>
          <w:szCs w:val="32"/>
        </w:rPr>
        <w:t>第六条</w:t>
      </w:r>
      <w:r>
        <w:rPr>
          <w:rFonts w:hint="eastAsia" w:ascii="仿宋" w:hAnsi="仿宋" w:eastAsia="仿宋"/>
          <w:sz w:val="32"/>
          <w:szCs w:val="32"/>
        </w:rPr>
        <w:t xml:space="preserve"> 旁听工作实行一案一单，由参与旁听的司法行政工作人员填写《出庭情况评议表》，对律师、公证员、司法鉴定人、法律援助律师、基层法律服务工作者的庭审表现和进行评定。</w:t>
      </w:r>
    </w:p>
    <w:p w14:paraId="468EB47E">
      <w:pPr>
        <w:spacing w:line="560" w:lineRule="exact"/>
        <w:ind w:firstLine="645"/>
        <w:rPr>
          <w:rFonts w:ascii="仿宋" w:hAnsi="仿宋" w:eastAsia="仿宋"/>
          <w:sz w:val="32"/>
          <w:szCs w:val="32"/>
        </w:rPr>
      </w:pPr>
      <w:r>
        <w:rPr>
          <w:rFonts w:hint="eastAsia" w:ascii="仿宋" w:hAnsi="仿宋" w:eastAsia="仿宋"/>
          <w:b/>
          <w:bCs/>
          <w:sz w:val="32"/>
          <w:szCs w:val="32"/>
        </w:rPr>
        <w:t>第七条</w:t>
      </w:r>
      <w:r>
        <w:rPr>
          <w:rFonts w:hint="eastAsia" w:ascii="仿宋" w:hAnsi="仿宋" w:eastAsia="仿宋"/>
          <w:sz w:val="32"/>
          <w:szCs w:val="32"/>
        </w:rPr>
        <w:t xml:space="preserve"> 旁听记录和评价意见用于对律师、公证员、司法鉴定人、基层法律服务工作者的日常监管及年终考核工作。</w:t>
      </w:r>
    </w:p>
    <w:p w14:paraId="7ED725F4">
      <w:pPr>
        <w:spacing w:line="560" w:lineRule="exact"/>
        <w:ind w:firstLine="645"/>
        <w:rPr>
          <w:rFonts w:ascii="仿宋" w:hAnsi="仿宋" w:eastAsia="仿宋"/>
          <w:sz w:val="32"/>
          <w:szCs w:val="32"/>
        </w:rPr>
      </w:pPr>
      <w:r>
        <w:rPr>
          <w:rFonts w:hint="eastAsia" w:ascii="仿宋" w:hAnsi="仿宋" w:eastAsia="仿宋"/>
          <w:b/>
          <w:bCs/>
          <w:sz w:val="32"/>
          <w:szCs w:val="32"/>
        </w:rPr>
        <w:t>第八条</w:t>
      </w:r>
      <w:r>
        <w:rPr>
          <w:rFonts w:hint="eastAsia" w:ascii="仿宋" w:hAnsi="仿宋" w:eastAsia="仿宋"/>
          <w:sz w:val="32"/>
          <w:szCs w:val="32"/>
        </w:rPr>
        <w:t xml:space="preserve"> 白城市司法局公共法律服务管理科对在旁听中发现律师、公证员、司法鉴定人、法律援助律师、基层法律服务工作者存在违规违纪行为，将按照相关规定进行处理。</w:t>
      </w:r>
    </w:p>
    <w:p w14:paraId="6556F480">
      <w:pPr>
        <w:spacing w:line="560" w:lineRule="exact"/>
        <w:ind w:firstLine="645"/>
        <w:rPr>
          <w:rFonts w:ascii="仿宋" w:hAnsi="仿宋" w:eastAsia="仿宋"/>
          <w:sz w:val="32"/>
          <w:szCs w:val="32"/>
        </w:rPr>
      </w:pPr>
      <w:r>
        <w:rPr>
          <w:rFonts w:hint="eastAsia" w:ascii="仿宋" w:hAnsi="仿宋" w:eastAsia="仿宋"/>
          <w:b/>
          <w:bCs/>
          <w:sz w:val="32"/>
          <w:szCs w:val="32"/>
        </w:rPr>
        <w:t>第九条</w:t>
      </w:r>
      <w:r>
        <w:rPr>
          <w:rFonts w:hint="eastAsia" w:ascii="仿宋" w:hAnsi="仿宋" w:eastAsia="仿宋"/>
          <w:sz w:val="32"/>
          <w:szCs w:val="32"/>
        </w:rPr>
        <w:t xml:space="preserve"> 白城市司法局公共法律服务管理科对在庭审中存在违规违纪行为并给予处分（处罚）的公共法律服务人员将在“信用中国（吉林白城）”公示，并与法院、检察院、公安机关等相关部门进行联合惩戒。</w:t>
      </w:r>
    </w:p>
    <w:p w14:paraId="060F660E">
      <w:pPr>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第三章 案件评查</w:t>
      </w:r>
    </w:p>
    <w:p w14:paraId="0F13CABC">
      <w:pPr>
        <w:spacing w:line="560" w:lineRule="exact"/>
        <w:ind w:firstLine="645"/>
        <w:rPr>
          <w:rFonts w:ascii="仿宋" w:hAnsi="仿宋" w:eastAsia="仿宋"/>
          <w:sz w:val="32"/>
          <w:szCs w:val="32"/>
        </w:rPr>
      </w:pPr>
      <w:r>
        <w:rPr>
          <w:rFonts w:hint="eastAsia" w:ascii="仿宋" w:hAnsi="仿宋" w:eastAsia="仿宋"/>
          <w:b/>
          <w:bCs/>
          <w:sz w:val="32"/>
          <w:szCs w:val="32"/>
        </w:rPr>
        <w:t>第十条</w:t>
      </w:r>
      <w:r>
        <w:rPr>
          <w:rFonts w:hint="eastAsia" w:ascii="仿宋" w:hAnsi="仿宋" w:eastAsia="仿宋"/>
          <w:sz w:val="32"/>
          <w:szCs w:val="32"/>
        </w:rPr>
        <w:t xml:space="preserve"> 案件评查工作是保证律师、公证员、司法鉴定人、基层法律服务工作者各法律服务队伍服务质量的关键，做好案件评查工作是提升服务能力和水平的必要手段。</w:t>
      </w:r>
    </w:p>
    <w:p w14:paraId="7A2B7091">
      <w:pPr>
        <w:spacing w:line="560" w:lineRule="exact"/>
        <w:ind w:firstLine="645"/>
        <w:rPr>
          <w:rFonts w:ascii="仿宋" w:hAnsi="仿宋" w:eastAsia="仿宋"/>
          <w:sz w:val="32"/>
          <w:szCs w:val="32"/>
        </w:rPr>
      </w:pPr>
      <w:r>
        <w:rPr>
          <w:rFonts w:hint="eastAsia" w:ascii="仿宋" w:hAnsi="仿宋" w:eastAsia="仿宋"/>
          <w:b/>
          <w:bCs/>
          <w:sz w:val="32"/>
          <w:szCs w:val="32"/>
        </w:rPr>
        <w:t>第十一条</w:t>
      </w:r>
      <w:r>
        <w:rPr>
          <w:rFonts w:hint="eastAsia" w:ascii="仿宋" w:hAnsi="仿宋" w:eastAsia="仿宋"/>
          <w:sz w:val="32"/>
          <w:szCs w:val="32"/>
        </w:rPr>
        <w:t xml:space="preserve"> 案件评查是指白城市司法局公共法律服务管理科对律师、公证员、司法鉴定人、基层法律服务工作者法律服务的案件归档、卷宗质量、服务质量等进行检查。</w:t>
      </w:r>
    </w:p>
    <w:p w14:paraId="091BF8CF">
      <w:pPr>
        <w:spacing w:line="560" w:lineRule="exact"/>
        <w:ind w:firstLine="645"/>
        <w:rPr>
          <w:rFonts w:ascii="仿宋" w:hAnsi="仿宋" w:eastAsia="仿宋"/>
          <w:sz w:val="32"/>
          <w:szCs w:val="32"/>
        </w:rPr>
      </w:pPr>
      <w:r>
        <w:rPr>
          <w:rFonts w:hint="eastAsia" w:ascii="仿宋" w:hAnsi="仿宋" w:eastAsia="仿宋"/>
          <w:b/>
          <w:bCs/>
          <w:sz w:val="32"/>
          <w:szCs w:val="32"/>
        </w:rPr>
        <w:t>第十二条</w:t>
      </w:r>
      <w:r>
        <w:rPr>
          <w:rFonts w:hint="eastAsia" w:ascii="仿宋" w:hAnsi="仿宋" w:eastAsia="仿宋"/>
          <w:sz w:val="32"/>
          <w:szCs w:val="32"/>
        </w:rPr>
        <w:t xml:space="preserve"> 案件评查采取采取定期检查和不定期抽查相结合的方式，每年至少对全市律师事务所、公证处、司法鉴定机构、法律援助中心、基层法律服务所开展一次案件评查工作。根据管理工作需要，白城市司法局公共法律服务管理科组织随时开展案卷检查评查工作。</w:t>
      </w:r>
    </w:p>
    <w:p w14:paraId="7587083E">
      <w:pPr>
        <w:spacing w:line="560" w:lineRule="exact"/>
        <w:ind w:firstLine="645"/>
        <w:rPr>
          <w:rFonts w:ascii="仿宋" w:hAnsi="仿宋" w:eastAsia="仿宋"/>
          <w:sz w:val="32"/>
          <w:szCs w:val="32"/>
        </w:rPr>
      </w:pPr>
      <w:r>
        <w:rPr>
          <w:rFonts w:hint="eastAsia" w:ascii="仿宋" w:hAnsi="仿宋" w:eastAsia="仿宋"/>
          <w:b/>
          <w:bCs/>
          <w:sz w:val="32"/>
          <w:szCs w:val="32"/>
        </w:rPr>
        <w:t>第十三条</w:t>
      </w:r>
      <w:r>
        <w:rPr>
          <w:rFonts w:hint="eastAsia" w:ascii="仿宋" w:hAnsi="仿宋" w:eastAsia="仿宋"/>
          <w:sz w:val="32"/>
          <w:szCs w:val="32"/>
        </w:rPr>
        <w:t xml:space="preserve"> 案件评查要建册归档，作为律师事务所、公证处、司法鉴定机构、法律援助中心、基层法律服务所以及律师、公证员、司法鉴定人、法律援助律师、基层法律服务工作者的年度考核的重要指标，如在案卷评查工作中不合格，暂缓年度考核，限期整顿整改，整改通过后准予年度考核。</w:t>
      </w:r>
    </w:p>
    <w:p w14:paraId="157AC707">
      <w:pPr>
        <w:spacing w:line="560" w:lineRule="exact"/>
        <w:ind w:firstLine="645"/>
        <w:jc w:val="center"/>
        <w:rPr>
          <w:rFonts w:ascii="仿宋" w:hAnsi="仿宋" w:eastAsia="仿宋"/>
          <w:sz w:val="32"/>
          <w:szCs w:val="32"/>
        </w:rPr>
      </w:pPr>
      <w:r>
        <w:rPr>
          <w:rFonts w:hint="eastAsia" w:ascii="黑体" w:hAnsi="黑体" w:eastAsia="黑体" w:cs="黑体"/>
          <w:sz w:val="32"/>
          <w:szCs w:val="32"/>
        </w:rPr>
        <w:t>第四章 组织保障</w:t>
      </w:r>
    </w:p>
    <w:p w14:paraId="7EE9CC00">
      <w:pPr>
        <w:spacing w:line="560" w:lineRule="exact"/>
        <w:ind w:firstLine="645"/>
        <w:rPr>
          <w:rFonts w:ascii="仿宋" w:hAnsi="仿宋" w:eastAsia="仿宋"/>
          <w:sz w:val="32"/>
          <w:szCs w:val="32"/>
        </w:rPr>
      </w:pPr>
      <w:r>
        <w:rPr>
          <w:rFonts w:hint="eastAsia" w:ascii="仿宋" w:hAnsi="仿宋" w:eastAsia="仿宋"/>
          <w:b/>
          <w:bCs/>
          <w:sz w:val="32"/>
          <w:szCs w:val="32"/>
        </w:rPr>
        <w:t>第十四条</w:t>
      </w:r>
      <w:r>
        <w:rPr>
          <w:rFonts w:hint="eastAsia" w:ascii="仿宋" w:hAnsi="仿宋" w:eastAsia="仿宋"/>
          <w:sz w:val="32"/>
          <w:szCs w:val="32"/>
        </w:rPr>
        <w:t xml:space="preserve"> 全市案件旁听和案件评查工作由白城市司法局公共法律服务管理科按照国家、省、市相关工作部署，统筹组织实施。</w:t>
      </w:r>
    </w:p>
    <w:p w14:paraId="6580B435">
      <w:pPr>
        <w:spacing w:line="560" w:lineRule="exact"/>
        <w:ind w:firstLine="645"/>
        <w:rPr>
          <w:rFonts w:ascii="仿宋" w:hAnsi="仿宋" w:eastAsia="仿宋"/>
          <w:sz w:val="32"/>
          <w:szCs w:val="32"/>
        </w:rPr>
      </w:pPr>
      <w:r>
        <w:rPr>
          <w:rFonts w:hint="eastAsia" w:ascii="仿宋" w:hAnsi="仿宋" w:eastAsia="仿宋"/>
          <w:b/>
          <w:bCs/>
          <w:sz w:val="32"/>
          <w:szCs w:val="32"/>
        </w:rPr>
        <w:t>第十五条</w:t>
      </w:r>
      <w:r>
        <w:rPr>
          <w:rFonts w:hint="eastAsia" w:ascii="仿宋" w:hAnsi="仿宋" w:eastAsia="仿宋"/>
          <w:sz w:val="32"/>
          <w:szCs w:val="32"/>
        </w:rPr>
        <w:t xml:space="preserve"> 司法行政机关应为开展案件旁听和案件评查工作提供必要的经费保障。</w:t>
      </w:r>
    </w:p>
    <w:p w14:paraId="12152BFC">
      <w:pPr>
        <w:rPr>
          <w:rFonts w:ascii="仿宋" w:hAnsi="仿宋" w:eastAsia="仿宋"/>
          <w:sz w:val="32"/>
          <w:szCs w:val="32"/>
        </w:rPr>
      </w:pPr>
      <w:r>
        <w:rPr>
          <w:rFonts w:hint="eastAsia" w:ascii="仿宋" w:hAnsi="仿宋" w:eastAsia="仿宋"/>
          <w:sz w:val="32"/>
          <w:szCs w:val="32"/>
        </w:rPr>
        <w:br w:type="page"/>
      </w:r>
    </w:p>
    <w:p w14:paraId="126531C8">
      <w:pP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    市司法局对县（市、区）社区矫正对象</w:t>
      </w:r>
    </w:p>
    <w:p w14:paraId="2B11561B">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点验情况进行定期通报制度</w:t>
      </w:r>
    </w:p>
    <w:p w14:paraId="3E6AC6CD">
      <w:pPr>
        <w:spacing w:line="560" w:lineRule="exact"/>
        <w:ind w:firstLine="640" w:firstLineChars="200"/>
        <w:rPr>
          <w:rFonts w:ascii="仿宋" w:eastAsia="仿宋"/>
          <w:sz w:val="32"/>
          <w:szCs w:val="32"/>
        </w:rPr>
      </w:pPr>
    </w:p>
    <w:p w14:paraId="35D62163">
      <w:pPr>
        <w:spacing w:line="560" w:lineRule="exact"/>
        <w:ind w:firstLine="640" w:firstLineChars="200"/>
        <w:rPr>
          <w:rFonts w:ascii="仿宋" w:eastAsia="仿宋"/>
          <w:sz w:val="32"/>
          <w:szCs w:val="32"/>
        </w:rPr>
      </w:pPr>
      <w:r>
        <w:rPr>
          <w:rFonts w:hint="eastAsia" w:ascii="仿宋" w:eastAsia="仿宋"/>
          <w:sz w:val="32"/>
          <w:szCs w:val="32"/>
        </w:rPr>
        <w:t>为进一步认真落实《社区矫正实施办法》，扎实做好我市社区矫正工作，不断强化基层司法所在社区矫正工作中的中坚作用，市司法局实行社区矫正工作定期通报制度。</w:t>
      </w:r>
    </w:p>
    <w:p w14:paraId="5D6CE25F">
      <w:pPr>
        <w:spacing w:line="560" w:lineRule="exact"/>
        <w:ind w:left="800"/>
        <w:rPr>
          <w:rFonts w:ascii="仿宋" w:eastAsia="仿宋"/>
          <w:sz w:val="32"/>
          <w:szCs w:val="32"/>
        </w:rPr>
      </w:pPr>
      <w:r>
        <w:rPr>
          <w:rFonts w:hint="eastAsia" w:ascii="仿宋" w:eastAsia="仿宋"/>
          <w:b/>
          <w:bCs/>
          <w:sz w:val="32"/>
          <w:szCs w:val="32"/>
        </w:rPr>
        <w:t>第一条</w:t>
      </w:r>
      <w:r>
        <w:rPr>
          <w:rFonts w:hint="eastAsia" w:ascii="仿宋" w:eastAsia="仿宋"/>
          <w:sz w:val="32"/>
          <w:szCs w:val="32"/>
        </w:rPr>
        <w:t xml:space="preserve"> 市司法局每个季度不定期的对全市社区矫正对象进</w:t>
      </w:r>
    </w:p>
    <w:p w14:paraId="05C60EAF">
      <w:pPr>
        <w:spacing w:line="560" w:lineRule="exact"/>
        <w:rPr>
          <w:rFonts w:ascii="仿宋" w:eastAsia="仿宋"/>
          <w:sz w:val="32"/>
          <w:szCs w:val="32"/>
        </w:rPr>
      </w:pPr>
      <w:r>
        <w:rPr>
          <w:rFonts w:hint="eastAsia" w:ascii="仿宋" w:eastAsia="仿宋"/>
          <w:sz w:val="32"/>
          <w:szCs w:val="32"/>
        </w:rPr>
        <w:t>行一次手机定位和通话相结合的抽查点验。在可以集中点验的条件下，市局工作人员深入到县市区或利用通过指挥中心大屏进行点验。</w:t>
      </w:r>
    </w:p>
    <w:p w14:paraId="0EE9137A">
      <w:pPr>
        <w:spacing w:line="560" w:lineRule="exact"/>
        <w:ind w:left="800"/>
        <w:rPr>
          <w:rFonts w:ascii="仿宋" w:eastAsia="仿宋"/>
          <w:sz w:val="32"/>
          <w:szCs w:val="32"/>
        </w:rPr>
      </w:pPr>
      <w:r>
        <w:rPr>
          <w:rFonts w:hint="eastAsia" w:ascii="仿宋" w:eastAsia="仿宋"/>
          <w:b/>
          <w:bCs/>
          <w:sz w:val="32"/>
          <w:szCs w:val="32"/>
        </w:rPr>
        <w:t>第二条</w:t>
      </w:r>
      <w:r>
        <w:rPr>
          <w:rFonts w:hint="eastAsia" w:ascii="仿宋" w:eastAsia="仿宋"/>
          <w:sz w:val="32"/>
          <w:szCs w:val="32"/>
        </w:rPr>
        <w:t xml:space="preserve"> 各县（市区）司法局按照市司法局社区矫正科的要</w:t>
      </w:r>
    </w:p>
    <w:p w14:paraId="1367B157">
      <w:pPr>
        <w:spacing w:line="560" w:lineRule="exact"/>
        <w:rPr>
          <w:rFonts w:ascii="仿宋" w:eastAsia="仿宋"/>
          <w:sz w:val="32"/>
          <w:szCs w:val="32"/>
        </w:rPr>
      </w:pPr>
      <w:r>
        <w:rPr>
          <w:rFonts w:hint="eastAsia" w:ascii="仿宋" w:eastAsia="仿宋"/>
          <w:sz w:val="32"/>
          <w:szCs w:val="32"/>
        </w:rPr>
        <w:t xml:space="preserve">求上报社区矫正人员名册及定位电话号码。 </w:t>
      </w:r>
    </w:p>
    <w:p w14:paraId="352C9064">
      <w:pPr>
        <w:spacing w:line="560" w:lineRule="exact"/>
        <w:ind w:firstLine="643" w:firstLineChars="200"/>
        <w:rPr>
          <w:rFonts w:ascii="仿宋" w:eastAsia="仿宋"/>
          <w:sz w:val="32"/>
          <w:szCs w:val="32"/>
        </w:rPr>
      </w:pPr>
      <w:r>
        <w:rPr>
          <w:rFonts w:hint="eastAsia" w:ascii="仿宋" w:eastAsia="仿宋"/>
          <w:b/>
          <w:bCs/>
          <w:sz w:val="32"/>
          <w:szCs w:val="32"/>
        </w:rPr>
        <w:t xml:space="preserve"> 第三条</w:t>
      </w:r>
      <w:r>
        <w:rPr>
          <w:rFonts w:hint="eastAsia" w:ascii="仿宋" w:eastAsia="仿宋"/>
          <w:sz w:val="32"/>
          <w:szCs w:val="32"/>
        </w:rPr>
        <w:t xml:space="preserve"> 市司法局在每个季度点验后，统计点验情况，统计以下数据：抽查人数，电话关机人员，电话停机人员，不接电话人员。</w:t>
      </w:r>
    </w:p>
    <w:p w14:paraId="0B60CB35">
      <w:pPr>
        <w:spacing w:line="560" w:lineRule="exact"/>
        <w:ind w:firstLine="643" w:firstLineChars="200"/>
        <w:rPr>
          <w:rFonts w:ascii="仿宋" w:eastAsia="仿宋"/>
          <w:sz w:val="32"/>
          <w:szCs w:val="32"/>
        </w:rPr>
      </w:pPr>
      <w:r>
        <w:rPr>
          <w:rFonts w:hint="eastAsia" w:ascii="仿宋" w:eastAsia="仿宋"/>
          <w:b/>
          <w:bCs/>
          <w:sz w:val="32"/>
          <w:szCs w:val="32"/>
        </w:rPr>
        <w:t>第四条</w:t>
      </w:r>
      <w:r>
        <w:rPr>
          <w:rFonts w:hint="eastAsia" w:ascii="仿宋" w:eastAsia="仿宋"/>
          <w:sz w:val="32"/>
          <w:szCs w:val="32"/>
        </w:rPr>
        <w:t xml:space="preserve"> 通报发到县市区司法局。有重大问题的可通报到当地政府或当地检察院。</w:t>
      </w:r>
    </w:p>
    <w:p w14:paraId="0E857418">
      <w:pPr>
        <w:spacing w:line="560" w:lineRule="exact"/>
        <w:ind w:firstLine="643" w:firstLineChars="200"/>
        <w:rPr>
          <w:rFonts w:ascii="仿宋" w:eastAsia="仿宋"/>
          <w:sz w:val="32"/>
          <w:szCs w:val="32"/>
        </w:rPr>
      </w:pPr>
      <w:r>
        <w:rPr>
          <w:rFonts w:hint="eastAsia" w:ascii="仿宋" w:eastAsia="仿宋"/>
          <w:b/>
          <w:bCs/>
          <w:sz w:val="32"/>
          <w:szCs w:val="32"/>
        </w:rPr>
        <w:t>第五条</w:t>
      </w:r>
      <w:r>
        <w:rPr>
          <w:rFonts w:hint="eastAsia" w:ascii="仿宋" w:eastAsia="仿宋"/>
          <w:sz w:val="32"/>
          <w:szCs w:val="32"/>
        </w:rPr>
        <w:t xml:space="preserve"> 通报下达后，各县市区司法局针对通报问题进行整改，上报整改报告。整改不到位的，由市司法局领导对县市区领导班子主要负责人进行约谈。发现存在严重问题的，移交到纪检部门进行处理。</w:t>
      </w:r>
    </w:p>
    <w:p w14:paraId="50D7CDB9">
      <w:pPr>
        <w:rPr>
          <w:rFonts w:ascii="仿宋" w:eastAsia="仿宋"/>
          <w:sz w:val="32"/>
          <w:szCs w:val="32"/>
        </w:rPr>
      </w:pPr>
      <w:r>
        <w:rPr>
          <w:rFonts w:hint="eastAsia" w:ascii="仿宋" w:eastAsia="仿宋"/>
          <w:sz w:val="32"/>
          <w:szCs w:val="32"/>
        </w:rPr>
        <w:br w:type="page"/>
      </w:r>
    </w:p>
    <w:p w14:paraId="2A34F574">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市司法局对县市区社区矫正工作</w:t>
      </w:r>
    </w:p>
    <w:p w14:paraId="1D868C2C">
      <w:pPr>
        <w:spacing w:line="560" w:lineRule="exact"/>
        <w:jc w:val="center"/>
        <w:rPr>
          <w:sz w:val="44"/>
          <w:szCs w:val="44"/>
        </w:rPr>
      </w:pPr>
      <w:r>
        <w:rPr>
          <w:rFonts w:hint="eastAsia" w:ascii="方正小标宋_GBK" w:hAnsi="方正小标宋_GBK" w:eastAsia="方正小标宋_GBK" w:cs="方正小标宋_GBK"/>
          <w:sz w:val="44"/>
          <w:szCs w:val="44"/>
        </w:rPr>
        <w:t>进行监督检查制度</w:t>
      </w:r>
    </w:p>
    <w:p w14:paraId="447B3FE4">
      <w:pPr>
        <w:spacing w:line="560" w:lineRule="exact"/>
        <w:rPr>
          <w:sz w:val="44"/>
          <w:szCs w:val="44"/>
        </w:rPr>
      </w:pPr>
    </w:p>
    <w:p w14:paraId="211A3F47">
      <w:pPr>
        <w:spacing w:line="560" w:lineRule="exact"/>
        <w:ind w:firstLine="640" w:firstLineChars="200"/>
        <w:rPr>
          <w:rFonts w:ascii="仿宋" w:eastAsia="仿宋"/>
          <w:sz w:val="32"/>
          <w:szCs w:val="32"/>
        </w:rPr>
      </w:pPr>
      <w:r>
        <w:rPr>
          <w:rFonts w:hint="eastAsia" w:ascii="仿宋" w:eastAsia="仿宋"/>
          <w:sz w:val="32"/>
          <w:szCs w:val="32"/>
        </w:rPr>
        <w:t>按照白城市司法局“三定”方案社区矫正工作职能制定市司法局对县市区社区矫正工作进行检查监督制度如下：</w:t>
      </w:r>
    </w:p>
    <w:p w14:paraId="781479A1">
      <w:pPr>
        <w:spacing w:line="560" w:lineRule="exact"/>
        <w:ind w:left="640"/>
        <w:rPr>
          <w:rFonts w:ascii="仿宋" w:eastAsia="仿宋"/>
          <w:sz w:val="32"/>
          <w:szCs w:val="32"/>
        </w:rPr>
      </w:pPr>
      <w:r>
        <w:rPr>
          <w:rFonts w:hint="eastAsia" w:ascii="仿宋" w:eastAsia="仿宋"/>
          <w:b/>
          <w:bCs/>
          <w:sz w:val="32"/>
          <w:szCs w:val="32"/>
        </w:rPr>
        <w:t>第一条</w:t>
      </w:r>
      <w:r>
        <w:rPr>
          <w:rFonts w:hint="eastAsia" w:ascii="仿宋" w:eastAsia="仿宋"/>
          <w:sz w:val="32"/>
          <w:szCs w:val="32"/>
        </w:rPr>
        <w:t xml:space="preserve"> 依据《社区矫正实施办法》和《社区矫正实施办法</w:t>
      </w:r>
    </w:p>
    <w:p w14:paraId="634238AE">
      <w:pPr>
        <w:spacing w:line="560" w:lineRule="exact"/>
        <w:rPr>
          <w:rFonts w:ascii="仿宋" w:eastAsia="仿宋"/>
          <w:sz w:val="32"/>
          <w:szCs w:val="32"/>
        </w:rPr>
      </w:pPr>
      <w:r>
        <w:rPr>
          <w:rFonts w:hint="eastAsia" w:ascii="仿宋" w:eastAsia="仿宋"/>
          <w:sz w:val="32"/>
          <w:szCs w:val="32"/>
        </w:rPr>
        <w:t>的实施细则》《社区矫正法》及国家、省司法行政部门的文件规定进行监督检查。</w:t>
      </w:r>
    </w:p>
    <w:p w14:paraId="5AC345F8">
      <w:pPr>
        <w:spacing w:line="560" w:lineRule="exact"/>
        <w:ind w:firstLine="643" w:firstLineChars="200"/>
        <w:rPr>
          <w:rFonts w:ascii="仿宋" w:eastAsia="仿宋"/>
          <w:sz w:val="32"/>
          <w:szCs w:val="32"/>
        </w:rPr>
      </w:pPr>
      <w:r>
        <w:rPr>
          <w:rFonts w:hint="eastAsia" w:ascii="仿宋" w:eastAsia="仿宋"/>
          <w:b/>
          <w:bCs/>
          <w:sz w:val="32"/>
          <w:szCs w:val="32"/>
        </w:rPr>
        <w:t>第二条</w:t>
      </w:r>
      <w:r>
        <w:rPr>
          <w:rFonts w:hint="eastAsia" w:ascii="仿宋" w:eastAsia="仿宋"/>
          <w:sz w:val="32"/>
          <w:szCs w:val="32"/>
        </w:rPr>
        <w:t xml:space="preserve"> 对全市县市区社区矫正机构执行《社区矫正实施办法》、《社区矫正实施办法的实施细则》、《社区矫正法》的情况进行监督检查。</w:t>
      </w:r>
    </w:p>
    <w:p w14:paraId="4D4E26BA">
      <w:pPr>
        <w:spacing w:line="560" w:lineRule="exact"/>
        <w:ind w:left="640"/>
        <w:rPr>
          <w:rFonts w:ascii="仿宋" w:eastAsia="仿宋"/>
          <w:sz w:val="32"/>
          <w:szCs w:val="32"/>
        </w:rPr>
      </w:pPr>
      <w:r>
        <w:rPr>
          <w:rFonts w:hint="eastAsia" w:ascii="仿宋" w:eastAsia="仿宋"/>
          <w:b/>
          <w:bCs/>
          <w:sz w:val="32"/>
          <w:szCs w:val="32"/>
        </w:rPr>
        <w:t>第三条</w:t>
      </w:r>
      <w:r>
        <w:rPr>
          <w:rFonts w:hint="eastAsia" w:ascii="仿宋" w:eastAsia="仿宋"/>
          <w:sz w:val="32"/>
          <w:szCs w:val="32"/>
        </w:rPr>
        <w:t xml:space="preserve"> 市司法局领导或派员每年至少两次深入实地到县市</w:t>
      </w:r>
    </w:p>
    <w:p w14:paraId="20CBF3B0">
      <w:pPr>
        <w:spacing w:line="560" w:lineRule="exact"/>
        <w:rPr>
          <w:rFonts w:ascii="仿宋" w:eastAsia="仿宋"/>
          <w:sz w:val="32"/>
          <w:szCs w:val="32"/>
        </w:rPr>
      </w:pPr>
      <w:r>
        <w:rPr>
          <w:rFonts w:hint="eastAsia" w:ascii="仿宋" w:eastAsia="仿宋"/>
          <w:sz w:val="32"/>
          <w:szCs w:val="32"/>
        </w:rPr>
        <w:t>区司法局听取社区矫正工作汇报，到司法所进行调研指导。检查各地司法局执行《社区矫正实施办法》和《社区矫正实施办法的实施细则》《社区矫正法》和上级部署的工作任务落实完成情况，解决存在的问题。</w:t>
      </w:r>
    </w:p>
    <w:p w14:paraId="0CCE4859">
      <w:pPr>
        <w:spacing w:line="560" w:lineRule="exact"/>
        <w:ind w:firstLine="643" w:firstLineChars="200"/>
        <w:rPr>
          <w:rFonts w:ascii="仿宋" w:eastAsia="仿宋"/>
          <w:sz w:val="32"/>
          <w:szCs w:val="32"/>
        </w:rPr>
      </w:pPr>
      <w:r>
        <w:rPr>
          <w:rFonts w:hint="eastAsia" w:ascii="仿宋" w:eastAsia="仿宋"/>
          <w:b/>
          <w:bCs/>
          <w:sz w:val="32"/>
          <w:szCs w:val="32"/>
        </w:rPr>
        <w:t>第四条</w:t>
      </w:r>
      <w:r>
        <w:rPr>
          <w:rFonts w:hint="eastAsia" w:ascii="仿宋" w:eastAsia="仿宋"/>
          <w:sz w:val="32"/>
          <w:szCs w:val="32"/>
        </w:rPr>
        <w:t xml:space="preserve"> 对实名举报信和来人来访揭发举报县市区社区矫正工作存在的问题进行调查、核实、处理。</w:t>
      </w:r>
    </w:p>
    <w:p w14:paraId="6EC7CAA6">
      <w:pPr>
        <w:spacing w:line="560" w:lineRule="exact"/>
        <w:ind w:firstLine="643" w:firstLineChars="200"/>
        <w:rPr>
          <w:rFonts w:ascii="仿宋" w:eastAsia="仿宋"/>
          <w:sz w:val="32"/>
          <w:szCs w:val="32"/>
        </w:rPr>
      </w:pPr>
      <w:r>
        <w:rPr>
          <w:rFonts w:hint="eastAsia" w:ascii="仿宋" w:eastAsia="仿宋"/>
          <w:b/>
          <w:bCs/>
          <w:sz w:val="32"/>
          <w:szCs w:val="32"/>
        </w:rPr>
        <w:t>第五条</w:t>
      </w:r>
      <w:r>
        <w:rPr>
          <w:rFonts w:hint="eastAsia" w:ascii="仿宋" w:eastAsia="仿宋"/>
          <w:sz w:val="32"/>
          <w:szCs w:val="32"/>
        </w:rPr>
        <w:t xml:space="preserve"> 检查指导县市区社区矫正教育管理和帮扶工作。监督检查的重点是社区矫正对象的管控情况，撤销缓刑、假释、暂予监外的审批情况，社区矫正对象的外出的请假销假审批情况。对特殊时期和重要时间节点执行上级文件情况。</w:t>
      </w:r>
    </w:p>
    <w:p w14:paraId="0BF90A7D">
      <w:pP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br w:type="page"/>
      </w:r>
      <w:r>
        <w:rPr>
          <w:rFonts w:hint="eastAsia" w:ascii="方正小标宋_GBK" w:hAnsi="方正小标宋_GBK" w:eastAsia="方正小标宋_GBK" w:cs="方正小标宋_GBK"/>
          <w:sz w:val="44"/>
          <w:szCs w:val="44"/>
        </w:rPr>
        <w:t xml:space="preserve">        白城市司法局公务车辆管理办法</w:t>
      </w:r>
    </w:p>
    <w:p w14:paraId="3EE8CE95">
      <w:pPr>
        <w:rPr>
          <w:rFonts w:ascii="仿宋" w:hAnsi="仿宋" w:eastAsia="仿宋" w:cs="仿宋"/>
          <w:sz w:val="32"/>
          <w:szCs w:val="32"/>
        </w:rPr>
      </w:pPr>
    </w:p>
    <w:p w14:paraId="2C63F33D">
      <w:pPr>
        <w:ind w:firstLine="643" w:firstLineChars="200"/>
        <w:rPr>
          <w:rFonts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为规范市局机关公务车辆管理,保证行车安全,特制定本办法。市戒毒所参照本法管理本单位公务车辆。</w:t>
      </w:r>
    </w:p>
    <w:p w14:paraId="13D7FA2E">
      <w:pPr>
        <w:ind w:firstLine="643" w:firstLineChars="200"/>
        <w:rPr>
          <w:rFonts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本办法所称公务车辆是指执法执勤车辆、一般公务车辆、应急指挥车辆、特种车辆。</w:t>
      </w:r>
    </w:p>
    <w:p w14:paraId="36E30946">
      <w:pPr>
        <w:ind w:firstLine="643" w:firstLineChars="200"/>
        <w:rPr>
          <w:rFonts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公务车辆只用于公务活动，非公务活动禁止使用。</w:t>
      </w:r>
    </w:p>
    <w:p w14:paraId="2ED2BCCD">
      <w:pPr>
        <w:ind w:firstLine="643" w:firstLineChars="200"/>
        <w:rPr>
          <w:rFonts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实行专职部门统管制度。</w:t>
      </w:r>
    </w:p>
    <w:p w14:paraId="71E3A5B8">
      <w:pPr>
        <w:ind w:firstLine="640" w:firstLineChars="200"/>
        <w:rPr>
          <w:rFonts w:ascii="仿宋" w:hAnsi="仿宋" w:eastAsia="仿宋" w:cs="仿宋"/>
          <w:sz w:val="32"/>
          <w:szCs w:val="32"/>
        </w:rPr>
      </w:pPr>
      <w:r>
        <w:rPr>
          <w:rFonts w:hint="eastAsia" w:ascii="仿宋" w:hAnsi="仿宋" w:eastAsia="仿宋" w:cs="仿宋"/>
          <w:sz w:val="32"/>
          <w:szCs w:val="32"/>
        </w:rPr>
        <w:t>市局所有公务车辆由办公室主任负责统一管理和调度。市局公务车辆在下班后和节假日集中停放到市局办公室指定地点。市局办公室指定专人负责车辆备用钥匙管理、油卡管理、车辆维修保养等车辆日常管理工作。</w:t>
      </w:r>
    </w:p>
    <w:p w14:paraId="718E06C8">
      <w:pPr>
        <w:ind w:firstLine="643" w:firstLineChars="200"/>
        <w:rPr>
          <w:rFonts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实行凭单派车制度。</w:t>
      </w:r>
    </w:p>
    <w:p w14:paraId="73CB104A">
      <w:pPr>
        <w:ind w:firstLine="640" w:firstLineChars="200"/>
        <w:rPr>
          <w:rFonts w:ascii="仿宋" w:hAnsi="仿宋" w:eastAsia="仿宋" w:cs="仿宋"/>
          <w:sz w:val="32"/>
          <w:szCs w:val="32"/>
        </w:rPr>
      </w:pPr>
      <w:r>
        <w:rPr>
          <w:rFonts w:hint="eastAsia" w:ascii="仿宋" w:hAnsi="仿宋" w:eastAsia="仿宋" w:cs="仿宋"/>
          <w:sz w:val="32"/>
          <w:szCs w:val="32"/>
        </w:rPr>
        <w:t>因公务出白城市区的，用车科（室）要事前填写《公务车辆用单》，经办公室主任和分管副局长审批后，由办公室主任视情况统筹安排。车辆驾驶人员未经办公室主任安排一律不得出车。</w:t>
      </w:r>
    </w:p>
    <w:p w14:paraId="35BC4C61">
      <w:pPr>
        <w:ind w:firstLine="643" w:firstLineChars="200"/>
        <w:rPr>
          <w:rFonts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实行公务车辆专人驾驶、定点维修、刷卡加油、单车记录制度。</w:t>
      </w:r>
    </w:p>
    <w:p w14:paraId="620A5C1A">
      <w:pPr>
        <w:ind w:firstLine="640" w:firstLineChars="200"/>
        <w:rPr>
          <w:rFonts w:ascii="仿宋" w:hAnsi="仿宋" w:eastAsia="仿宋" w:cs="仿宋"/>
          <w:sz w:val="32"/>
          <w:szCs w:val="32"/>
        </w:rPr>
      </w:pPr>
      <w:r>
        <w:rPr>
          <w:rFonts w:hint="eastAsia" w:ascii="仿宋" w:hAnsi="仿宋" w:eastAsia="仿宋" w:cs="仿宋"/>
          <w:sz w:val="32"/>
          <w:szCs w:val="32"/>
        </w:rPr>
        <w:t>（一）专人驾驶。公务车辆由市局办公室指定的专职驾驶员驾驶和保管，不得将车辆交给非驾驶人员驾驶。副处级以上领导干部不得亲自驾驶公车。</w:t>
      </w:r>
    </w:p>
    <w:p w14:paraId="5B4908C6">
      <w:pPr>
        <w:ind w:firstLine="640" w:firstLineChars="200"/>
        <w:rPr>
          <w:rFonts w:ascii="仿宋" w:hAnsi="仿宋" w:eastAsia="仿宋" w:cs="仿宋"/>
          <w:sz w:val="32"/>
          <w:szCs w:val="32"/>
        </w:rPr>
      </w:pPr>
      <w:r>
        <w:rPr>
          <w:rFonts w:hint="eastAsia" w:ascii="仿宋" w:hAnsi="仿宋" w:eastAsia="仿宋" w:cs="仿宋"/>
          <w:sz w:val="32"/>
          <w:szCs w:val="32"/>
        </w:rPr>
        <w:t>（二）定点维修。车辆驾驶人员应对车辆经常维护保养，定期安全检查。如需要维修的车辆，驾驶人员要事前填写维修登记表，报市局办公室主任审核，经分管领导审批后到指定厂家维修。赴市区外执行公务途中中发生故障的，驾驶人员电话请示市局办公室主任后，本着节约费用的原则就近就便维修。</w:t>
      </w:r>
    </w:p>
    <w:p w14:paraId="7625876A">
      <w:pPr>
        <w:ind w:firstLine="640" w:firstLineChars="200"/>
        <w:rPr>
          <w:rFonts w:ascii="仿宋" w:hAnsi="仿宋" w:eastAsia="仿宋" w:cs="仿宋"/>
          <w:sz w:val="32"/>
          <w:szCs w:val="32"/>
        </w:rPr>
      </w:pPr>
      <w:r>
        <w:rPr>
          <w:rFonts w:hint="eastAsia" w:ascii="仿宋" w:hAnsi="仿宋" w:eastAsia="仿宋" w:cs="仿宋"/>
          <w:sz w:val="32"/>
          <w:szCs w:val="32"/>
        </w:rPr>
        <w:t>（三）刷卡加油。公务用车实行IC卡加油制度，车辆出差在外地或因未联网等原因无法凭卡加油的，可付现金加油，返回后凭公务卡结算票据及时办理报销手续。</w:t>
      </w:r>
    </w:p>
    <w:p w14:paraId="3AE3D166">
      <w:pPr>
        <w:ind w:firstLine="640" w:firstLineChars="200"/>
        <w:rPr>
          <w:rFonts w:ascii="仿宋" w:hAnsi="仿宋" w:eastAsia="仿宋" w:cs="仿宋"/>
          <w:sz w:val="32"/>
          <w:szCs w:val="32"/>
        </w:rPr>
      </w:pPr>
      <w:r>
        <w:rPr>
          <w:rFonts w:hint="eastAsia" w:ascii="仿宋" w:hAnsi="仿宋" w:eastAsia="仿宋" w:cs="仿宋"/>
          <w:sz w:val="32"/>
          <w:szCs w:val="32"/>
        </w:rPr>
        <w:t>（四）单车记录。 建立公务用车运行、燃油和维修单车登记制度，由市局办公室主任负责逐车逐次登记单车情况。同时，市局办公室要定期对耗油量与行驶路程进行对比检查，每季度末向分管领导报告单车运行、燃油和维修情况。</w:t>
      </w:r>
    </w:p>
    <w:p w14:paraId="13C90BD0">
      <w:pPr>
        <w:ind w:firstLine="643" w:firstLineChars="200"/>
        <w:rPr>
          <w:rFonts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十条禁令</w:t>
      </w:r>
    </w:p>
    <w:p w14:paraId="6145386F">
      <w:pPr>
        <w:ind w:firstLine="640" w:firstLineChars="200"/>
        <w:rPr>
          <w:rFonts w:ascii="仿宋" w:hAnsi="仿宋" w:eastAsia="仿宋" w:cs="仿宋"/>
          <w:sz w:val="32"/>
          <w:szCs w:val="32"/>
        </w:rPr>
      </w:pPr>
      <w:r>
        <w:rPr>
          <w:rFonts w:hint="eastAsia" w:ascii="仿宋" w:hAnsi="仿宋" w:eastAsia="仿宋" w:cs="仿宋"/>
          <w:sz w:val="32"/>
          <w:szCs w:val="32"/>
        </w:rPr>
        <w:t>1、严禁为非警务用车配备安装警灯、警报器和转借、挪用、套制、伪造、涂改警车牌证，私自喷涂警车外观标志。</w:t>
      </w:r>
    </w:p>
    <w:p w14:paraId="1EC3AB17">
      <w:pPr>
        <w:ind w:firstLine="640" w:firstLineChars="200"/>
        <w:rPr>
          <w:rFonts w:ascii="仿宋" w:hAnsi="仿宋" w:eastAsia="仿宋" w:cs="仿宋"/>
          <w:sz w:val="32"/>
          <w:szCs w:val="32"/>
        </w:rPr>
      </w:pPr>
      <w:r>
        <w:rPr>
          <w:rFonts w:hint="eastAsia" w:ascii="仿宋" w:hAnsi="仿宋" w:eastAsia="仿宋" w:cs="仿宋"/>
          <w:sz w:val="32"/>
          <w:szCs w:val="32"/>
        </w:rPr>
        <w:t>2、严禁酒后驾驶车辆。</w:t>
      </w:r>
    </w:p>
    <w:p w14:paraId="7E66AC02">
      <w:pPr>
        <w:ind w:firstLine="640" w:firstLineChars="200"/>
        <w:rPr>
          <w:rFonts w:ascii="仿宋" w:hAnsi="仿宋" w:eastAsia="仿宋" w:cs="仿宋"/>
          <w:sz w:val="32"/>
          <w:szCs w:val="32"/>
        </w:rPr>
      </w:pPr>
      <w:r>
        <w:rPr>
          <w:rFonts w:hint="eastAsia" w:ascii="仿宋" w:hAnsi="仿宋" w:eastAsia="仿宋" w:cs="仿宋"/>
          <w:sz w:val="32"/>
          <w:szCs w:val="32"/>
        </w:rPr>
        <w:t>3、严禁非执行公务使用警报、警灯、双闪开道、开“霸王车”、“特权车”。</w:t>
      </w:r>
    </w:p>
    <w:p w14:paraId="4E165673">
      <w:pPr>
        <w:ind w:firstLine="640" w:firstLineChars="200"/>
        <w:rPr>
          <w:rFonts w:ascii="仿宋" w:hAnsi="仿宋" w:eastAsia="仿宋" w:cs="仿宋"/>
          <w:sz w:val="32"/>
          <w:szCs w:val="32"/>
        </w:rPr>
      </w:pPr>
      <w:r>
        <w:rPr>
          <w:rFonts w:hint="eastAsia" w:ascii="仿宋" w:hAnsi="仿宋" w:eastAsia="仿宋" w:cs="仿宋"/>
          <w:sz w:val="32"/>
          <w:szCs w:val="32"/>
        </w:rPr>
        <w:t>4、严禁警用车辆违反交通规则超速行驶、闯红灯、乱停乱放，不按标志标线行驶。</w:t>
      </w:r>
    </w:p>
    <w:p w14:paraId="74AE3843">
      <w:pPr>
        <w:ind w:firstLine="640" w:firstLineChars="200"/>
        <w:rPr>
          <w:rFonts w:ascii="仿宋" w:hAnsi="仿宋" w:eastAsia="仿宋" w:cs="仿宋"/>
          <w:sz w:val="32"/>
          <w:szCs w:val="32"/>
        </w:rPr>
      </w:pPr>
      <w:r>
        <w:rPr>
          <w:rFonts w:hint="eastAsia" w:ascii="仿宋" w:hAnsi="仿宋" w:eastAsia="仿宋" w:cs="仿宋"/>
          <w:sz w:val="32"/>
          <w:szCs w:val="32"/>
        </w:rPr>
        <w:t>5、严禁将公务车辆交无证人员驾驶。</w:t>
      </w:r>
    </w:p>
    <w:p w14:paraId="0E564684">
      <w:pPr>
        <w:ind w:firstLine="640" w:firstLineChars="200"/>
        <w:rPr>
          <w:rFonts w:ascii="仿宋" w:hAnsi="仿宋" w:eastAsia="仿宋" w:cs="仿宋"/>
          <w:sz w:val="32"/>
          <w:szCs w:val="32"/>
        </w:rPr>
      </w:pPr>
      <w:r>
        <w:rPr>
          <w:rFonts w:hint="eastAsia" w:ascii="仿宋" w:hAnsi="仿宋" w:eastAsia="仿宋" w:cs="仿宋"/>
          <w:sz w:val="32"/>
          <w:szCs w:val="32"/>
        </w:rPr>
        <w:t>6、严禁将公务车辆借给外单位和个人使用。</w:t>
      </w:r>
    </w:p>
    <w:p w14:paraId="4E1310CC">
      <w:pPr>
        <w:ind w:firstLine="640" w:firstLineChars="200"/>
        <w:rPr>
          <w:rFonts w:ascii="仿宋" w:hAnsi="仿宋" w:eastAsia="仿宋" w:cs="仿宋"/>
          <w:sz w:val="32"/>
          <w:szCs w:val="32"/>
        </w:rPr>
      </w:pPr>
      <w:r>
        <w:rPr>
          <w:rFonts w:hint="eastAsia" w:ascii="仿宋" w:hAnsi="仿宋" w:eastAsia="仿宋" w:cs="仿宋"/>
          <w:sz w:val="32"/>
          <w:szCs w:val="32"/>
        </w:rPr>
        <w:t>7、严禁将警用和公车牌照外借或挪用牌照。</w:t>
      </w:r>
    </w:p>
    <w:p w14:paraId="73B9F00A">
      <w:pPr>
        <w:ind w:firstLine="640" w:firstLineChars="200"/>
        <w:rPr>
          <w:rFonts w:ascii="仿宋" w:hAnsi="仿宋" w:eastAsia="仿宋" w:cs="仿宋"/>
          <w:sz w:val="32"/>
          <w:szCs w:val="32"/>
        </w:rPr>
      </w:pPr>
      <w:r>
        <w:rPr>
          <w:rFonts w:hint="eastAsia" w:ascii="仿宋" w:hAnsi="仿宋" w:eastAsia="仿宋" w:cs="仿宋"/>
          <w:sz w:val="32"/>
          <w:szCs w:val="32"/>
        </w:rPr>
        <w:t>8、严禁驾驶公务车辆参与婚丧、嫁娶活动和其他非公务活动。</w:t>
      </w:r>
    </w:p>
    <w:p w14:paraId="0B984555">
      <w:pPr>
        <w:ind w:firstLine="640" w:firstLineChars="200"/>
        <w:rPr>
          <w:rFonts w:ascii="仿宋" w:hAnsi="仿宋" w:eastAsia="仿宋" w:cs="仿宋"/>
          <w:sz w:val="32"/>
          <w:szCs w:val="32"/>
        </w:rPr>
      </w:pPr>
      <w:r>
        <w:rPr>
          <w:rFonts w:hint="eastAsia" w:ascii="仿宋" w:hAnsi="仿宋" w:eastAsia="仿宋" w:cs="仿宋"/>
          <w:sz w:val="32"/>
          <w:szCs w:val="32"/>
        </w:rPr>
        <w:t>9、严禁将公务车辆辆停放在酒店、宾馆、娱乐场所和旅游景点。</w:t>
      </w:r>
    </w:p>
    <w:p w14:paraId="4625896D">
      <w:pPr>
        <w:ind w:firstLine="640" w:firstLineChars="200"/>
        <w:rPr>
          <w:rFonts w:ascii="仿宋" w:hAnsi="仿宋" w:eastAsia="仿宋" w:cs="仿宋"/>
          <w:sz w:val="32"/>
          <w:szCs w:val="32"/>
        </w:rPr>
      </w:pPr>
      <w:r>
        <w:rPr>
          <w:rFonts w:hint="eastAsia" w:ascii="仿宋" w:hAnsi="仿宋" w:eastAsia="仿宋" w:cs="仿宋"/>
          <w:sz w:val="32"/>
          <w:szCs w:val="32"/>
        </w:rPr>
        <w:t xml:space="preserve">10、严禁节假日、下班时间非公务使用公车车辆。 </w:t>
      </w:r>
    </w:p>
    <w:p w14:paraId="29427B06">
      <w:pPr>
        <w:ind w:firstLine="640" w:firstLineChars="200"/>
        <w:rPr>
          <w:rFonts w:ascii="仿宋" w:hAnsi="仿宋" w:eastAsia="仿宋" w:cs="仿宋"/>
          <w:sz w:val="32"/>
          <w:szCs w:val="32"/>
        </w:rPr>
      </w:pPr>
      <w:r>
        <w:rPr>
          <w:rFonts w:hint="eastAsia" w:ascii="仿宋" w:hAnsi="仿宋" w:eastAsia="仿宋" w:cs="仿宋"/>
          <w:sz w:val="32"/>
          <w:szCs w:val="32"/>
        </w:rPr>
        <w:t>为保障全局各单位财务活动真实合法，资金使用安全，各项收支业务审批程序口径统一，执行制度有章可依，本制度适用全局各单位，请直属事业单位、分局严格落实各项制度要求，确保财务活动合法、有效开展。</w:t>
      </w:r>
    </w:p>
    <w:p w14:paraId="62372DC6">
      <w:pPr>
        <w:rPr>
          <w:rFonts w:ascii="仿宋" w:hAnsi="仿宋" w:eastAsia="仿宋" w:cs="仿宋"/>
          <w:sz w:val="32"/>
          <w:szCs w:val="32"/>
        </w:rPr>
      </w:pPr>
      <w:r>
        <w:rPr>
          <w:rFonts w:hint="eastAsia" w:ascii="仿宋" w:hAnsi="仿宋" w:eastAsia="仿宋" w:cs="仿宋"/>
          <w:sz w:val="32"/>
          <w:szCs w:val="32"/>
        </w:rPr>
        <w:br w:type="page"/>
      </w:r>
    </w:p>
    <w:p w14:paraId="7B8E7688">
      <w:pP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 xml:space="preserve">          白城市司法局财务管理制度</w:t>
      </w:r>
    </w:p>
    <w:p w14:paraId="4162EDA6">
      <w:pPr>
        <w:tabs>
          <w:tab w:val="center" w:pos="4156"/>
        </w:tabs>
        <w:spacing w:line="560" w:lineRule="exact"/>
        <w:jc w:val="center"/>
        <w:rPr>
          <w:rFonts w:ascii="方正小标宋_GBK" w:hAnsi="方正小标宋_GBK" w:eastAsia="方正小标宋_GBK" w:cs="方正小标宋_GBK"/>
          <w:bCs/>
          <w:sz w:val="44"/>
          <w:szCs w:val="44"/>
        </w:rPr>
      </w:pPr>
    </w:p>
    <w:p w14:paraId="26B63615">
      <w:pPr>
        <w:tabs>
          <w:tab w:val="center" w:pos="4156"/>
        </w:tabs>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总   则</w:t>
      </w:r>
    </w:p>
    <w:p w14:paraId="68DA177F">
      <w:pPr>
        <w:spacing w:line="560" w:lineRule="exact"/>
        <w:jc w:val="center"/>
        <w:rPr>
          <w:rFonts w:ascii="仿宋_GB2312" w:hAnsi="仿宋" w:eastAsia="仿宋_GB2312" w:cs="宋体"/>
          <w:b/>
          <w:sz w:val="32"/>
          <w:szCs w:val="32"/>
        </w:rPr>
      </w:pPr>
      <w:r>
        <w:rPr>
          <w:rFonts w:hint="eastAsia" w:ascii="仿宋_GB2312" w:hAnsi="仿宋" w:eastAsia="仿宋_GB2312" w:cs="宋体"/>
          <w:b/>
          <w:sz w:val="32"/>
          <w:szCs w:val="32"/>
        </w:rPr>
        <w:t>第一章 依 据</w:t>
      </w:r>
    </w:p>
    <w:p w14:paraId="475A6A1A">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根据《行政事业单位内部控制规范（试行）》、《中华人民共和国会计法》、《会计基础工作规范》、《行政单位会计制度》与《行政单位财务规则》，结合本单位实际情况，制定本管理制度。</w:t>
      </w:r>
    </w:p>
    <w:p w14:paraId="5E3FDC19">
      <w:pPr>
        <w:tabs>
          <w:tab w:val="left" w:pos="720"/>
        </w:tabs>
        <w:spacing w:line="560" w:lineRule="exact"/>
        <w:ind w:firstLine="643" w:firstLineChars="200"/>
        <w:rPr>
          <w:rFonts w:ascii="仿宋_GB2312" w:hAnsi="仿宋" w:eastAsia="仿宋_GB2312" w:cs="宋体"/>
          <w:sz w:val="32"/>
          <w:szCs w:val="32"/>
        </w:rPr>
      </w:pPr>
      <w:r>
        <w:rPr>
          <w:rFonts w:hint="eastAsia" w:ascii="仿宋_GB2312" w:hAnsi="仿宋" w:eastAsia="仿宋_GB2312" w:cs="宋体"/>
          <w:b/>
          <w:sz w:val="32"/>
          <w:szCs w:val="32"/>
        </w:rPr>
        <w:t>第一条</w:t>
      </w:r>
      <w:r>
        <w:rPr>
          <w:rFonts w:hint="eastAsia" w:ascii="仿宋_GB2312" w:hAnsi="仿宋" w:eastAsia="仿宋_GB2312" w:cs="宋体"/>
          <w:sz w:val="32"/>
          <w:szCs w:val="32"/>
        </w:rPr>
        <w:t xml:space="preserve"> 单位应严格按照《中华人民共和国会计法》和国家统一的会计制度规定建立会计账册，进行财务核算。</w:t>
      </w:r>
    </w:p>
    <w:p w14:paraId="7055DEC1">
      <w:pPr>
        <w:spacing w:line="560" w:lineRule="exact"/>
        <w:ind w:firstLine="643" w:firstLineChars="200"/>
        <w:rPr>
          <w:rFonts w:ascii="仿宋_GB2312" w:hAnsi="仿宋" w:eastAsia="仿宋_GB2312" w:cs="宋体"/>
          <w:sz w:val="32"/>
          <w:szCs w:val="32"/>
        </w:rPr>
      </w:pPr>
      <w:r>
        <w:rPr>
          <w:rFonts w:hint="eastAsia" w:ascii="仿宋_GB2312" w:hAnsi="仿宋" w:eastAsia="仿宋_GB2312" w:cs="宋体"/>
          <w:b/>
          <w:sz w:val="32"/>
          <w:szCs w:val="32"/>
        </w:rPr>
        <w:t>第二条</w:t>
      </w:r>
      <w:r>
        <w:rPr>
          <w:rFonts w:hint="eastAsia" w:ascii="仿宋_GB2312" w:hAnsi="仿宋" w:eastAsia="仿宋_GB2312" w:cs="宋体"/>
          <w:sz w:val="32"/>
          <w:szCs w:val="32"/>
        </w:rPr>
        <w:t xml:space="preserve"> 根据实际发生的经济业务事项，及时进行账务处理、编制财务会计报告，确保财务信息真实、完整。</w:t>
      </w:r>
    </w:p>
    <w:p w14:paraId="63673935">
      <w:pPr>
        <w:spacing w:line="560" w:lineRule="exact"/>
        <w:jc w:val="center"/>
        <w:rPr>
          <w:rFonts w:ascii="仿宋_GB2312" w:hAnsi="仿宋" w:eastAsia="仿宋_GB2312" w:cs="宋体"/>
          <w:b/>
          <w:sz w:val="32"/>
          <w:szCs w:val="32"/>
        </w:rPr>
      </w:pPr>
      <w:r>
        <w:rPr>
          <w:rFonts w:hint="eastAsia" w:ascii="仿宋_GB2312" w:hAnsi="仿宋" w:eastAsia="仿宋_GB2312" w:cs="宋体"/>
          <w:b/>
          <w:sz w:val="32"/>
          <w:szCs w:val="32"/>
        </w:rPr>
        <w:t>第二章 会计人员岗位和人员配置</w:t>
      </w:r>
    </w:p>
    <w:p w14:paraId="40750D86">
      <w:pPr>
        <w:spacing w:line="560" w:lineRule="exact"/>
        <w:ind w:firstLine="643" w:firstLineChars="200"/>
        <w:rPr>
          <w:rFonts w:ascii="仿宋_GB2312" w:hAnsi="仿宋" w:eastAsia="仿宋_GB2312" w:cs="宋体"/>
          <w:sz w:val="32"/>
          <w:szCs w:val="32"/>
        </w:rPr>
      </w:pPr>
      <w:r>
        <w:rPr>
          <w:rFonts w:hint="eastAsia" w:ascii="仿宋_GB2312" w:hAnsi="仿宋" w:eastAsia="仿宋_GB2312" w:cs="宋体"/>
          <w:b/>
          <w:sz w:val="32"/>
          <w:szCs w:val="32"/>
        </w:rPr>
        <w:t>第三条</w:t>
      </w:r>
      <w:r>
        <w:rPr>
          <w:rFonts w:hint="eastAsia" w:ascii="仿宋_GB2312" w:hAnsi="仿宋" w:eastAsia="仿宋_GB2312" w:cs="宋体"/>
          <w:sz w:val="32"/>
          <w:szCs w:val="32"/>
        </w:rPr>
        <w:t xml:space="preserve"> 会计人员岗位：单位设会计人员岗位，对单位的经济业务活动进行独立核算，按照工作岗位确定会计人员编制。</w:t>
      </w:r>
    </w:p>
    <w:p w14:paraId="59C1F9C4">
      <w:pPr>
        <w:spacing w:line="560" w:lineRule="exact"/>
        <w:ind w:firstLine="643" w:firstLineChars="200"/>
        <w:rPr>
          <w:rFonts w:ascii="仿宋_GB2312" w:hAnsi="仿宋" w:eastAsia="仿宋_GB2312" w:cs="宋体"/>
          <w:sz w:val="32"/>
          <w:szCs w:val="32"/>
        </w:rPr>
      </w:pPr>
      <w:r>
        <w:rPr>
          <w:rFonts w:hint="eastAsia" w:ascii="仿宋_GB2312" w:hAnsi="仿宋" w:eastAsia="仿宋_GB2312" w:cs="宋体"/>
          <w:b/>
          <w:sz w:val="32"/>
          <w:szCs w:val="32"/>
        </w:rPr>
        <w:t>第四条</w:t>
      </w:r>
      <w:r>
        <w:rPr>
          <w:rFonts w:hint="eastAsia" w:ascii="仿宋_GB2312" w:hAnsi="仿宋" w:eastAsia="仿宋_GB2312" w:cs="宋体"/>
          <w:sz w:val="32"/>
          <w:szCs w:val="32"/>
        </w:rPr>
        <w:t xml:space="preserve"> 会计机构和会计人员的主要职责是：依法进行会计核算，进行会计监督，拟定单位办理财务事务的具体办法，参与拟定经济计划，业务计划，组织预算的编制，监督预算计划的执行，进行决算编制和报送，相关经济业务的核算和绩效核算，办理其他会计事务。</w:t>
      </w:r>
    </w:p>
    <w:p w14:paraId="68F87918">
      <w:pPr>
        <w:spacing w:line="560" w:lineRule="exact"/>
        <w:ind w:firstLine="643" w:firstLineChars="200"/>
        <w:rPr>
          <w:rFonts w:ascii="仿宋_GB2312" w:hAnsi="仿宋" w:eastAsia="仿宋_GB2312" w:cs="宋体"/>
          <w:sz w:val="32"/>
          <w:szCs w:val="32"/>
        </w:rPr>
      </w:pPr>
      <w:r>
        <w:rPr>
          <w:rFonts w:hint="eastAsia" w:ascii="仿宋_GB2312" w:hAnsi="仿宋" w:eastAsia="仿宋_GB2312" w:cs="宋体"/>
          <w:b/>
          <w:sz w:val="32"/>
          <w:szCs w:val="32"/>
        </w:rPr>
        <w:t xml:space="preserve">第五条 </w:t>
      </w:r>
      <w:r>
        <w:rPr>
          <w:rFonts w:hint="eastAsia" w:ascii="仿宋_GB2312" w:hAnsi="仿宋" w:eastAsia="仿宋_GB2312" w:cs="宋体"/>
          <w:sz w:val="32"/>
          <w:szCs w:val="32"/>
        </w:rPr>
        <w:t>会计人员的资格和能力：会计人员应当具备必要的专业知识和专业技能，熟悉国家法律、法规、规章和国家统一会计制度，遵守职业道德。</w:t>
      </w:r>
    </w:p>
    <w:p w14:paraId="3CDD290E">
      <w:pPr>
        <w:spacing w:line="560" w:lineRule="exact"/>
        <w:ind w:firstLine="480"/>
        <w:rPr>
          <w:rFonts w:ascii="仿宋_GB2312" w:hAnsi="仿宋" w:eastAsia="仿宋_GB2312" w:cs="宋体"/>
          <w:sz w:val="32"/>
          <w:szCs w:val="32"/>
        </w:rPr>
      </w:pPr>
      <w:r>
        <w:rPr>
          <w:rFonts w:hint="eastAsia" w:ascii="仿宋_GB2312" w:hAnsi="仿宋" w:eastAsia="仿宋_GB2312" w:cs="宋体"/>
          <w:sz w:val="32"/>
          <w:szCs w:val="32"/>
        </w:rPr>
        <w:t>（一）从事会计工作的人员，需要具备较强的专业能力，能够胜任单位财务岗位工作。</w:t>
      </w:r>
    </w:p>
    <w:p w14:paraId="65F2152F">
      <w:pPr>
        <w:spacing w:line="560" w:lineRule="exact"/>
        <w:ind w:firstLine="480"/>
        <w:rPr>
          <w:rFonts w:ascii="仿宋_GB2312" w:hAnsi="仿宋" w:eastAsia="仿宋_GB2312" w:cs="宋体"/>
          <w:sz w:val="32"/>
          <w:szCs w:val="32"/>
        </w:rPr>
      </w:pPr>
      <w:r>
        <w:rPr>
          <w:rFonts w:hint="eastAsia" w:ascii="仿宋_GB2312" w:hAnsi="仿宋" w:eastAsia="仿宋_GB2312" w:cs="宋体"/>
          <w:sz w:val="32"/>
          <w:szCs w:val="32"/>
        </w:rPr>
        <w:t>（二）会计主管人员，除具备较强的专业能力外，还应当具备初级会计师或以上专业技术职务资格，或者从事会计工作三年以上经历。</w:t>
      </w:r>
    </w:p>
    <w:p w14:paraId="5DF3B8F8">
      <w:pPr>
        <w:spacing w:line="560" w:lineRule="exact"/>
        <w:ind w:firstLine="480"/>
        <w:jc w:val="center"/>
        <w:rPr>
          <w:rFonts w:ascii="仿宋_GB2312" w:hAnsi="仿宋" w:eastAsia="仿宋_GB2312" w:cs="宋体"/>
          <w:b/>
          <w:sz w:val="32"/>
          <w:szCs w:val="32"/>
        </w:rPr>
      </w:pPr>
      <w:r>
        <w:rPr>
          <w:rFonts w:hint="eastAsia" w:ascii="仿宋_GB2312" w:hAnsi="仿宋" w:eastAsia="仿宋_GB2312" w:cs="宋体"/>
          <w:b/>
          <w:sz w:val="32"/>
          <w:szCs w:val="32"/>
        </w:rPr>
        <w:t>第三章 会计从业人员的继续教育</w:t>
      </w:r>
    </w:p>
    <w:p w14:paraId="4C916C8F">
      <w:pPr>
        <w:spacing w:line="560" w:lineRule="exact"/>
        <w:ind w:firstLine="643" w:firstLineChars="200"/>
        <w:rPr>
          <w:rFonts w:ascii="仿宋_GB2312" w:hAnsi="仿宋" w:eastAsia="仿宋_GB2312" w:cs="宋体"/>
          <w:sz w:val="32"/>
          <w:szCs w:val="32"/>
        </w:rPr>
      </w:pPr>
      <w:r>
        <w:rPr>
          <w:rFonts w:hint="eastAsia" w:ascii="仿宋_GB2312" w:hAnsi="仿宋" w:eastAsia="仿宋_GB2312" w:cs="宋体"/>
          <w:b/>
          <w:sz w:val="32"/>
          <w:szCs w:val="32"/>
        </w:rPr>
        <w:t>第六条</w:t>
      </w:r>
      <w:r>
        <w:rPr>
          <w:rFonts w:hint="eastAsia" w:ascii="仿宋_GB2312" w:hAnsi="仿宋" w:eastAsia="仿宋_GB2312" w:cs="宋体"/>
          <w:sz w:val="32"/>
          <w:szCs w:val="32"/>
        </w:rPr>
        <w:t xml:space="preserve"> 单位会计人员必须遵守继续教育的各项规定，自觉按要求参加继续教育培训，按规定完成年度学习任务，努力挺高业务能力和职业道德水平，不断补充、更新、拓展知识和技能。</w:t>
      </w:r>
    </w:p>
    <w:p w14:paraId="5A1CAA61">
      <w:pPr>
        <w:spacing w:line="560" w:lineRule="exact"/>
        <w:ind w:firstLine="643" w:firstLineChars="200"/>
        <w:rPr>
          <w:rFonts w:ascii="仿宋_GB2312" w:hAnsi="仿宋" w:eastAsia="仿宋_GB2312" w:cs="宋体"/>
          <w:sz w:val="32"/>
          <w:szCs w:val="32"/>
        </w:rPr>
      </w:pPr>
      <w:r>
        <w:rPr>
          <w:rFonts w:hint="eastAsia" w:ascii="仿宋_GB2312" w:hAnsi="仿宋" w:eastAsia="仿宋_GB2312" w:cs="宋体"/>
          <w:b/>
          <w:sz w:val="32"/>
          <w:szCs w:val="32"/>
        </w:rPr>
        <w:t>第七条</w:t>
      </w:r>
      <w:r>
        <w:rPr>
          <w:rFonts w:hint="eastAsia" w:ascii="仿宋_GB2312" w:hAnsi="仿宋" w:eastAsia="仿宋_GB2312" w:cs="宋体"/>
          <w:sz w:val="32"/>
          <w:szCs w:val="32"/>
        </w:rPr>
        <w:t xml:space="preserve"> 会计人员在参加继续教育期间，享受与在岗人员同等待遇。</w:t>
      </w:r>
    </w:p>
    <w:p w14:paraId="4C396F83">
      <w:pPr>
        <w:spacing w:line="560" w:lineRule="exact"/>
        <w:ind w:firstLine="643" w:firstLineChars="200"/>
        <w:rPr>
          <w:rFonts w:ascii="仿宋_GB2312" w:hAnsi="仿宋" w:eastAsia="仿宋_GB2312" w:cs="宋体"/>
          <w:sz w:val="32"/>
          <w:szCs w:val="32"/>
        </w:rPr>
      </w:pPr>
      <w:r>
        <w:rPr>
          <w:rFonts w:hint="eastAsia" w:ascii="仿宋_GB2312" w:hAnsi="仿宋" w:eastAsia="仿宋_GB2312" w:cs="宋体"/>
          <w:b/>
          <w:sz w:val="32"/>
          <w:szCs w:val="32"/>
        </w:rPr>
        <w:t>第八条</w:t>
      </w:r>
      <w:r>
        <w:rPr>
          <w:rFonts w:hint="eastAsia" w:ascii="仿宋_GB2312" w:hAnsi="仿宋" w:eastAsia="仿宋_GB2312" w:cs="宋体"/>
          <w:sz w:val="32"/>
          <w:szCs w:val="32"/>
        </w:rPr>
        <w:t xml:space="preserve"> 继续教育的组织与管理，会计人员继续教育实行统一领导和管理的原则，办公室负责做好有关会计人员继续教育的管理工作。</w:t>
      </w:r>
    </w:p>
    <w:p w14:paraId="4E50518E">
      <w:pPr>
        <w:spacing w:line="560" w:lineRule="exact"/>
        <w:ind w:firstLine="480"/>
        <w:jc w:val="center"/>
        <w:rPr>
          <w:rFonts w:ascii="仿宋_GB2312" w:hAnsi="仿宋" w:eastAsia="仿宋_GB2312" w:cs="宋体"/>
          <w:b/>
          <w:sz w:val="32"/>
          <w:szCs w:val="32"/>
        </w:rPr>
      </w:pPr>
      <w:r>
        <w:rPr>
          <w:rFonts w:hint="eastAsia" w:ascii="仿宋_GB2312" w:hAnsi="仿宋" w:eastAsia="仿宋_GB2312" w:cs="宋体"/>
          <w:b/>
          <w:sz w:val="32"/>
          <w:szCs w:val="32"/>
        </w:rPr>
        <w:t>第四章 会计岗位责任制</w:t>
      </w:r>
    </w:p>
    <w:p w14:paraId="19CFB6B4">
      <w:pPr>
        <w:tabs>
          <w:tab w:val="left" w:pos="720"/>
        </w:tabs>
        <w:spacing w:line="560" w:lineRule="exact"/>
        <w:ind w:firstLine="643" w:firstLineChars="200"/>
        <w:rPr>
          <w:rFonts w:ascii="仿宋_GB2312" w:hAnsi="仿宋" w:eastAsia="仿宋_GB2312" w:cs="宋体"/>
          <w:sz w:val="32"/>
          <w:szCs w:val="32"/>
        </w:rPr>
      </w:pPr>
      <w:r>
        <w:rPr>
          <w:rFonts w:hint="eastAsia" w:ascii="仿宋_GB2312" w:hAnsi="仿宋" w:eastAsia="仿宋_GB2312" w:cs="宋体"/>
          <w:b/>
          <w:sz w:val="32"/>
          <w:szCs w:val="32"/>
        </w:rPr>
        <w:t>第九条</w:t>
      </w:r>
      <w:r>
        <w:rPr>
          <w:rFonts w:hint="eastAsia" w:ascii="仿宋_GB2312" w:hAnsi="仿宋" w:eastAsia="仿宋_GB2312" w:cs="宋体"/>
          <w:sz w:val="32"/>
          <w:szCs w:val="32"/>
        </w:rPr>
        <w:t xml:space="preserve"> 单位根据会计业务需要设置会计工作岗位并制定《会计人员岗位职责》不相容岗位相互分离</w:t>
      </w:r>
    </w:p>
    <w:p w14:paraId="1A4C8088">
      <w:pPr>
        <w:spacing w:line="560" w:lineRule="exact"/>
        <w:ind w:firstLine="643"/>
        <w:rPr>
          <w:rFonts w:ascii="仿宋_GB2312" w:hAnsi="仿宋" w:eastAsia="仿宋_GB2312" w:cs="宋体"/>
          <w:sz w:val="32"/>
          <w:szCs w:val="32"/>
        </w:rPr>
      </w:pPr>
      <w:r>
        <w:rPr>
          <w:rFonts w:hint="eastAsia" w:ascii="仿宋_GB2312" w:hAnsi="仿宋" w:eastAsia="仿宋_GB2312" w:cs="宋体"/>
          <w:b/>
          <w:sz w:val="32"/>
          <w:szCs w:val="32"/>
        </w:rPr>
        <w:t>第十条</w:t>
      </w:r>
      <w:r>
        <w:rPr>
          <w:rFonts w:hint="eastAsia" w:ascii="仿宋_GB2312" w:hAnsi="仿宋" w:eastAsia="仿宋_GB2312" w:cs="宋体"/>
          <w:sz w:val="32"/>
          <w:szCs w:val="32"/>
        </w:rPr>
        <w:t xml:space="preserve"> 会计岗位可以一人一岗，一人多岗或者一岗多人，出纳员不得兼任稽核、会计档案保管和收入、费用、债券、债务账目的登记工作，出纳员之外的会计人员不得管理现金，有价证券和票据；会计主管人员不得兼任出纳工作，会计人员的工作岗位有计划地进行轮换。</w:t>
      </w:r>
    </w:p>
    <w:p w14:paraId="62344301">
      <w:pPr>
        <w:tabs>
          <w:tab w:val="left" w:pos="720"/>
          <w:tab w:val="left" w:pos="900"/>
        </w:tabs>
        <w:spacing w:line="560" w:lineRule="exact"/>
        <w:ind w:firstLine="643" w:firstLineChars="200"/>
        <w:rPr>
          <w:rFonts w:ascii="仿宋_GB2312" w:hAnsi="仿宋" w:eastAsia="仿宋_GB2312" w:cs="宋体"/>
          <w:sz w:val="32"/>
          <w:szCs w:val="32"/>
        </w:rPr>
      </w:pPr>
      <w:r>
        <w:rPr>
          <w:rFonts w:hint="eastAsia" w:ascii="仿宋_GB2312" w:hAnsi="仿宋" w:eastAsia="仿宋_GB2312" w:cs="宋体"/>
          <w:b/>
          <w:sz w:val="32"/>
          <w:szCs w:val="32"/>
        </w:rPr>
        <w:t>第十一条</w:t>
      </w:r>
      <w:r>
        <w:rPr>
          <w:rFonts w:hint="eastAsia" w:ascii="仿宋_GB2312" w:hAnsi="仿宋" w:eastAsia="仿宋_GB2312" w:cs="宋体"/>
          <w:sz w:val="32"/>
          <w:szCs w:val="32"/>
        </w:rPr>
        <w:t xml:space="preserve"> 单位任用会计人员应当实行回避制度，单位领导的直系亲属不得担任本单位的会计机构负责人、出纳员。会计机构负责人的直系亲属不得担任本单位会计机构出纳工作。</w:t>
      </w:r>
    </w:p>
    <w:p w14:paraId="368A4C25">
      <w:pPr>
        <w:tabs>
          <w:tab w:val="left" w:pos="720"/>
          <w:tab w:val="left" w:pos="900"/>
        </w:tabs>
        <w:spacing w:line="560" w:lineRule="exact"/>
        <w:ind w:firstLine="643" w:firstLineChars="200"/>
        <w:jc w:val="center"/>
        <w:rPr>
          <w:rFonts w:ascii="仿宋_GB2312" w:hAnsi="仿宋" w:eastAsia="仿宋_GB2312" w:cs="宋体"/>
          <w:b/>
          <w:sz w:val="32"/>
          <w:szCs w:val="32"/>
        </w:rPr>
      </w:pPr>
      <w:r>
        <w:rPr>
          <w:rFonts w:hint="eastAsia" w:ascii="仿宋_GB2312" w:hAnsi="仿宋" w:eastAsia="仿宋_GB2312" w:cs="宋体"/>
          <w:b/>
          <w:sz w:val="32"/>
          <w:szCs w:val="32"/>
        </w:rPr>
        <w:t>第五章 财务核算</w:t>
      </w:r>
    </w:p>
    <w:p w14:paraId="53AE4E5A">
      <w:pPr>
        <w:spacing w:line="560" w:lineRule="exact"/>
        <w:ind w:firstLine="643" w:firstLineChars="200"/>
        <w:rPr>
          <w:rFonts w:ascii="仿宋_GB2312" w:hAnsi="仿宋" w:eastAsia="仿宋_GB2312" w:cs="宋体"/>
          <w:sz w:val="32"/>
          <w:szCs w:val="32"/>
        </w:rPr>
      </w:pPr>
      <w:r>
        <w:rPr>
          <w:rFonts w:hint="eastAsia" w:ascii="仿宋_GB2312" w:hAnsi="仿宋" w:eastAsia="仿宋_GB2312" w:cs="宋体"/>
          <w:b/>
          <w:sz w:val="32"/>
          <w:szCs w:val="32"/>
        </w:rPr>
        <w:t>第十二条</w:t>
      </w:r>
      <w:r>
        <w:rPr>
          <w:rFonts w:hint="eastAsia" w:ascii="仿宋_GB2312" w:hAnsi="仿宋" w:eastAsia="仿宋_GB2312" w:cs="宋体"/>
          <w:sz w:val="32"/>
          <w:szCs w:val="32"/>
        </w:rPr>
        <w:t xml:space="preserve"> 财务核算</w:t>
      </w:r>
    </w:p>
    <w:p w14:paraId="2E7EC33C">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财务核算是以货币为主要计量单位，运用专门的会计方法，对单位经济活动或者预算执行过程及其结果进行连续、系统、全面地记录、计算和分析，定期编制并提供财务会计报告和其他一系列内部管理所需的会计资料，为单位领导班子做出决策和宏观经济管理提供依据的一项会计活动。</w:t>
      </w:r>
    </w:p>
    <w:p w14:paraId="7C3F4B5C">
      <w:pPr>
        <w:spacing w:line="560" w:lineRule="exact"/>
        <w:ind w:firstLine="643" w:firstLineChars="200"/>
        <w:rPr>
          <w:rFonts w:ascii="仿宋_GB2312" w:hAnsi="仿宋" w:eastAsia="仿宋_GB2312" w:cs="宋体"/>
          <w:sz w:val="32"/>
          <w:szCs w:val="32"/>
        </w:rPr>
      </w:pPr>
      <w:r>
        <w:rPr>
          <w:rFonts w:hint="eastAsia" w:ascii="仿宋_GB2312" w:hAnsi="仿宋" w:eastAsia="仿宋_GB2312" w:cs="宋体"/>
          <w:b/>
          <w:sz w:val="32"/>
          <w:szCs w:val="32"/>
        </w:rPr>
        <w:t>第十三条</w:t>
      </w:r>
      <w:r>
        <w:rPr>
          <w:rFonts w:hint="eastAsia" w:ascii="仿宋_GB2312" w:hAnsi="仿宋" w:eastAsia="仿宋_GB2312" w:cs="宋体"/>
          <w:sz w:val="32"/>
          <w:szCs w:val="32"/>
        </w:rPr>
        <w:t xml:space="preserve"> 财务核算的内容：</w:t>
      </w:r>
    </w:p>
    <w:p w14:paraId="0A00A826">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单位发生下列事项，应当办理</w:t>
      </w:r>
      <w:r>
        <w:fldChar w:fldCharType="begin"/>
      </w:r>
      <w:r>
        <w:instrText xml:space="preserve"> HYPERLINK "http://baike.baidu.com/view/4407859.htm" \t "_blank" </w:instrText>
      </w:r>
      <w:r>
        <w:fldChar w:fldCharType="separate"/>
      </w:r>
      <w:r>
        <w:rPr>
          <w:rFonts w:hint="eastAsia" w:ascii="仿宋_GB2312" w:hAnsi="仿宋" w:eastAsia="仿宋_GB2312" w:cs="宋体"/>
          <w:sz w:val="32"/>
          <w:szCs w:val="32"/>
        </w:rPr>
        <w:t>会计手续</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t>，进行财务核算：</w:t>
      </w:r>
    </w:p>
    <w:p w14:paraId="514B5E2F">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（一）款项和有价证券的收付；</w:t>
      </w:r>
    </w:p>
    <w:p w14:paraId="3513B847">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（二）财物的收发、增减和使用；</w:t>
      </w:r>
    </w:p>
    <w:p w14:paraId="325C3D5A">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（三）债权债务的发生和结算；</w:t>
      </w:r>
    </w:p>
    <w:p w14:paraId="46B93E12">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（四）</w:t>
      </w:r>
      <w:r>
        <w:fldChar w:fldCharType="begin"/>
      </w:r>
      <w:r>
        <w:instrText xml:space="preserve"> HYPERLINK "http://baike.baidu.com/view/55918.htm" \t "_blank" </w:instrText>
      </w:r>
      <w:r>
        <w:fldChar w:fldCharType="separate"/>
      </w:r>
      <w:r>
        <w:rPr>
          <w:rFonts w:hint="eastAsia" w:ascii="仿宋_GB2312" w:hAnsi="仿宋" w:eastAsia="仿宋_GB2312" w:cs="宋体"/>
          <w:sz w:val="32"/>
          <w:szCs w:val="32"/>
        </w:rPr>
        <w:t>资本</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t>、基金的增减；</w:t>
      </w:r>
    </w:p>
    <w:p w14:paraId="52CB1E2D">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（五）</w:t>
      </w:r>
      <w:r>
        <w:fldChar w:fldCharType="begin"/>
      </w:r>
      <w:r>
        <w:instrText xml:space="preserve"> HYPERLINK "http://baike.baidu.com/view/604597.htm" \t "_blank" </w:instrText>
      </w:r>
      <w:r>
        <w:fldChar w:fldCharType="separate"/>
      </w:r>
      <w:r>
        <w:rPr>
          <w:rFonts w:hint="eastAsia" w:ascii="仿宋_GB2312" w:hAnsi="仿宋" w:eastAsia="仿宋_GB2312" w:cs="宋体"/>
          <w:sz w:val="32"/>
          <w:szCs w:val="32"/>
        </w:rPr>
        <w:t>收入</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t>、支出、</w:t>
      </w:r>
      <w:r>
        <w:fldChar w:fldCharType="begin"/>
      </w:r>
      <w:r>
        <w:instrText xml:space="preserve"> HYPERLINK "http://baike.baidu.com/view/514167.htm" \t "_blank" </w:instrText>
      </w:r>
      <w:r>
        <w:fldChar w:fldCharType="separate"/>
      </w:r>
      <w:r>
        <w:rPr>
          <w:rFonts w:hint="eastAsia" w:ascii="仿宋_GB2312" w:hAnsi="仿宋" w:eastAsia="仿宋_GB2312" w:cs="宋体"/>
          <w:sz w:val="32"/>
          <w:szCs w:val="32"/>
        </w:rPr>
        <w:t>费用</w:t>
      </w:r>
      <w:r>
        <w:rPr>
          <w:rFonts w:hint="eastAsia" w:ascii="仿宋_GB2312" w:hAnsi="仿宋" w:eastAsia="仿宋_GB2312" w:cs="宋体"/>
          <w:sz w:val="32"/>
          <w:szCs w:val="32"/>
        </w:rPr>
        <w:fldChar w:fldCharType="end"/>
      </w:r>
      <w:r>
        <w:rPr>
          <w:rFonts w:hint="eastAsia" w:ascii="仿宋_GB2312" w:hAnsi="仿宋" w:eastAsia="仿宋_GB2312" w:cs="宋体"/>
          <w:sz w:val="32"/>
          <w:szCs w:val="32"/>
        </w:rPr>
        <w:t>、成本的计算；</w:t>
      </w:r>
    </w:p>
    <w:p w14:paraId="1200DA3E">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（六）财务成果的计算和处理；</w:t>
      </w:r>
    </w:p>
    <w:p w14:paraId="54C78C35">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（七）需要办理会计手续、进行财务核算的其他事项。</w:t>
      </w:r>
    </w:p>
    <w:p w14:paraId="66A03094">
      <w:pPr>
        <w:spacing w:line="560" w:lineRule="exact"/>
        <w:ind w:firstLine="643" w:firstLineChars="200"/>
        <w:rPr>
          <w:rFonts w:ascii="仿宋_GB2312" w:hAnsi="仿宋" w:eastAsia="仿宋_GB2312" w:cs="宋体"/>
          <w:sz w:val="32"/>
          <w:szCs w:val="32"/>
        </w:rPr>
      </w:pPr>
      <w:bookmarkStart w:id="0" w:name="sub464017_2"/>
      <w:bookmarkEnd w:id="0"/>
      <w:bookmarkStart w:id="1" w:name="2"/>
      <w:bookmarkEnd w:id="1"/>
      <w:r>
        <w:rPr>
          <w:rFonts w:hint="eastAsia" w:ascii="仿宋_GB2312" w:hAnsi="仿宋" w:eastAsia="仿宋_GB2312" w:cs="宋体"/>
          <w:b/>
          <w:sz w:val="32"/>
          <w:szCs w:val="32"/>
        </w:rPr>
        <w:t>第十四条</w:t>
      </w:r>
      <w:r>
        <w:rPr>
          <w:rFonts w:hint="eastAsia" w:ascii="仿宋_GB2312" w:hAnsi="仿宋" w:eastAsia="仿宋_GB2312" w:cs="宋体"/>
          <w:sz w:val="32"/>
          <w:szCs w:val="32"/>
        </w:rPr>
        <w:t xml:space="preserve"> 单位的财务核算应当以实际发生的经济业务为依据，按照规定的会计政策和处理方法进行。会计政策需要调整的，按照国家统一的会计制度规定办理。</w:t>
      </w:r>
    </w:p>
    <w:p w14:paraId="1AFD4837">
      <w:pPr>
        <w:tabs>
          <w:tab w:val="left" w:pos="720"/>
          <w:tab w:val="left" w:pos="900"/>
        </w:tabs>
        <w:spacing w:line="560" w:lineRule="exact"/>
        <w:ind w:firstLine="643" w:firstLineChars="200"/>
        <w:rPr>
          <w:rFonts w:ascii="仿宋_GB2312" w:hAnsi="仿宋" w:eastAsia="仿宋_GB2312" w:cs="宋体"/>
          <w:sz w:val="32"/>
          <w:szCs w:val="32"/>
        </w:rPr>
      </w:pPr>
      <w:r>
        <w:rPr>
          <w:rFonts w:hint="eastAsia" w:ascii="仿宋_GB2312" w:hAnsi="仿宋" w:eastAsia="仿宋_GB2312" w:cs="宋体"/>
          <w:b/>
          <w:sz w:val="32"/>
          <w:szCs w:val="32"/>
        </w:rPr>
        <w:t>第十五条</w:t>
      </w:r>
      <w:r>
        <w:rPr>
          <w:rFonts w:hint="eastAsia" w:ascii="仿宋_GB2312" w:hAnsi="仿宋" w:eastAsia="仿宋_GB2312" w:cs="宋体"/>
          <w:sz w:val="32"/>
          <w:szCs w:val="32"/>
        </w:rPr>
        <w:t xml:space="preserve"> 财务核算的程序</w:t>
      </w:r>
    </w:p>
    <w:p w14:paraId="5A469EE5">
      <w:pPr>
        <w:tabs>
          <w:tab w:val="left" w:pos="720"/>
          <w:tab w:val="left" w:pos="900"/>
        </w:tabs>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（一）审核原始凭证。</w:t>
      </w:r>
    </w:p>
    <w:p w14:paraId="26A88E9F">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（二）编制和复核记账凭证。</w:t>
      </w:r>
    </w:p>
    <w:p w14:paraId="0B1FCD86">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（三）登记账簿。</w:t>
      </w:r>
    </w:p>
    <w:p w14:paraId="37A4C8C4">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（四）对账、结账。</w:t>
      </w:r>
    </w:p>
    <w:p w14:paraId="332B174E">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（五）编制会计报表。</w:t>
      </w:r>
    </w:p>
    <w:p w14:paraId="3EF9455A">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（六）装订会计凭证。</w:t>
      </w:r>
    </w:p>
    <w:p w14:paraId="160E3F1F">
      <w:pPr>
        <w:tabs>
          <w:tab w:val="left" w:pos="720"/>
        </w:tabs>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（七）保管会计档案。</w:t>
      </w:r>
    </w:p>
    <w:p w14:paraId="091742AC">
      <w:pPr>
        <w:tabs>
          <w:tab w:val="left" w:pos="540"/>
          <w:tab w:val="left" w:pos="720"/>
        </w:tabs>
        <w:spacing w:line="560" w:lineRule="exact"/>
        <w:ind w:firstLine="643" w:firstLineChars="200"/>
        <w:rPr>
          <w:rFonts w:ascii="仿宋_GB2312" w:hAnsi="仿宋" w:eastAsia="仿宋_GB2312" w:cs="宋体"/>
          <w:sz w:val="32"/>
          <w:szCs w:val="32"/>
        </w:rPr>
      </w:pPr>
      <w:r>
        <w:rPr>
          <w:rFonts w:hint="eastAsia" w:ascii="仿宋_GB2312" w:hAnsi="仿宋" w:eastAsia="仿宋_GB2312" w:cs="宋体"/>
          <w:b/>
          <w:sz w:val="32"/>
          <w:szCs w:val="32"/>
        </w:rPr>
        <w:t>第十六条</w:t>
      </w:r>
      <w:r>
        <w:rPr>
          <w:rFonts w:hint="eastAsia" w:ascii="仿宋_GB2312" w:hAnsi="仿宋" w:eastAsia="仿宋_GB2312" w:cs="宋体"/>
          <w:sz w:val="32"/>
          <w:szCs w:val="32"/>
        </w:rPr>
        <w:t xml:space="preserve"> 原始凭证的基本要求</w:t>
      </w:r>
    </w:p>
    <w:p w14:paraId="71CBA430">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（一）原始凭证的内容必须具备：凭证的名称；填制凭证的日期；填制凭证单位名称或者填制人姓名；相关责任人员的签章；接受凭证单位名称；经济业务内容；数量、单价和金额。</w:t>
      </w:r>
    </w:p>
    <w:p w14:paraId="6F20FF8A">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二）从外单位取得的原始凭证，必须按照有关规定加盖填制单位相应的公章。从个人取得的原始凭证，必须有填制人员的签章。自制原始凭证必须有经办单位负责人或者其指定的人员签章。对外开出的原始凭证，必须加盖本单位公章。</w:t>
      </w:r>
    </w:p>
    <w:p w14:paraId="6A609532">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（三）购买实物的原始凭证，必须有验收证明。支付款项的原始凭证，必须有收款单位和收款人的收款依据。其他事项的原始凭证，也应当履行经办人、证明人和审批人员的责任手续。</w:t>
      </w:r>
    </w:p>
    <w:p w14:paraId="3C7C4AD6">
      <w:pPr>
        <w:tabs>
          <w:tab w:val="left" w:pos="720"/>
        </w:tabs>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（四）凡填有大写和小写金额的原始凭证，大写与小写金额必须相符。</w:t>
      </w:r>
    </w:p>
    <w:p w14:paraId="4C8A78AA">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（五）一式多联的原始凭证，应当注明各联的用途，只能以加盖公章的其中一联作为报销凭证。</w:t>
      </w:r>
    </w:p>
    <w:p w14:paraId="135DDC58">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（六）职工因公借款的凭据，必须附在记账凭证之后。收回借款时，应当另开收据或退还借据副本，不得退还原借款收据。</w:t>
      </w:r>
    </w:p>
    <w:p w14:paraId="1D33D585">
      <w:pPr>
        <w:tabs>
          <w:tab w:val="left" w:pos="540"/>
          <w:tab w:val="left" w:pos="720"/>
        </w:tabs>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（七）经上级有关部门批准的经济业务，应当将批准文件作为原始凭证的附件。如果批准文件需要单独归档的，应当在凭证上注明批准机关名称、日期和文件字号或附批准文件复印件。</w:t>
      </w:r>
    </w:p>
    <w:p w14:paraId="7BFC27F8">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（八）原始凭证不得涂改、挖补、刮擦、使用药水消除等。</w:t>
      </w:r>
    </w:p>
    <w:p w14:paraId="3740B4EB">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（九）财务部门受理原始凭证后，应根据情况及时加盖“现金收讫”、“现金付讫”、“转讫”、“附件”、“作废”等印章。</w:t>
      </w:r>
    </w:p>
    <w:p w14:paraId="652E2AF3">
      <w:pPr>
        <w:tabs>
          <w:tab w:val="left" w:pos="720"/>
          <w:tab w:val="left" w:pos="900"/>
        </w:tabs>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（十）原始凭证中涉及附件的，应当确定附件是否符合认定标准。</w:t>
      </w:r>
    </w:p>
    <w:p w14:paraId="03DBD0DA">
      <w:pPr>
        <w:spacing w:line="560" w:lineRule="exact"/>
        <w:ind w:firstLine="643" w:firstLineChars="200"/>
        <w:rPr>
          <w:rFonts w:ascii="仿宋_GB2312" w:hAnsi="仿宋" w:eastAsia="仿宋_GB2312" w:cs="宋体"/>
          <w:sz w:val="32"/>
          <w:szCs w:val="32"/>
        </w:rPr>
      </w:pPr>
      <w:r>
        <w:rPr>
          <w:rFonts w:hint="eastAsia" w:ascii="仿宋_GB2312" w:hAnsi="仿宋" w:eastAsia="仿宋_GB2312" w:cs="宋体"/>
          <w:b/>
          <w:sz w:val="32"/>
          <w:szCs w:val="32"/>
        </w:rPr>
        <w:t>第十七条</w:t>
      </w:r>
      <w:r>
        <w:rPr>
          <w:rFonts w:hint="eastAsia" w:ascii="仿宋_GB2312" w:hAnsi="仿宋" w:eastAsia="仿宋_GB2312" w:cs="宋体"/>
          <w:sz w:val="32"/>
          <w:szCs w:val="32"/>
        </w:rPr>
        <w:t xml:space="preserve"> 原始凭证的审核要求</w:t>
      </w:r>
    </w:p>
    <w:p w14:paraId="2D1AFDBF">
      <w:pPr>
        <w:tabs>
          <w:tab w:val="left" w:pos="720"/>
        </w:tabs>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（一）真实性审核。审核经济业务的双方当事单位和经办人、经济业务发生的时间、地点和凭证日期、经济业务的内容是否真实，涉及实物收付的原始凭证，其数量、单价、金额是否真实准确。 </w:t>
      </w:r>
    </w:p>
    <w:p w14:paraId="7C3D4795">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（二）完整性审核。审核原始凭证是否有收款单位印章、税务或财政监制章，是否为“发票联”，双方经办人是否签名或盖章。原始凭证背面是否有经办人和使用人签名，需经批准的凭证是否有负责人签名。 </w:t>
      </w:r>
    </w:p>
    <w:p w14:paraId="3FDB1EC1">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（三）合法性审核。原始凭证上记录的经济业务是否符合国家财经、会计法律、法规、规章和国家统一会计制度的规定以及符合本单位财务管理制度的规定。 </w:t>
      </w:r>
    </w:p>
    <w:p w14:paraId="53A80A92">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四）对不真实不合法的原始凭证不予接受，并向单位负责人报告；对记载不明确、不完整的原始凭证予以退回，并要求按照规定进行更正、补充。对弄虚作假、严重违法的原始凭证，在不予受理的同时应当予以扣留，并及时向单位负责人报告，请求查明原因，追究当事人的责任。 </w:t>
      </w:r>
    </w:p>
    <w:p w14:paraId="556CCD61">
      <w:pPr>
        <w:tabs>
          <w:tab w:val="left" w:pos="720"/>
        </w:tabs>
        <w:spacing w:line="560" w:lineRule="exact"/>
        <w:ind w:firstLine="643" w:firstLineChars="200"/>
        <w:rPr>
          <w:rFonts w:ascii="仿宋_GB2312" w:hAnsi="仿宋" w:eastAsia="仿宋_GB2312" w:cs="宋体"/>
          <w:sz w:val="32"/>
          <w:szCs w:val="32"/>
        </w:rPr>
      </w:pPr>
      <w:r>
        <w:rPr>
          <w:rFonts w:hint="eastAsia" w:ascii="仿宋_GB2312" w:hAnsi="仿宋" w:eastAsia="仿宋_GB2312" w:cs="宋体"/>
          <w:b/>
          <w:sz w:val="32"/>
          <w:szCs w:val="32"/>
        </w:rPr>
        <w:t>第十八条</w:t>
      </w:r>
      <w:r>
        <w:rPr>
          <w:rFonts w:hint="eastAsia" w:ascii="仿宋_GB2312" w:hAnsi="仿宋" w:eastAsia="仿宋_GB2312" w:cs="宋体"/>
          <w:sz w:val="32"/>
          <w:szCs w:val="32"/>
        </w:rPr>
        <w:t xml:space="preserve"> 记账凭证的基本要求</w:t>
      </w:r>
    </w:p>
    <w:p w14:paraId="2CCACE42">
      <w:pPr>
        <w:tabs>
          <w:tab w:val="left" w:pos="540"/>
          <w:tab w:val="left" w:pos="720"/>
        </w:tabs>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一）记账凭证的内容必须具备：填制凭证的日期；凭证编号；经济业务摘要；会计科目；金额；所附原始凭证张数；填制凭证人员、稽核人员、记账人员、财务负责人签章。以自制的原始凭证或者原始凭证汇总表代替记账凭证的，也必须具备记账凭证应有的项目。</w:t>
      </w:r>
    </w:p>
    <w:p w14:paraId="62E3871E">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（二）填制记账凭证时，应当对记账凭证进行连续编号。一笔经济业务需要填制两张以上记账凭证的，可以采用分数编号法编号。</w:t>
      </w:r>
    </w:p>
    <w:p w14:paraId="2CB295FF">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（三）记账凭证可以根据每一张原始凭证填制，或者根据若干张同类原始凭证汇总填制，也可以根据原始凭证汇总表填制。但不得将不同日期、内容和类别的原始凭证汇总填制在一张记账凭证上。</w:t>
      </w:r>
    </w:p>
    <w:p w14:paraId="0B8E746B">
      <w:pPr>
        <w:tabs>
          <w:tab w:val="left" w:pos="720"/>
        </w:tabs>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（四）除结账的记账凭证可以不附原始凭证外，其他记账凭证必须附有原始凭证。</w:t>
      </w:r>
    </w:p>
    <w:p w14:paraId="326F7148">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（五）如果在填制记账凭证时发生错误，应当重新填制。</w:t>
      </w:r>
    </w:p>
    <w:p w14:paraId="12FB2029">
      <w:pPr>
        <w:tabs>
          <w:tab w:val="left" w:pos="720"/>
        </w:tabs>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六）单位在填制记账凭证的附件张数时，应当以符合原始凭证的证明文件为统计依据。其中，记账凭证的附件不应当包括已经在原始凭证中统计过的附件。即记账凭证中的附件应当以直接的原始凭证为依据，不包括原始凭证中的附件。</w:t>
      </w:r>
    </w:p>
    <w:p w14:paraId="51D82087">
      <w:pPr>
        <w:spacing w:line="560" w:lineRule="exact"/>
        <w:ind w:firstLine="643" w:firstLineChars="200"/>
        <w:rPr>
          <w:rFonts w:ascii="仿宋_GB2312" w:hAnsi="仿宋" w:eastAsia="仿宋_GB2312" w:cs="宋体"/>
          <w:sz w:val="32"/>
          <w:szCs w:val="32"/>
        </w:rPr>
      </w:pPr>
      <w:r>
        <w:rPr>
          <w:rFonts w:hint="eastAsia" w:ascii="仿宋_GB2312" w:hAnsi="仿宋" w:eastAsia="仿宋_GB2312" w:cs="宋体"/>
          <w:b/>
          <w:sz w:val="32"/>
          <w:szCs w:val="32"/>
        </w:rPr>
        <w:t>第十九条</w:t>
      </w:r>
      <w:r>
        <w:rPr>
          <w:rFonts w:hint="eastAsia" w:ascii="仿宋_GB2312" w:hAnsi="仿宋" w:eastAsia="仿宋_GB2312" w:cs="宋体"/>
          <w:sz w:val="32"/>
          <w:szCs w:val="32"/>
        </w:rPr>
        <w:t xml:space="preserve"> 记账凭证的审核内容 </w:t>
      </w:r>
    </w:p>
    <w:p w14:paraId="11E5C05E">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（一）所附原始凭证是否齐全。 </w:t>
      </w:r>
    </w:p>
    <w:p w14:paraId="52AEED2D">
      <w:pPr>
        <w:tabs>
          <w:tab w:val="left" w:pos="720"/>
        </w:tabs>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（二）填制内容是否完整。 </w:t>
      </w:r>
    </w:p>
    <w:p w14:paraId="56E8A34A">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（三）摘要是否符合规定。 </w:t>
      </w:r>
    </w:p>
    <w:p w14:paraId="39314AD3">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（四）金额是否正确； </w:t>
      </w:r>
    </w:p>
    <w:p w14:paraId="491CA368">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（五）会计分录是否正确。 </w:t>
      </w:r>
    </w:p>
    <w:p w14:paraId="389FCA2F">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（六）编号有无重号、漏号现象。</w:t>
      </w:r>
    </w:p>
    <w:p w14:paraId="7B0CC769">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（七）更正错误是否符合规定。 </w:t>
      </w:r>
    </w:p>
    <w:p w14:paraId="22CB6DFE">
      <w:pPr>
        <w:tabs>
          <w:tab w:val="left" w:pos="720"/>
        </w:tabs>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（八）会计凭证传递是否及时。</w:t>
      </w:r>
    </w:p>
    <w:p w14:paraId="4CEC3463">
      <w:pPr>
        <w:spacing w:line="560" w:lineRule="exact"/>
        <w:ind w:firstLine="643" w:firstLineChars="200"/>
        <w:rPr>
          <w:rFonts w:ascii="仿宋_GB2312" w:hAnsi="仿宋" w:eastAsia="仿宋_GB2312" w:cs="宋体"/>
          <w:sz w:val="32"/>
          <w:szCs w:val="32"/>
        </w:rPr>
      </w:pPr>
      <w:r>
        <w:rPr>
          <w:rFonts w:hint="eastAsia" w:ascii="仿宋_GB2312" w:hAnsi="仿宋" w:eastAsia="仿宋_GB2312" w:cs="宋体"/>
          <w:b/>
          <w:sz w:val="32"/>
          <w:szCs w:val="32"/>
        </w:rPr>
        <w:t>第二十条</w:t>
      </w:r>
      <w:r>
        <w:rPr>
          <w:rFonts w:hint="eastAsia" w:ascii="仿宋_GB2312" w:hAnsi="仿宋" w:eastAsia="仿宋_GB2312" w:cs="宋体"/>
          <w:sz w:val="32"/>
          <w:szCs w:val="32"/>
        </w:rPr>
        <w:t xml:space="preserve"> 计算机打印的会计账簿必须连续编号，经审核无误后装订成册，并由记账人员、财务负责人在账簿启用表中签章。总账和明细账应当定期打印。</w:t>
      </w:r>
    </w:p>
    <w:p w14:paraId="69B254E0">
      <w:pPr>
        <w:tabs>
          <w:tab w:val="left" w:pos="720"/>
        </w:tabs>
        <w:spacing w:line="560" w:lineRule="exact"/>
        <w:ind w:firstLine="643" w:firstLineChars="200"/>
        <w:rPr>
          <w:rFonts w:ascii="仿宋_GB2312" w:hAnsi="仿宋" w:eastAsia="仿宋_GB2312" w:cs="宋体"/>
          <w:sz w:val="32"/>
          <w:szCs w:val="32"/>
        </w:rPr>
      </w:pPr>
      <w:r>
        <w:rPr>
          <w:rFonts w:hint="eastAsia" w:ascii="仿宋_GB2312" w:hAnsi="仿宋" w:eastAsia="仿宋_GB2312" w:cs="宋体"/>
          <w:b/>
          <w:sz w:val="32"/>
          <w:szCs w:val="32"/>
        </w:rPr>
        <w:t>第二十一条</w:t>
      </w:r>
      <w:r>
        <w:rPr>
          <w:rFonts w:hint="eastAsia" w:ascii="仿宋_GB2312" w:hAnsi="仿宋" w:eastAsia="仿宋_GB2312" w:cs="宋体"/>
          <w:sz w:val="32"/>
          <w:szCs w:val="32"/>
        </w:rPr>
        <w:t xml:space="preserve"> 单位应当定期对会计账簿记录的有关数字与库存实物、有价证券、往来单位或者个人等进行相互核对，保证账证相符、账账相符、账实相符，包括：</w:t>
      </w:r>
    </w:p>
    <w:p w14:paraId="37674A60">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（一）现金日记账账面余额每日与现金实际库存数核对；</w:t>
      </w:r>
    </w:p>
    <w:p w14:paraId="292FAF20">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（二）银行存款日记账账面余额按月与银行对账单相核对；</w:t>
      </w:r>
    </w:p>
    <w:p w14:paraId="2B22B5E1">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（三）各种财物明细账账面余额定期与财物实存数额相核对；</w:t>
      </w:r>
    </w:p>
    <w:p w14:paraId="2DF47C7F">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（四）各种应收、应付款明细账账面余额定期与有关债务、债权单位或者个人核对等。</w:t>
      </w:r>
    </w:p>
    <w:p w14:paraId="529E5245">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（五）账实核对不相符的，应当查明原因，作相应的账务处理。</w:t>
      </w:r>
    </w:p>
    <w:p w14:paraId="745663C6">
      <w:pPr>
        <w:spacing w:line="560" w:lineRule="exact"/>
        <w:ind w:firstLine="643" w:firstLineChars="200"/>
        <w:rPr>
          <w:rFonts w:ascii="仿宋_GB2312" w:hAnsi="仿宋" w:eastAsia="仿宋_GB2312" w:cs="宋体"/>
          <w:sz w:val="32"/>
          <w:szCs w:val="32"/>
        </w:rPr>
      </w:pPr>
      <w:r>
        <w:rPr>
          <w:rFonts w:hint="eastAsia" w:ascii="仿宋_GB2312" w:hAnsi="仿宋" w:eastAsia="仿宋_GB2312" w:cs="宋体"/>
          <w:b/>
          <w:sz w:val="32"/>
          <w:szCs w:val="32"/>
        </w:rPr>
        <w:t>第二十二条</w:t>
      </w:r>
      <w:r>
        <w:rPr>
          <w:rFonts w:hint="eastAsia" w:ascii="仿宋_GB2312" w:hAnsi="仿宋" w:eastAsia="仿宋_GB2312" w:cs="宋体"/>
          <w:sz w:val="32"/>
          <w:szCs w:val="32"/>
        </w:rPr>
        <w:t xml:space="preserve"> 会计报表应当根据登记完整、核对无误的会计账簿记录和其他有关资料编制，做到数字真实、计算准确、内容完整、说明清楚、报送及时。任何人不得篡改或者授意、指使、强令他人篡改会计报表的有关数字。</w:t>
      </w:r>
    </w:p>
    <w:p w14:paraId="6ADB0B65">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（一）会计报表之间、各会计报表的指标之间，凡有对应关系的数字，应当相互一致。</w:t>
      </w:r>
    </w:p>
    <w:p w14:paraId="1307471C">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（二）本期会计报表与上期会计报表之间有关的数字应当相互衔接，相关可比。</w:t>
      </w:r>
    </w:p>
    <w:p w14:paraId="7271B4A7">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（三）不同会计年度会计报表中各指标的内容、核算方法、会计政策有变更的，应当在年度会计报表中加以说明。</w:t>
      </w:r>
    </w:p>
    <w:p w14:paraId="6B43BE58">
      <w:pPr>
        <w:tabs>
          <w:tab w:val="left" w:pos="720"/>
        </w:tabs>
        <w:spacing w:line="560" w:lineRule="exact"/>
        <w:ind w:firstLine="643" w:firstLineChars="200"/>
        <w:rPr>
          <w:rFonts w:ascii="仿宋_GB2312" w:hAnsi="仿宋" w:eastAsia="仿宋_GB2312" w:cs="宋体"/>
          <w:sz w:val="32"/>
          <w:szCs w:val="32"/>
        </w:rPr>
      </w:pPr>
      <w:r>
        <w:rPr>
          <w:rFonts w:hint="eastAsia" w:ascii="仿宋_GB2312" w:hAnsi="仿宋" w:eastAsia="仿宋_GB2312" w:cs="宋体"/>
          <w:b/>
          <w:sz w:val="32"/>
          <w:szCs w:val="32"/>
        </w:rPr>
        <w:t>第二十三条</w:t>
      </w:r>
      <w:r>
        <w:rPr>
          <w:rFonts w:hint="eastAsia" w:ascii="仿宋_GB2312" w:hAnsi="仿宋" w:eastAsia="仿宋_GB2312" w:cs="宋体"/>
          <w:sz w:val="32"/>
          <w:szCs w:val="32"/>
        </w:rPr>
        <w:t xml:space="preserve"> 财务核算的档案包括会计凭证、会计账簿、财务会计报表和其他会计资料的立卷、归档和保管。年末财务会计将原始凭证和其他会计资料装订成册，打印明细账、总账、会计报表存入档案妥善保管。</w:t>
      </w:r>
    </w:p>
    <w:p w14:paraId="4F605295">
      <w:pPr>
        <w:spacing w:line="560" w:lineRule="exact"/>
        <w:ind w:firstLine="643" w:firstLineChars="200"/>
        <w:rPr>
          <w:rFonts w:ascii="仿宋_GB2312" w:hAnsi="仿宋" w:eastAsia="仿宋_GB2312" w:cs="宋体"/>
          <w:sz w:val="32"/>
          <w:szCs w:val="32"/>
        </w:rPr>
      </w:pPr>
      <w:r>
        <w:rPr>
          <w:rFonts w:hint="eastAsia" w:ascii="仿宋_GB2312" w:hAnsi="仿宋" w:eastAsia="仿宋_GB2312" w:cs="宋体"/>
          <w:b/>
          <w:sz w:val="32"/>
          <w:szCs w:val="32"/>
        </w:rPr>
        <w:t>第二十四条</w:t>
      </w:r>
      <w:r>
        <w:rPr>
          <w:rFonts w:hint="eastAsia" w:ascii="仿宋_GB2312" w:hAnsi="仿宋" w:eastAsia="仿宋_GB2312" w:cs="宋体"/>
          <w:sz w:val="32"/>
          <w:szCs w:val="32"/>
        </w:rPr>
        <w:t xml:space="preserve"> 根据各种财务信息，定期提供财务报告，真实反映单位收支现状，为单位重要事项决策提供参考。</w:t>
      </w:r>
    </w:p>
    <w:p w14:paraId="009A4B66">
      <w:pPr>
        <w:spacing w:line="560" w:lineRule="exact"/>
        <w:ind w:firstLine="643" w:firstLineChars="200"/>
        <w:jc w:val="center"/>
        <w:rPr>
          <w:rFonts w:ascii="仿宋_GB2312" w:hAnsi="仿宋" w:eastAsia="仿宋_GB2312" w:cs="宋体"/>
          <w:b/>
          <w:sz w:val="32"/>
          <w:szCs w:val="32"/>
        </w:rPr>
      </w:pPr>
      <w:r>
        <w:rPr>
          <w:rFonts w:hint="eastAsia" w:ascii="仿宋_GB2312" w:hAnsi="仿宋" w:eastAsia="仿宋_GB2312" w:cs="宋体"/>
          <w:b/>
          <w:sz w:val="32"/>
          <w:szCs w:val="32"/>
        </w:rPr>
        <w:t>第六章 财务核算的内部监督</w:t>
      </w:r>
    </w:p>
    <w:p w14:paraId="43392BC0">
      <w:pPr>
        <w:spacing w:line="560" w:lineRule="exact"/>
        <w:ind w:firstLine="643" w:firstLineChars="200"/>
        <w:rPr>
          <w:rFonts w:ascii="仿宋_GB2312" w:hAnsi="仿宋" w:eastAsia="仿宋_GB2312" w:cs="宋体"/>
          <w:sz w:val="32"/>
          <w:szCs w:val="32"/>
        </w:rPr>
      </w:pPr>
      <w:r>
        <w:rPr>
          <w:rFonts w:hint="eastAsia" w:ascii="仿宋_GB2312" w:hAnsi="仿宋" w:eastAsia="仿宋_GB2312" w:cs="宋体"/>
          <w:b/>
          <w:sz w:val="32"/>
          <w:szCs w:val="32"/>
        </w:rPr>
        <w:t>第二十五条</w:t>
      </w:r>
      <w:r>
        <w:rPr>
          <w:rFonts w:hint="eastAsia" w:ascii="仿宋_GB2312" w:hAnsi="仿宋" w:eastAsia="仿宋_GB2312" w:cs="宋体"/>
          <w:sz w:val="32"/>
          <w:szCs w:val="32"/>
        </w:rPr>
        <w:t xml:space="preserve"> 财务核算的内部审计监督</w:t>
      </w:r>
    </w:p>
    <w:p w14:paraId="4C1E8EDC">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（一）对会计凭证、会计账簿、会计报表和其他会计资料以及有关情况进行审计监督。</w:t>
      </w:r>
    </w:p>
    <w:p w14:paraId="11CAC7AF">
      <w:pPr>
        <w:tabs>
          <w:tab w:val="left" w:pos="720"/>
        </w:tabs>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（二）对财务收支的核算情况进行审计监督。</w:t>
      </w:r>
    </w:p>
    <w:p w14:paraId="10974487">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（三）对政府采购的核算情况进行审计监督。</w:t>
      </w:r>
    </w:p>
    <w:p w14:paraId="143A2CD9">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（四）对资产的核算情况进行审计监督。</w:t>
      </w:r>
    </w:p>
    <w:p w14:paraId="4AD7C2EA">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（五）对建设项目的核算情况进行审计监督。</w:t>
      </w:r>
    </w:p>
    <w:p w14:paraId="51DC05BF">
      <w:pPr>
        <w:tabs>
          <w:tab w:val="left" w:pos="720"/>
          <w:tab w:val="left" w:pos="900"/>
        </w:tabs>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（六）对往来账款的核算情况进行审计监督。</w:t>
      </w:r>
    </w:p>
    <w:p w14:paraId="39EC6343">
      <w:pPr>
        <w:tabs>
          <w:tab w:val="left" w:pos="720"/>
          <w:tab w:val="left" w:pos="900"/>
        </w:tabs>
        <w:spacing w:line="560" w:lineRule="exact"/>
        <w:jc w:val="center"/>
        <w:rPr>
          <w:rFonts w:ascii="黑体" w:hAnsi="仿宋" w:eastAsia="黑体" w:cs="宋体"/>
          <w:b/>
          <w:sz w:val="52"/>
          <w:szCs w:val="52"/>
        </w:rPr>
      </w:pPr>
    </w:p>
    <w:p w14:paraId="7BB29307">
      <w:pPr>
        <w:tabs>
          <w:tab w:val="left" w:pos="720"/>
          <w:tab w:val="left" w:pos="900"/>
        </w:tabs>
        <w:spacing w:line="560" w:lineRule="exact"/>
        <w:jc w:val="center"/>
        <w:rPr>
          <w:rFonts w:ascii="黑体" w:hAnsi="仿宋" w:eastAsia="黑体" w:cs="宋体"/>
          <w:b/>
          <w:sz w:val="52"/>
          <w:szCs w:val="52"/>
        </w:rPr>
      </w:pPr>
      <w:r>
        <w:rPr>
          <w:rFonts w:hint="eastAsia" w:ascii="方正小标宋_GBK" w:hAnsi="方正小标宋_GBK" w:eastAsia="方正小标宋_GBK" w:cs="方正小标宋_GBK"/>
          <w:bCs/>
          <w:sz w:val="44"/>
          <w:szCs w:val="44"/>
        </w:rPr>
        <w:t>财务人员岗位职责</w:t>
      </w:r>
    </w:p>
    <w:p w14:paraId="14C6CA0F">
      <w:pPr>
        <w:tabs>
          <w:tab w:val="left" w:pos="720"/>
          <w:tab w:val="left" w:pos="900"/>
        </w:tabs>
        <w:spacing w:line="560" w:lineRule="exact"/>
        <w:ind w:firstLine="480" w:firstLineChars="150"/>
        <w:rPr>
          <w:rFonts w:ascii="仿宋_GB2312" w:hAnsi="仿宋" w:eastAsia="仿宋_GB2312" w:cs="宋体"/>
          <w:sz w:val="32"/>
          <w:szCs w:val="32"/>
        </w:rPr>
      </w:pPr>
      <w:r>
        <w:rPr>
          <w:rFonts w:hint="eastAsia" w:ascii="仿宋_GB2312" w:hAnsi="仿宋" w:eastAsia="仿宋_GB2312" w:cs="宋体"/>
          <w:sz w:val="32"/>
          <w:szCs w:val="32"/>
        </w:rPr>
        <w:t>根据《中华人民共和国会计法》、《行政单位财务规则》、《行政单位会计制度》等相关法律法规要求，结合本单位的实际财务工作情况，经研究制定本单位财务人员岗位职责，全体财务人员应严格、认真、正确履行职责。</w:t>
      </w:r>
    </w:p>
    <w:p w14:paraId="2B9CDA8E">
      <w:pPr>
        <w:spacing w:line="560" w:lineRule="exact"/>
        <w:jc w:val="center"/>
        <w:rPr>
          <w:rFonts w:ascii="仿宋_GB2312" w:hAnsi="仿宋" w:eastAsia="仿宋_GB2312" w:cs="宋体"/>
          <w:b/>
          <w:sz w:val="32"/>
          <w:szCs w:val="32"/>
        </w:rPr>
      </w:pPr>
      <w:r>
        <w:rPr>
          <w:rFonts w:hint="eastAsia" w:ascii="仿宋_GB2312" w:hAnsi="仿宋" w:eastAsia="仿宋_GB2312" w:cs="宋体"/>
          <w:b/>
          <w:sz w:val="32"/>
          <w:szCs w:val="32"/>
        </w:rPr>
        <w:t>出纳员岗位职责</w:t>
      </w:r>
    </w:p>
    <w:p w14:paraId="1084DF9C">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第一条 熟悉和掌握国家有关现金管理和银行结算制度，依法办理现金收付和银行结算业务。对不真实、不合法的原始凭证，不予受理；对记载不准确、不完整的原始凭证，予以退回，要求更正补充；对签批手续不完备的不予办理；对违反国家财政制度、财务制度规定的收支业务，有权不予办理。</w:t>
      </w:r>
    </w:p>
    <w:p w14:paraId="5F5B7FD6">
      <w:pPr>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第二条 严格按照经费报销审批程序和手续审核报销各项费用，收付款后，加盖“收讫”、“付讫”戳记。对不符合规定要求的，应向经办人讲明不能报销和付款理由，并及时向科室负责人反映。</w:t>
      </w:r>
    </w:p>
    <w:p w14:paraId="25D58A30">
      <w:pPr>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第三条 及时、准确填制记账凭证。每日根据现金日记账账面余额进行库存现金实地盘点，做到日清月结。1000元以上的支付金额原则上不得以现金支付，必须以转账方式支付，如有特殊情况需要现金支付的要经科室负责人批准。日常库存周转金不得超过5000元，如有超出，要及时送存银行。不得以“白条”抵充现金，更不得任意挪用现金、不准私自出借公款。如果发现库存现金有短缺或盈余，应查明原因，根据情况分别处理，不得私下取走或补足。如有短缺，要负赔偿责任。</w:t>
      </w:r>
    </w:p>
    <w:p w14:paraId="20CF58F5">
      <w:pPr>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第四条 认真保管好库存现金和各种有价证券，确保其安全和完整无缺，要保守保险柜密码的秘密，保管好钥匙，不得任意转交他人，钥匙一旦丢失要马上向科室负责人报告。</w:t>
      </w:r>
    </w:p>
    <w:p w14:paraId="1E149D82">
      <w:pPr>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第五条 负责各种银行重要票据的保管与使用，使用时履行登记手续，携带印鉴外出办理业务需经科室负责人批准，并进行使用登记。</w:t>
      </w:r>
    </w:p>
    <w:p w14:paraId="0947EB97">
      <w:pPr>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第六条 负责办理银行结算，规范使用支票。严格按照银行结算制度规定，填写支票进账单并送银行，不可延期送票。办理汇款，注意账号的填写，严禁发生汇款错误的事件。签发支票时应注明收款单位、用途、金额、日期，并经主管会计审核后方可使用。杜绝签发银行空头支票，使用支票应在专设登记簿上签章。对于填写错误的支票，必须加盖“作废”戳记，与存根一并保存，按规定定期销毁支票，遗失时要立即向银行办理挂失手续。</w:t>
      </w:r>
    </w:p>
    <w:p w14:paraId="42CF3572">
      <w:pPr>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第七条 严格遵守《行政单位财务规则》与《行政单位会计制度》及《事业单位财务规则》与《事业单位会计制度》，熟练掌握并正确运用会计科目。</w:t>
      </w:r>
    </w:p>
    <w:p w14:paraId="654732AF">
      <w:pPr>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第八条 负责各项经费收支业务的手工录入凭证工作，根据实际业务的发生及时做会计处理，经主管会计审核后打印出记账凭证。</w:t>
      </w:r>
    </w:p>
    <w:p w14:paraId="5FE9F11F">
      <w:pPr>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第九条 妥善保管会计凭证和所附原始票据，严守单位机密，及时向主管会计传递会计凭证，主动接受会计的审核和监督。</w:t>
      </w:r>
    </w:p>
    <w:p w14:paraId="4344985C">
      <w:pPr>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第十条 负责电子银行网上业务的办理，接受网银主管会计对所办业务的审核。</w:t>
      </w:r>
    </w:p>
    <w:p w14:paraId="4B60E221">
      <w:pPr>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第十一条 按时与财政部门核对“财政专户”账目、编制未达账项余额调节表，对于未达账款，要及时查询和处理，做好账务工作。</w:t>
      </w:r>
    </w:p>
    <w:p w14:paraId="0213C599">
      <w:pPr>
        <w:spacing w:line="560" w:lineRule="exact"/>
        <w:ind w:firstLine="660"/>
        <w:rPr>
          <w:rFonts w:ascii="仿宋_GB2312" w:hAnsi="仿宋" w:eastAsia="仿宋_GB2312" w:cs="宋体"/>
          <w:sz w:val="32"/>
          <w:szCs w:val="32"/>
        </w:rPr>
      </w:pPr>
      <w:r>
        <w:rPr>
          <w:rFonts w:hint="eastAsia" w:ascii="仿宋_GB2312" w:hAnsi="仿宋" w:eastAsia="仿宋_GB2312" w:cs="宋体"/>
          <w:sz w:val="32"/>
          <w:szCs w:val="32"/>
        </w:rPr>
        <w:t>第十二条 及时到开户银行，财政部门取回取各项收付票据，发现问题立即与相关部门进行沟通，重大事项要第一时间报告科室负责人。</w:t>
      </w:r>
    </w:p>
    <w:p w14:paraId="7BD3CE9A">
      <w:pPr>
        <w:spacing w:line="560" w:lineRule="exact"/>
        <w:ind w:firstLine="645"/>
        <w:rPr>
          <w:rFonts w:ascii="仿宋_GB2312" w:hAnsi="仿宋" w:eastAsia="仿宋_GB2312" w:cs="宋体"/>
          <w:sz w:val="32"/>
          <w:szCs w:val="32"/>
        </w:rPr>
      </w:pPr>
      <w:r>
        <w:rPr>
          <w:rFonts w:hint="eastAsia" w:ascii="仿宋_GB2312" w:hAnsi="仿宋" w:eastAsia="仿宋_GB2312" w:cs="宋体"/>
          <w:sz w:val="32"/>
          <w:szCs w:val="32"/>
        </w:rPr>
        <w:t>第十三条 负责个人所得税的申报，经科室负责人审核后进行申报并缴纳税款。</w:t>
      </w:r>
    </w:p>
    <w:p w14:paraId="091D0560">
      <w:pPr>
        <w:spacing w:line="560" w:lineRule="exact"/>
        <w:ind w:firstLine="645"/>
        <w:rPr>
          <w:rFonts w:ascii="仿宋_GB2312" w:hAnsi="仿宋" w:eastAsia="仿宋_GB2312" w:cs="宋体"/>
          <w:sz w:val="32"/>
          <w:szCs w:val="32"/>
        </w:rPr>
      </w:pPr>
      <w:r>
        <w:rPr>
          <w:rFonts w:hint="eastAsia" w:ascii="仿宋_GB2312" w:hAnsi="仿宋" w:eastAsia="仿宋_GB2312" w:cs="宋体"/>
          <w:sz w:val="32"/>
          <w:szCs w:val="32"/>
        </w:rPr>
        <w:t>第十四条 每月初7个工作日前，根据审批完备的原始凭证，结算出库存现金和银行存款余额 ，与会计人员进行核对。</w:t>
      </w:r>
    </w:p>
    <w:p w14:paraId="33216E3B">
      <w:pPr>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第十五条 接受上级和相关部门对财务工作的检查，按要求提供各项相关财务资料。</w:t>
      </w:r>
    </w:p>
    <w:p w14:paraId="2EA0F1C6">
      <w:pPr>
        <w:tabs>
          <w:tab w:val="left" w:pos="900"/>
        </w:tabs>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第十六条 完成科室负责人交办的其他临时工作。</w:t>
      </w:r>
    </w:p>
    <w:p w14:paraId="4D959886">
      <w:pPr>
        <w:spacing w:line="560" w:lineRule="exact"/>
        <w:jc w:val="center"/>
        <w:rPr>
          <w:rFonts w:ascii="仿宋_GB2312" w:hAnsi="仿宋" w:eastAsia="仿宋_GB2312" w:cs="宋体"/>
          <w:b/>
          <w:sz w:val="32"/>
          <w:szCs w:val="32"/>
        </w:rPr>
      </w:pPr>
      <w:r>
        <w:rPr>
          <w:rFonts w:hint="eastAsia" w:ascii="仿宋_GB2312" w:hAnsi="仿宋" w:eastAsia="仿宋_GB2312" w:cs="宋体"/>
          <w:b/>
          <w:sz w:val="32"/>
          <w:szCs w:val="32"/>
        </w:rPr>
        <w:t>会计人员岗位职责</w:t>
      </w:r>
    </w:p>
    <w:p w14:paraId="3F8DC355">
      <w:pPr>
        <w:tabs>
          <w:tab w:val="left" w:pos="900"/>
        </w:tabs>
        <w:spacing w:line="560" w:lineRule="exact"/>
        <w:rPr>
          <w:rFonts w:ascii="仿宋_GB2312" w:hAnsi="仿宋" w:eastAsia="仿宋_GB2312" w:cs="宋体"/>
          <w:sz w:val="32"/>
          <w:szCs w:val="32"/>
        </w:rPr>
      </w:pPr>
      <w:r>
        <w:rPr>
          <w:rFonts w:hint="eastAsia" w:ascii="仿宋" w:hAnsi="仿宋" w:eastAsia="仿宋" w:cs="宋体"/>
          <w:sz w:val="32"/>
          <w:szCs w:val="32"/>
        </w:rPr>
        <w:t xml:space="preserve">    </w:t>
      </w:r>
      <w:r>
        <w:rPr>
          <w:rFonts w:hint="eastAsia" w:ascii="仿宋_GB2312" w:hAnsi="仿宋" w:eastAsia="仿宋_GB2312" w:cs="宋体"/>
          <w:sz w:val="32"/>
          <w:szCs w:val="32"/>
        </w:rPr>
        <w:t>第一条 审核原始凭证的真实性和完整性。即审核经济业务事项是否符合本单位的经济特点，原始凭证记载的内容是否准确完整，对记载不准确，不完整的原始凭证予以退回，并要求按规定更正补充。</w:t>
      </w:r>
    </w:p>
    <w:p w14:paraId="50D43D86">
      <w:pPr>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第二条 审核原始凭证的合法性和合理性。即审核原始中凭证记载内容是否符合国家的法律法规的规定，收支是否符合本单位的各项管理制度。</w:t>
      </w:r>
    </w:p>
    <w:p w14:paraId="317F95B0">
      <w:pPr>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第三条 审核会计凭证中会计科目的运用及对应关系是否正确。</w:t>
      </w:r>
    </w:p>
    <w:p w14:paraId="60F9F520">
      <w:pPr>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第四条 审核会计凭证和所附的原始凭证的张数及金额是否相符，借货关系是否平衡。</w:t>
      </w:r>
    </w:p>
    <w:p w14:paraId="00648E37">
      <w:pPr>
        <w:spacing w:line="560" w:lineRule="exact"/>
        <w:ind w:firstLine="660"/>
        <w:rPr>
          <w:rFonts w:ascii="仿宋_GB2312" w:hAnsi="仿宋" w:eastAsia="仿宋_GB2312" w:cs="宋体"/>
          <w:sz w:val="32"/>
          <w:szCs w:val="32"/>
        </w:rPr>
      </w:pPr>
      <w:r>
        <w:rPr>
          <w:rFonts w:hint="eastAsia" w:ascii="仿宋_GB2312" w:hAnsi="仿宋" w:eastAsia="仿宋_GB2312" w:cs="宋体"/>
          <w:sz w:val="32"/>
          <w:szCs w:val="32"/>
        </w:rPr>
        <w:t>第五条 审核费用报销签批手续是否完备，原始凭证是否完整。</w:t>
      </w:r>
    </w:p>
    <w:p w14:paraId="1A97B2EB">
      <w:pPr>
        <w:spacing w:line="560" w:lineRule="exact"/>
        <w:ind w:firstLine="672" w:firstLineChars="210"/>
        <w:rPr>
          <w:rFonts w:ascii="仿宋_GB2312" w:hAnsi="仿宋" w:eastAsia="仿宋_GB2312"/>
          <w:kern w:val="0"/>
          <w:sz w:val="32"/>
          <w:szCs w:val="32"/>
        </w:rPr>
      </w:pPr>
      <w:r>
        <w:rPr>
          <w:rFonts w:hint="eastAsia" w:ascii="仿宋_GB2312" w:hAnsi="仿宋" w:eastAsia="仿宋_GB2312"/>
          <w:kern w:val="0"/>
          <w:sz w:val="32"/>
          <w:szCs w:val="32"/>
        </w:rPr>
        <w:t>第六条 对已报销的原始凭证原则上不予外借，因工作需要必须外借的须经主管财务领导同意，并进行登记后，方可变通提供原始凭证。</w:t>
      </w:r>
    </w:p>
    <w:p w14:paraId="2CD8FAF3">
      <w:pPr>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第七条 审核会计账簿的设置是否符合国家统一的会计制度的规定。</w:t>
      </w:r>
    </w:p>
    <w:p w14:paraId="2D8AF283">
      <w:pPr>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第八条 审核会计账簿是否根据审核无误的会计凭证为依据记账，总账、明细账是否相符。</w:t>
      </w:r>
    </w:p>
    <w:p w14:paraId="61714297">
      <w:pPr>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第九条 负责制定本单位年度经费支出计划，负责经费各项报表的填报，参与本单位经费的预决算管理，负责向财政部门报送经费预决算报表和负责部门绩效考核工作，对本单位年度经费的使用做出准确评估和合理评价。</w:t>
      </w:r>
    </w:p>
    <w:p w14:paraId="29AC7720">
      <w:pPr>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第十条 负责审核购置固定资产手续是否符合财政部门、资产管理部门的规定，对购入固定资产的数量、金额及时登记固定资产明细账，配合办公室定期对固定资产进行清查和盘点，并做好报废资产的清理工作。</w:t>
      </w:r>
    </w:p>
    <w:p w14:paraId="4B5342EB">
      <w:pPr>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第十一条 负责本单位往来账目的清理，督促借款人及时报账、归还借款。</w:t>
      </w:r>
    </w:p>
    <w:p w14:paraId="35799186">
      <w:pPr>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第十二条 负责整理、装订经费会计凭证，按时打印总账、明细账，年度终了交档案管理员统一归档立卷。</w:t>
      </w:r>
    </w:p>
    <w:p w14:paraId="234D7910">
      <w:pPr>
        <w:spacing w:line="560" w:lineRule="exact"/>
        <w:ind w:firstLine="480" w:firstLineChars="150"/>
        <w:rPr>
          <w:rFonts w:ascii="仿宋_GB2312" w:hAnsi="仿宋" w:eastAsia="仿宋_GB2312"/>
          <w:sz w:val="32"/>
          <w:szCs w:val="32"/>
        </w:rPr>
      </w:pPr>
      <w:r>
        <w:rPr>
          <w:rFonts w:hint="eastAsia" w:ascii="仿宋_GB2312" w:hAnsi="仿宋" w:eastAsia="仿宋_GB2312" w:cs="宋体"/>
          <w:sz w:val="32"/>
          <w:szCs w:val="32"/>
        </w:rPr>
        <w:t xml:space="preserve">第十三条 </w:t>
      </w:r>
      <w:r>
        <w:rPr>
          <w:rFonts w:hint="eastAsia" w:ascii="仿宋_GB2312" w:hAnsi="仿宋" w:eastAsia="仿宋_GB2312"/>
          <w:sz w:val="32"/>
          <w:szCs w:val="32"/>
        </w:rPr>
        <w:t>会计人员要定期将单位收支情况、预算执行情况向主管财务领导汇报，必要时写出书面材料或财务分析报告。</w:t>
      </w:r>
    </w:p>
    <w:p w14:paraId="11BAD04E">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第十四条 对出纳员的工作负有指导、监督的职责。</w:t>
      </w:r>
    </w:p>
    <w:p w14:paraId="0B99084D">
      <w:pPr>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第十五条 接受各相关部门对经费收支情况的监督检查，如实提供相关资料。</w:t>
      </w:r>
    </w:p>
    <w:p w14:paraId="44CE8D39">
      <w:pPr>
        <w:tabs>
          <w:tab w:val="left" w:pos="720"/>
        </w:tabs>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第十六条 单位财务人员要对单位所属机构的财会工作进行指</w:t>
      </w:r>
      <w:r>
        <w:rPr>
          <w:rFonts w:hint="eastAsia" w:ascii="仿宋_GB2312" w:hAnsi="仿宋" w:eastAsia="仿宋_GB2312"/>
          <w:sz w:val="32"/>
          <w:szCs w:val="32"/>
        </w:rPr>
        <w:t>导、监督，检查财经纪律的执行情况。</w:t>
      </w:r>
    </w:p>
    <w:p w14:paraId="258AC9D3">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第十七条 完成科室负责人交办的其他临时工作。</w:t>
      </w:r>
    </w:p>
    <w:p w14:paraId="3C1836A6">
      <w:pPr>
        <w:spacing w:line="560" w:lineRule="exact"/>
        <w:rPr>
          <w:rFonts w:ascii="仿宋_GB2312" w:hAnsi="仿宋" w:eastAsia="仿宋_GB2312" w:cs="宋体"/>
          <w:sz w:val="32"/>
          <w:szCs w:val="32"/>
        </w:rPr>
      </w:pPr>
    </w:p>
    <w:p w14:paraId="1D68AB37">
      <w:pPr>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货币资金管理</w:t>
      </w:r>
    </w:p>
    <w:p w14:paraId="024B4755">
      <w:pPr>
        <w:spacing w:line="560" w:lineRule="exact"/>
        <w:ind w:firstLine="640" w:firstLineChars="200"/>
        <w:rPr>
          <w:rFonts w:ascii="仿宋_GB2312" w:eastAsia="仿宋_GB2312"/>
          <w:sz w:val="32"/>
          <w:szCs w:val="32"/>
        </w:rPr>
      </w:pPr>
      <w:r>
        <w:rPr>
          <w:rFonts w:hint="eastAsia" w:ascii="仿宋_GB2312" w:eastAsia="仿宋_GB2312"/>
          <w:sz w:val="32"/>
          <w:szCs w:val="32"/>
        </w:rPr>
        <w:t>为加强单位货币资金资产管理，规范货币资金资产使用、保管、处置行为，维护单位货币资金资产的安全和完整，结合本单位实际，特制定本制度，货币资金包括库存现金、银行存款、零余额账户用款额度及其它货币资金。</w:t>
      </w:r>
    </w:p>
    <w:p w14:paraId="7585C314">
      <w:pPr>
        <w:spacing w:line="560" w:lineRule="exact"/>
        <w:jc w:val="center"/>
        <w:rPr>
          <w:rFonts w:ascii="仿宋_GB2312" w:eastAsia="仿宋_GB2312"/>
          <w:sz w:val="32"/>
          <w:szCs w:val="32"/>
        </w:rPr>
      </w:pPr>
      <w:r>
        <w:rPr>
          <w:rFonts w:hint="eastAsia" w:ascii="仿宋_GB2312" w:eastAsia="仿宋_GB2312"/>
          <w:b/>
          <w:sz w:val="32"/>
          <w:szCs w:val="32"/>
        </w:rPr>
        <w:t>货币资金管理岗位责任制</w:t>
      </w:r>
    </w:p>
    <w:p w14:paraId="22D0DD0E">
      <w:pPr>
        <w:spacing w:line="560" w:lineRule="exact"/>
        <w:ind w:firstLine="640" w:firstLineChars="200"/>
        <w:rPr>
          <w:rFonts w:ascii="仿宋_GB2312" w:eastAsia="仿宋_GB2312"/>
          <w:sz w:val="32"/>
          <w:szCs w:val="32"/>
        </w:rPr>
      </w:pPr>
      <w:r>
        <w:rPr>
          <w:rFonts w:hint="eastAsia" w:ascii="仿宋_GB2312" w:eastAsia="仿宋_GB2312"/>
          <w:sz w:val="32"/>
          <w:szCs w:val="32"/>
        </w:rPr>
        <w:t>第一条 合理设置岗位，不得由一人办理货币资金业务的全过程，确保不相容岗位相互分离。未经授权的部门或人员不得办理货币资金业务或直接接触货币资金。</w:t>
      </w:r>
    </w:p>
    <w:p w14:paraId="2E624925">
      <w:pPr>
        <w:spacing w:line="560" w:lineRule="exact"/>
        <w:ind w:firstLine="640" w:firstLineChars="200"/>
        <w:rPr>
          <w:rFonts w:ascii="仿宋_GB2312" w:eastAsia="仿宋_GB2312"/>
          <w:sz w:val="32"/>
          <w:szCs w:val="32"/>
        </w:rPr>
      </w:pPr>
      <w:r>
        <w:rPr>
          <w:rFonts w:hint="eastAsia" w:ascii="仿宋_GB2312" w:eastAsia="仿宋_GB2312"/>
          <w:sz w:val="32"/>
          <w:szCs w:val="32"/>
        </w:rPr>
        <w:t>货币资金业务的不相容岗位至少包括：货币资金支付的审批和执行，货币资金的保管和收支账目的会计核算，货币资金的保管和盘点清查，货币资金的会计记录和审计监督。</w:t>
      </w:r>
    </w:p>
    <w:p w14:paraId="625C9224">
      <w:pPr>
        <w:spacing w:line="560" w:lineRule="exact"/>
        <w:ind w:firstLine="640" w:firstLineChars="200"/>
        <w:rPr>
          <w:rFonts w:ascii="仿宋_GB2312" w:eastAsia="仿宋_GB2312"/>
          <w:sz w:val="32"/>
          <w:szCs w:val="32"/>
        </w:rPr>
      </w:pPr>
      <w:r>
        <w:rPr>
          <w:rFonts w:hint="eastAsia" w:ascii="仿宋_GB2312" w:eastAsia="仿宋_GB2312"/>
          <w:sz w:val="32"/>
          <w:szCs w:val="32"/>
        </w:rPr>
        <w:t>第二条 单位出纳人员需具备较强的会计专业能力，不得由临时人员担任，并不得兼任稽核、会计档案保管和收入、支出、费用、债权、债务账目的登记工作。</w:t>
      </w:r>
    </w:p>
    <w:p w14:paraId="2E2F24C5">
      <w:pPr>
        <w:spacing w:line="560" w:lineRule="exact"/>
        <w:ind w:firstLine="640" w:firstLineChars="200"/>
        <w:rPr>
          <w:rFonts w:ascii="仿宋_GB2312" w:eastAsia="仿宋_GB2312"/>
          <w:sz w:val="32"/>
          <w:szCs w:val="32"/>
        </w:rPr>
      </w:pPr>
      <w:r>
        <w:rPr>
          <w:rFonts w:hint="eastAsia" w:ascii="仿宋_GB2312" w:eastAsia="仿宋_GB2312"/>
          <w:sz w:val="32"/>
          <w:szCs w:val="32"/>
        </w:rPr>
        <w:t>第三条 严格印章管理。严禁一人保管支付款项所需的全部印章。财务专用章由出纳员保管，个人名章应当由本人或其授权人员保管。负责保管印章的人员要配置单独的保险柜等保管设备，并做到人走柜锁。</w:t>
      </w:r>
    </w:p>
    <w:p w14:paraId="472E2F0F">
      <w:pPr>
        <w:spacing w:line="560" w:lineRule="exact"/>
        <w:ind w:firstLine="640" w:firstLineChars="200"/>
        <w:rPr>
          <w:rFonts w:ascii="仿宋_GB2312" w:eastAsia="仿宋_GB2312"/>
          <w:sz w:val="32"/>
          <w:szCs w:val="32"/>
        </w:rPr>
      </w:pPr>
      <w:r>
        <w:rPr>
          <w:rFonts w:hint="eastAsia" w:ascii="仿宋_GB2312" w:eastAsia="仿宋_GB2312"/>
          <w:sz w:val="32"/>
          <w:szCs w:val="32"/>
        </w:rPr>
        <w:t>第四条 严格履行货币资金业务的授权审批程序。按照规定应当由部门负责人或单位领导签字或盖章的，应当严格履行签字或盖章手续。</w:t>
      </w:r>
    </w:p>
    <w:p w14:paraId="49270909">
      <w:pPr>
        <w:spacing w:line="560" w:lineRule="exact"/>
        <w:jc w:val="center"/>
        <w:rPr>
          <w:rFonts w:ascii="仿宋_GB2312" w:eastAsia="仿宋_GB2312"/>
          <w:b/>
          <w:sz w:val="32"/>
          <w:szCs w:val="32"/>
        </w:rPr>
      </w:pPr>
      <w:r>
        <w:rPr>
          <w:rFonts w:hint="eastAsia" w:ascii="仿宋_GB2312" w:eastAsia="仿宋_GB2312"/>
          <w:b/>
          <w:sz w:val="32"/>
          <w:szCs w:val="32"/>
        </w:rPr>
        <w:t>银行账户管理</w:t>
      </w:r>
    </w:p>
    <w:p w14:paraId="0E282058">
      <w:pPr>
        <w:spacing w:line="560" w:lineRule="exact"/>
        <w:jc w:val="center"/>
        <w:rPr>
          <w:rFonts w:ascii="仿宋_GB2312" w:eastAsia="仿宋_GB2312"/>
          <w:sz w:val="32"/>
          <w:szCs w:val="32"/>
        </w:rPr>
      </w:pPr>
      <w:r>
        <w:rPr>
          <w:rFonts w:hint="eastAsia" w:ascii="仿宋_GB2312" w:eastAsia="仿宋_GB2312"/>
          <w:sz w:val="32"/>
          <w:szCs w:val="32"/>
        </w:rPr>
        <w:t xml:space="preserve">   加强对银行账户的管理，严格按照规定的审批权限和</w:t>
      </w:r>
    </w:p>
    <w:p w14:paraId="5F355F3D">
      <w:pPr>
        <w:spacing w:line="560" w:lineRule="exact"/>
        <w:rPr>
          <w:rFonts w:ascii="仿宋_GB2312" w:eastAsia="仿宋_GB2312"/>
          <w:sz w:val="32"/>
          <w:szCs w:val="32"/>
        </w:rPr>
      </w:pPr>
      <w:r>
        <w:rPr>
          <w:rFonts w:hint="eastAsia" w:ascii="仿宋_GB2312" w:eastAsia="仿宋_GB2312"/>
          <w:sz w:val="32"/>
          <w:szCs w:val="32"/>
        </w:rPr>
        <w:t>程序开立、变更和撤销银行账户</w:t>
      </w:r>
    </w:p>
    <w:p w14:paraId="68EF82E5">
      <w:pPr>
        <w:spacing w:line="560" w:lineRule="exact"/>
        <w:ind w:firstLine="640" w:firstLineChars="200"/>
        <w:rPr>
          <w:rFonts w:ascii="仿宋_GB2312" w:eastAsia="仿宋_GB2312"/>
          <w:sz w:val="32"/>
          <w:szCs w:val="32"/>
        </w:rPr>
      </w:pPr>
      <w:r>
        <w:rPr>
          <w:rFonts w:hint="eastAsia" w:ascii="仿宋_GB2312" w:eastAsia="仿宋_GB2312"/>
          <w:sz w:val="32"/>
          <w:szCs w:val="32"/>
        </w:rPr>
        <w:t>第一条 严格按照规定开立账户，不随意开立，不违反规定开立和使用银行账户。</w:t>
      </w:r>
    </w:p>
    <w:p w14:paraId="0BAA747A">
      <w:pPr>
        <w:spacing w:line="560" w:lineRule="exact"/>
        <w:ind w:firstLine="640" w:firstLineChars="200"/>
        <w:rPr>
          <w:rFonts w:ascii="仿宋_GB2312" w:eastAsia="仿宋_GB2312"/>
          <w:sz w:val="32"/>
          <w:szCs w:val="32"/>
        </w:rPr>
      </w:pPr>
      <w:r>
        <w:rPr>
          <w:rFonts w:hint="eastAsia" w:ascii="仿宋_GB2312" w:eastAsia="仿宋_GB2312"/>
          <w:sz w:val="32"/>
          <w:szCs w:val="32"/>
        </w:rPr>
        <w:t>第二条 财会部门应当对已开立未使用或长期不使用的账户及时做出销户处理。银行账户销户按规定操作，经过适当授权并正确反映在会计记录中。对已销户的银行账户，应在办理销户后一个月再由经办人员以外的会计人员向银行核实销户情况，确保销户已得到执行。</w:t>
      </w:r>
    </w:p>
    <w:p w14:paraId="3F2AB807">
      <w:pPr>
        <w:spacing w:line="560" w:lineRule="exact"/>
        <w:ind w:firstLine="640" w:firstLineChars="200"/>
        <w:rPr>
          <w:rFonts w:ascii="仿宋_GB2312" w:eastAsia="仿宋_GB2312"/>
          <w:sz w:val="32"/>
          <w:szCs w:val="32"/>
        </w:rPr>
      </w:pPr>
      <w:r>
        <w:rPr>
          <w:rFonts w:hint="eastAsia" w:ascii="仿宋_GB2312" w:eastAsia="仿宋_GB2312"/>
          <w:sz w:val="32"/>
          <w:szCs w:val="32"/>
        </w:rPr>
        <w:t>第三条 财会部门应当做好银行账户开户、销户情况的记录。定期与银行核对、确保所记录的银行账户与实际相符。</w:t>
      </w:r>
    </w:p>
    <w:p w14:paraId="169D0416">
      <w:pPr>
        <w:spacing w:line="560" w:lineRule="exact"/>
        <w:ind w:firstLine="640" w:firstLineChars="200"/>
        <w:rPr>
          <w:rFonts w:ascii="仿宋_GB2312" w:eastAsia="仿宋_GB2312"/>
          <w:sz w:val="32"/>
          <w:szCs w:val="32"/>
        </w:rPr>
      </w:pPr>
      <w:r>
        <w:rPr>
          <w:rFonts w:hint="eastAsia" w:ascii="仿宋_GB2312" w:eastAsia="仿宋_GB2312"/>
          <w:sz w:val="32"/>
          <w:szCs w:val="32"/>
        </w:rPr>
        <w:t>第四条 严格银行预留印鉴管理。银行预留印鉴分开由不同人员保管，严禁一人保管所有支付预留印鉴。</w:t>
      </w:r>
    </w:p>
    <w:p w14:paraId="4B2F2EFD">
      <w:pPr>
        <w:spacing w:line="560" w:lineRule="exact"/>
        <w:jc w:val="center"/>
        <w:rPr>
          <w:rFonts w:ascii="仿宋_GB2312" w:eastAsia="仿宋_GB2312"/>
          <w:b/>
          <w:sz w:val="32"/>
          <w:szCs w:val="32"/>
        </w:rPr>
      </w:pPr>
      <w:r>
        <w:rPr>
          <w:rFonts w:hint="eastAsia" w:ascii="仿宋_GB2312" w:eastAsia="仿宋_GB2312"/>
          <w:b/>
          <w:sz w:val="32"/>
          <w:szCs w:val="32"/>
        </w:rPr>
        <w:t>货币资金的核查管理</w:t>
      </w:r>
    </w:p>
    <w:p w14:paraId="631AD0B0">
      <w:pPr>
        <w:spacing w:line="560" w:lineRule="exact"/>
        <w:ind w:firstLine="640" w:firstLineChars="200"/>
        <w:rPr>
          <w:rFonts w:ascii="仿宋_GB2312" w:eastAsia="仿宋_GB2312"/>
          <w:sz w:val="32"/>
          <w:szCs w:val="32"/>
        </w:rPr>
      </w:pPr>
      <w:r>
        <w:rPr>
          <w:rFonts w:hint="eastAsia" w:ascii="仿宋_GB2312" w:eastAsia="仿宋_GB2312"/>
          <w:sz w:val="32"/>
          <w:szCs w:val="32"/>
        </w:rPr>
        <w:t>第一条 盘点和清查库存现金。</w:t>
      </w:r>
    </w:p>
    <w:p w14:paraId="563DEABC">
      <w:pPr>
        <w:spacing w:line="560" w:lineRule="exact"/>
        <w:ind w:firstLine="640" w:firstLineChars="200"/>
        <w:rPr>
          <w:rFonts w:ascii="仿宋_GB2312" w:eastAsia="仿宋_GB2312"/>
          <w:sz w:val="32"/>
          <w:szCs w:val="32"/>
        </w:rPr>
      </w:pPr>
      <w:r>
        <w:rPr>
          <w:rFonts w:hint="eastAsia" w:ascii="仿宋_GB2312" w:eastAsia="仿宋_GB2312"/>
          <w:sz w:val="32"/>
          <w:szCs w:val="32"/>
        </w:rPr>
        <w:t>出纳人员应当每天清点库存现金，登记库存现金日记账，做到账实相符、账账相符。指定不办理货币资金业务的会计人员定期和不定期对库存现金进行抽查盘点，重点关注：账款是否相符；有无白条抵库；有无私借挪用公款；有无账外资金。如果发现账款不符，应当及时查明原因，报告财会部门负责人、单位分管领导和单位负责人做出相应处理。</w:t>
      </w:r>
    </w:p>
    <w:p w14:paraId="1414F677">
      <w:pPr>
        <w:spacing w:line="560" w:lineRule="exact"/>
        <w:ind w:firstLine="640" w:firstLineChars="200"/>
        <w:rPr>
          <w:rFonts w:ascii="仿宋_GB2312" w:eastAsia="仿宋_GB2312"/>
          <w:sz w:val="32"/>
          <w:szCs w:val="32"/>
        </w:rPr>
      </w:pPr>
      <w:r>
        <w:rPr>
          <w:rFonts w:hint="eastAsia" w:ascii="仿宋_GB2312" w:eastAsia="仿宋_GB2312"/>
          <w:sz w:val="32"/>
          <w:szCs w:val="32"/>
        </w:rPr>
        <w:t>第二条 定期与银行进行对账管理。</w:t>
      </w:r>
    </w:p>
    <w:p w14:paraId="3B2F8CBD">
      <w:pPr>
        <w:spacing w:line="560" w:lineRule="exact"/>
        <w:ind w:firstLine="640" w:firstLineChars="200"/>
        <w:rPr>
          <w:rFonts w:ascii="仿宋_GB2312" w:eastAsia="仿宋_GB2312"/>
          <w:sz w:val="32"/>
          <w:szCs w:val="32"/>
        </w:rPr>
      </w:pPr>
      <w:r>
        <w:rPr>
          <w:rFonts w:hint="eastAsia" w:ascii="仿宋_GB2312" w:eastAsia="仿宋_GB2312"/>
          <w:sz w:val="32"/>
          <w:szCs w:val="32"/>
        </w:rPr>
        <w:t>财会部门应按开户银行或其他金融机构、存款种类及币种等，分别设置“银行存款日记账”由出纳人员根据收付款凭证，按照业务的发生顺序逐笔登记，每日终了应结出余额。“银行存款日记账”应当定期与“银行对账单”核对，至少每月核对一次。并按月编制“银行存款余额调节表”，调节相符。</w:t>
      </w:r>
    </w:p>
    <w:p w14:paraId="7C3FD2E9">
      <w:pPr>
        <w:spacing w:line="560" w:lineRule="exact"/>
        <w:ind w:firstLine="640" w:firstLineChars="200"/>
        <w:rPr>
          <w:rFonts w:ascii="仿宋_GB2312" w:eastAsia="仿宋_GB2312"/>
          <w:sz w:val="32"/>
          <w:szCs w:val="32"/>
        </w:rPr>
      </w:pPr>
      <w:r>
        <w:rPr>
          <w:rFonts w:hint="eastAsia" w:ascii="仿宋_GB2312" w:eastAsia="仿宋_GB2312"/>
          <w:sz w:val="32"/>
          <w:szCs w:val="32"/>
        </w:rPr>
        <w:t>指定不办理货币资金业务的会计人员定期和不定期核对银行存款余额，抽查银行对账单、银行存款日记账及银行存款余额调节表，核对是否账实相符、账账相符。对调节不符、可能存在重大问题的未达账项应当及时查明原因，并按照规定报告财会部门负责人、单位分管领导和单位负责人进行处理。</w:t>
      </w:r>
    </w:p>
    <w:p w14:paraId="3E8530E3">
      <w:pPr>
        <w:tabs>
          <w:tab w:val="left" w:pos="720"/>
          <w:tab w:val="left" w:pos="900"/>
        </w:tabs>
        <w:spacing w:line="560" w:lineRule="exact"/>
        <w:ind w:firstLine="482" w:firstLineChars="150"/>
        <w:jc w:val="center"/>
        <w:rPr>
          <w:rFonts w:ascii="黑体" w:hAnsi="仿宋" w:eastAsia="黑体" w:cs="宋体"/>
          <w:b/>
          <w:sz w:val="32"/>
          <w:szCs w:val="32"/>
        </w:rPr>
      </w:pPr>
    </w:p>
    <w:p w14:paraId="3E6EF4D3">
      <w:pPr>
        <w:spacing w:line="560" w:lineRule="exact"/>
        <w:jc w:val="center"/>
        <w:rPr>
          <w:rFonts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单位收支业务管理办法</w:t>
      </w:r>
    </w:p>
    <w:p w14:paraId="0547599A">
      <w:pPr>
        <w:spacing w:line="560" w:lineRule="exact"/>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第一章 依 据</w:t>
      </w:r>
    </w:p>
    <w:p w14:paraId="63CC1789">
      <w:pPr>
        <w:spacing w:line="560" w:lineRule="exact"/>
        <w:ind w:firstLine="643" w:firstLineChars="200"/>
        <w:rPr>
          <w:rFonts w:ascii="仿宋_GB2312" w:hAnsi="华文仿宋" w:eastAsia="仿宋_GB2312"/>
          <w:sz w:val="32"/>
          <w:szCs w:val="32"/>
        </w:rPr>
      </w:pPr>
      <w:r>
        <w:rPr>
          <w:rFonts w:hint="eastAsia" w:ascii="黑体" w:hAnsi="黑体" w:eastAsia="黑体"/>
          <w:b/>
          <w:sz w:val="32"/>
          <w:szCs w:val="32"/>
        </w:rPr>
        <w:t xml:space="preserve">第一条 </w:t>
      </w:r>
      <w:r>
        <w:rPr>
          <w:rFonts w:hint="eastAsia" w:ascii="黑体" w:hAnsi="黑体" w:eastAsia="黑体"/>
          <w:sz w:val="32"/>
          <w:szCs w:val="32"/>
        </w:rPr>
        <w:t xml:space="preserve"> </w:t>
      </w:r>
      <w:r>
        <w:rPr>
          <w:rFonts w:hint="eastAsia" w:ascii="仿宋_GB2312" w:hAnsi="华文仿宋" w:eastAsia="仿宋_GB2312"/>
          <w:sz w:val="32"/>
          <w:szCs w:val="32"/>
        </w:rPr>
        <w:t>为加强单位收支业务管理，规避债务风险，规范收支业务行为，制定本单位收支业务管理办法。</w:t>
      </w:r>
    </w:p>
    <w:p w14:paraId="286ED65E">
      <w:pPr>
        <w:spacing w:line="560" w:lineRule="exact"/>
        <w:ind w:firstLine="643" w:firstLineChars="200"/>
        <w:rPr>
          <w:rFonts w:ascii="华文仿宋" w:hAnsi="华文仿宋" w:eastAsia="华文仿宋"/>
          <w:sz w:val="32"/>
          <w:szCs w:val="32"/>
        </w:rPr>
      </w:pPr>
      <w:r>
        <w:rPr>
          <w:rFonts w:hint="eastAsia" w:ascii="黑体" w:hAnsi="黑体" w:eastAsia="黑体"/>
          <w:b/>
          <w:sz w:val="32"/>
          <w:szCs w:val="32"/>
        </w:rPr>
        <w:t>第二条</w:t>
      </w:r>
      <w:r>
        <w:rPr>
          <w:rFonts w:hint="eastAsia" w:ascii="华文仿宋" w:hAnsi="华文仿宋" w:eastAsia="华文仿宋"/>
          <w:sz w:val="32"/>
          <w:szCs w:val="32"/>
        </w:rPr>
        <w:t xml:space="preserve">  </w:t>
      </w:r>
      <w:r>
        <w:rPr>
          <w:rFonts w:hint="eastAsia" w:ascii="仿宋_GB2312" w:hAnsi="华文仿宋" w:eastAsia="仿宋_GB2312"/>
          <w:sz w:val="32"/>
          <w:szCs w:val="32"/>
        </w:rPr>
        <w:t>本办法适用于单位的收入、支出及债务业务</w:t>
      </w:r>
      <w:r>
        <w:rPr>
          <w:rFonts w:hint="eastAsia" w:ascii="华文仿宋" w:hAnsi="华文仿宋" w:eastAsia="华文仿宋"/>
          <w:sz w:val="32"/>
          <w:szCs w:val="32"/>
        </w:rPr>
        <w:t>。</w:t>
      </w:r>
    </w:p>
    <w:p w14:paraId="166DD41C">
      <w:pPr>
        <w:spacing w:line="560" w:lineRule="exact"/>
        <w:ind w:firstLine="643" w:firstLineChars="200"/>
        <w:rPr>
          <w:rFonts w:ascii="仿宋_GB2312" w:hAnsi="华文仿宋" w:eastAsia="仿宋_GB2312"/>
          <w:sz w:val="32"/>
          <w:szCs w:val="32"/>
        </w:rPr>
      </w:pPr>
      <w:r>
        <w:rPr>
          <w:rFonts w:hint="eastAsia" w:ascii="黑体" w:hAnsi="黑体" w:eastAsia="黑体"/>
          <w:b/>
          <w:sz w:val="32"/>
          <w:szCs w:val="32"/>
        </w:rPr>
        <w:t>第三条</w:t>
      </w:r>
      <w:r>
        <w:rPr>
          <w:rFonts w:hint="eastAsia" w:ascii="华文仿宋" w:hAnsi="华文仿宋" w:eastAsia="华文仿宋"/>
          <w:sz w:val="32"/>
          <w:szCs w:val="32"/>
        </w:rPr>
        <w:t xml:space="preserve">  </w:t>
      </w:r>
      <w:r>
        <w:rPr>
          <w:rFonts w:hint="eastAsia" w:ascii="仿宋_GB2312" w:hAnsi="华文仿宋" w:eastAsia="仿宋_GB2312"/>
          <w:sz w:val="32"/>
          <w:szCs w:val="32"/>
        </w:rPr>
        <w:t>制定依据</w:t>
      </w:r>
    </w:p>
    <w:p w14:paraId="14BA96D3">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（一）《中华人民共和国会计法》</w:t>
      </w:r>
    </w:p>
    <w:p w14:paraId="29ADF6C2">
      <w:pPr>
        <w:spacing w:line="560" w:lineRule="exact"/>
        <w:ind w:firstLine="640" w:firstLineChars="200"/>
        <w:rPr>
          <w:rFonts w:ascii="仿宋_GB2312" w:hAnsi="华文仿宋" w:eastAsia="仿宋_GB2312"/>
          <w:sz w:val="32"/>
          <w:szCs w:val="32"/>
        </w:rPr>
      </w:pPr>
      <w:r>
        <w:rPr>
          <w:rFonts w:hint="eastAsia" w:ascii="仿宋_GB2312" w:hAnsi="华文仿宋" w:eastAsia="仿宋_GB2312"/>
          <w:sz w:val="32"/>
          <w:szCs w:val="32"/>
        </w:rPr>
        <w:t>（二）《中华人民共和国预算法》</w:t>
      </w:r>
    </w:p>
    <w:p w14:paraId="1D288F38">
      <w:pPr>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（三）</w:t>
      </w:r>
      <w:r>
        <w:rPr>
          <w:rFonts w:hint="eastAsia" w:ascii="仿宋_GB2312" w:hAnsi="仿宋" w:eastAsia="仿宋_GB2312"/>
          <w:sz w:val="32"/>
          <w:szCs w:val="32"/>
        </w:rPr>
        <w:t>《行政单位财务规则》</w:t>
      </w:r>
    </w:p>
    <w:p w14:paraId="4E94C001">
      <w:pPr>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（四）</w:t>
      </w:r>
      <w:r>
        <w:rPr>
          <w:rFonts w:hint="eastAsia" w:ascii="仿宋_GB2312" w:hAnsi="仿宋" w:eastAsia="仿宋_GB2312"/>
          <w:sz w:val="32"/>
          <w:szCs w:val="32"/>
        </w:rPr>
        <w:t>《事业单位财务规则》</w:t>
      </w:r>
    </w:p>
    <w:p w14:paraId="0ECA85B0">
      <w:pPr>
        <w:spacing w:line="560" w:lineRule="exact"/>
        <w:ind w:firstLine="640" w:firstLineChars="200"/>
        <w:rPr>
          <w:rFonts w:ascii="仿宋_GB2312" w:hAnsi="华文仿宋" w:eastAsia="仿宋_GB2312"/>
          <w:sz w:val="32"/>
          <w:szCs w:val="32"/>
        </w:rPr>
      </w:pPr>
      <w:r>
        <w:rPr>
          <w:rFonts w:hint="eastAsia" w:ascii="仿宋_GB2312" w:hAnsi="仿宋" w:eastAsia="仿宋_GB2312" w:cs="宋体"/>
          <w:sz w:val="32"/>
          <w:szCs w:val="32"/>
        </w:rPr>
        <w:t>（五）</w:t>
      </w:r>
      <w:r>
        <w:rPr>
          <w:rFonts w:hint="eastAsia" w:ascii="仿宋_GB2312" w:hAnsi="华文仿宋" w:eastAsia="仿宋_GB2312"/>
          <w:sz w:val="32"/>
          <w:szCs w:val="32"/>
        </w:rPr>
        <w:t>《中华人民共和国发票管理办法》</w:t>
      </w:r>
    </w:p>
    <w:p w14:paraId="60594A2B">
      <w:pPr>
        <w:spacing w:line="560" w:lineRule="exact"/>
        <w:ind w:firstLine="640" w:firstLineChars="200"/>
        <w:rPr>
          <w:rFonts w:ascii="仿宋_GB2312" w:hAnsi="华文仿宋" w:eastAsia="仿宋_GB2312"/>
          <w:sz w:val="32"/>
          <w:szCs w:val="32"/>
        </w:rPr>
      </w:pPr>
      <w:r>
        <w:rPr>
          <w:rFonts w:hint="eastAsia" w:ascii="仿宋_GB2312" w:hAnsi="仿宋" w:eastAsia="仿宋_GB2312" w:cs="宋体"/>
          <w:sz w:val="32"/>
          <w:szCs w:val="32"/>
        </w:rPr>
        <w:t>（六）</w:t>
      </w:r>
      <w:r>
        <w:rPr>
          <w:rFonts w:hint="eastAsia" w:ascii="仿宋_GB2312" w:hAnsi="华文仿宋" w:eastAsia="仿宋_GB2312"/>
          <w:sz w:val="32"/>
          <w:szCs w:val="32"/>
        </w:rPr>
        <w:t>《国务院关于修改〈中华人民共和国发票管理办法〉的决定》</w:t>
      </w:r>
    </w:p>
    <w:p w14:paraId="58C96D77">
      <w:pPr>
        <w:spacing w:line="560" w:lineRule="exact"/>
        <w:ind w:firstLine="640" w:firstLineChars="200"/>
        <w:rPr>
          <w:rFonts w:ascii="仿宋_GB2312" w:hAnsi="仿宋" w:eastAsia="仿宋_GB2312" w:cs="Arial"/>
          <w:color w:val="000000"/>
          <w:sz w:val="32"/>
          <w:szCs w:val="32"/>
        </w:rPr>
      </w:pPr>
      <w:r>
        <w:rPr>
          <w:rFonts w:hint="eastAsia" w:ascii="仿宋_GB2312" w:hAnsi="仿宋" w:eastAsia="仿宋_GB2312" w:cs="宋体"/>
          <w:sz w:val="32"/>
          <w:szCs w:val="32"/>
        </w:rPr>
        <w:t>（七）</w:t>
      </w:r>
      <w:r>
        <w:rPr>
          <w:rFonts w:hint="eastAsia" w:ascii="仿宋_GB2312" w:hAnsi="仿宋" w:eastAsia="仿宋_GB2312"/>
          <w:sz w:val="32"/>
          <w:szCs w:val="32"/>
        </w:rPr>
        <w:t>《</w:t>
      </w:r>
      <w:r>
        <w:rPr>
          <w:rFonts w:hint="eastAsia" w:ascii="仿宋_GB2312" w:hAnsi="仿宋" w:eastAsia="仿宋_GB2312" w:cs="Arial"/>
          <w:color w:val="000000"/>
          <w:sz w:val="32"/>
          <w:szCs w:val="32"/>
        </w:rPr>
        <w:t>中华人民共和国发票管理办法实施细则》</w:t>
      </w:r>
    </w:p>
    <w:p w14:paraId="681C6CCB">
      <w:pPr>
        <w:spacing w:line="560" w:lineRule="exact"/>
        <w:ind w:firstLine="640" w:firstLineChars="200"/>
        <w:rPr>
          <w:rFonts w:ascii="仿宋_GB2312" w:hAnsi="华文仿宋" w:eastAsia="仿宋_GB2312"/>
          <w:sz w:val="32"/>
          <w:szCs w:val="32"/>
        </w:rPr>
      </w:pPr>
      <w:r>
        <w:rPr>
          <w:rFonts w:hint="eastAsia" w:ascii="仿宋_GB2312" w:hAnsi="仿宋" w:eastAsia="仿宋_GB2312" w:cs="宋体"/>
          <w:sz w:val="32"/>
          <w:szCs w:val="32"/>
        </w:rPr>
        <w:t>（八）</w:t>
      </w:r>
      <w:r>
        <w:rPr>
          <w:rFonts w:hint="eastAsia" w:ascii="仿宋_GB2312" w:hAnsi="华文仿宋" w:eastAsia="仿宋_GB2312"/>
          <w:sz w:val="32"/>
          <w:szCs w:val="32"/>
        </w:rPr>
        <w:t>《行政事业单位内部控制规范（试行）》</w:t>
      </w:r>
    </w:p>
    <w:p w14:paraId="46001D8F">
      <w:pPr>
        <w:spacing w:line="560" w:lineRule="exact"/>
        <w:ind w:firstLine="640" w:firstLineChars="200"/>
        <w:rPr>
          <w:rFonts w:ascii="仿宋_GB2312" w:hAnsi="华文仿宋" w:eastAsia="仿宋_GB2312"/>
          <w:sz w:val="32"/>
          <w:szCs w:val="32"/>
        </w:rPr>
      </w:pPr>
      <w:r>
        <w:rPr>
          <w:rFonts w:hint="eastAsia" w:ascii="仿宋_GB2312" w:hAnsi="仿宋" w:eastAsia="仿宋_GB2312" w:cs="宋体"/>
          <w:sz w:val="32"/>
          <w:szCs w:val="32"/>
        </w:rPr>
        <w:t>（九）</w:t>
      </w:r>
      <w:r>
        <w:rPr>
          <w:rFonts w:hint="eastAsia" w:ascii="仿宋_GB2312" w:hAnsi="华文仿宋" w:eastAsia="仿宋_GB2312"/>
          <w:sz w:val="32"/>
          <w:szCs w:val="32"/>
        </w:rPr>
        <w:t>《吉林省财政票据管理办法》(吉林省人民政府令第196号)</w:t>
      </w:r>
    </w:p>
    <w:p w14:paraId="205B9BD0">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仿宋" w:eastAsia="仿宋_GB2312" w:cs="宋体"/>
          <w:sz w:val="32"/>
          <w:szCs w:val="32"/>
        </w:rPr>
        <w:t>（十）</w:t>
      </w:r>
      <w:r>
        <w:rPr>
          <w:rFonts w:hint="eastAsia" w:ascii="仿宋_GB2312" w:hAnsi="华文仿宋" w:eastAsia="仿宋_GB2312"/>
          <w:sz w:val="32"/>
          <w:szCs w:val="32"/>
        </w:rPr>
        <w:t>《吉林省地方政府性债务偿债准备金管理办法》</w:t>
      </w:r>
    </w:p>
    <w:p w14:paraId="4C5DFF41">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（吉财债［2014］223号）</w:t>
      </w:r>
    </w:p>
    <w:p w14:paraId="0352B2B7">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仿宋" w:eastAsia="仿宋_GB2312" w:cs="宋体"/>
          <w:sz w:val="32"/>
          <w:szCs w:val="32"/>
        </w:rPr>
        <w:t>（十一）</w:t>
      </w:r>
      <w:r>
        <w:rPr>
          <w:rFonts w:hint="eastAsia" w:ascii="仿宋_GB2312" w:hAnsi="华文仿宋" w:eastAsia="仿宋_GB2312"/>
          <w:sz w:val="32"/>
          <w:szCs w:val="32"/>
        </w:rPr>
        <w:t>《吉林省地方政府性债务收支计划编制办法》</w:t>
      </w:r>
    </w:p>
    <w:p w14:paraId="3514DE5C">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（吉财债［2014］230号）</w:t>
      </w:r>
    </w:p>
    <w:p w14:paraId="33821975">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仿宋" w:eastAsia="仿宋_GB2312" w:cs="宋体"/>
          <w:sz w:val="32"/>
          <w:szCs w:val="32"/>
        </w:rPr>
        <w:t>（十二）</w:t>
      </w:r>
      <w:r>
        <w:rPr>
          <w:rFonts w:hint="eastAsia" w:ascii="仿宋_GB2312" w:hAnsi="华文仿宋" w:eastAsia="仿宋_GB2312"/>
          <w:sz w:val="32"/>
          <w:szCs w:val="32"/>
        </w:rPr>
        <w:t>《吉林省地方政府性债务举债核准管理办法》</w:t>
      </w:r>
    </w:p>
    <w:p w14:paraId="300F7C35">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（吉财债［2014］231号）</w:t>
      </w:r>
    </w:p>
    <w:p w14:paraId="1A4B0782">
      <w:pPr>
        <w:autoSpaceDE w:val="0"/>
        <w:autoSpaceDN w:val="0"/>
        <w:adjustRightInd w:val="0"/>
        <w:spacing w:line="560" w:lineRule="exact"/>
        <w:ind w:firstLine="640" w:firstLineChars="200"/>
        <w:rPr>
          <w:rFonts w:ascii="仿宋_GB2312" w:hAnsi="华文仿宋" w:eastAsia="仿宋_GB2312"/>
          <w:sz w:val="32"/>
          <w:szCs w:val="32"/>
        </w:rPr>
      </w:pPr>
      <w:r>
        <w:rPr>
          <w:rFonts w:hint="eastAsia" w:ascii="仿宋_GB2312" w:hAnsi="仿宋" w:eastAsia="仿宋_GB2312" w:cs="宋体"/>
          <w:sz w:val="32"/>
          <w:szCs w:val="32"/>
        </w:rPr>
        <w:t>（十三）</w:t>
      </w:r>
      <w:r>
        <w:rPr>
          <w:rFonts w:hint="eastAsia" w:ascii="仿宋_GB2312" w:hAnsi="华文仿宋" w:eastAsia="仿宋_GB2312"/>
          <w:sz w:val="32"/>
          <w:szCs w:val="32"/>
        </w:rPr>
        <w:t>《吉林省人民政府关于进一步加强非税收入管理的意见》和本级财政关于非税收入管理的相关规定。</w:t>
      </w:r>
    </w:p>
    <w:p w14:paraId="6C54934C">
      <w:pPr>
        <w:autoSpaceDE w:val="0"/>
        <w:autoSpaceDN w:val="0"/>
        <w:adjustRightInd w:val="0"/>
        <w:spacing w:line="560" w:lineRule="exact"/>
        <w:rPr>
          <w:rFonts w:ascii="仿宋_GB2312" w:hAnsi="华文仿宋" w:eastAsia="仿宋_GB2312"/>
          <w:sz w:val="32"/>
          <w:szCs w:val="32"/>
        </w:rPr>
      </w:pPr>
    </w:p>
    <w:p w14:paraId="14BD5918">
      <w:pPr>
        <w:autoSpaceDE w:val="0"/>
        <w:autoSpaceDN w:val="0"/>
        <w:adjustRightInd w:val="0"/>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第二章</w:t>
      </w:r>
      <w:r>
        <w:rPr>
          <w:rFonts w:hint="eastAsia" w:ascii="方正小标宋_GBK" w:hAnsi="方正小标宋_GBK" w:eastAsia="方正小标宋_GBK" w:cs="方正小标宋_GBK"/>
          <w:bCs/>
          <w:sz w:val="32"/>
          <w:szCs w:val="32"/>
        </w:rPr>
        <w:t xml:space="preserve">  </w:t>
      </w:r>
      <w:r>
        <w:rPr>
          <w:rFonts w:hint="eastAsia" w:ascii="方正小标宋_GBK" w:hAnsi="方正小标宋_GBK" w:eastAsia="方正小标宋_GBK" w:cs="方正小标宋_GBK"/>
          <w:bCs/>
          <w:sz w:val="44"/>
          <w:szCs w:val="44"/>
        </w:rPr>
        <w:t>收入业务</w:t>
      </w:r>
    </w:p>
    <w:p w14:paraId="5E41B340">
      <w:pPr>
        <w:autoSpaceDE w:val="0"/>
        <w:autoSpaceDN w:val="0"/>
        <w:adjustRightInd w:val="0"/>
        <w:spacing w:line="560" w:lineRule="exact"/>
        <w:ind w:firstLine="643" w:firstLineChars="200"/>
        <w:jc w:val="left"/>
        <w:rPr>
          <w:rFonts w:ascii="仿宋_GB2312" w:hAnsi="华文仿宋" w:eastAsia="仿宋_GB2312"/>
          <w:sz w:val="32"/>
          <w:szCs w:val="32"/>
        </w:rPr>
      </w:pPr>
      <w:r>
        <w:rPr>
          <w:rFonts w:hint="eastAsia" w:ascii="黑体" w:hAnsi="黑体" w:eastAsia="黑体"/>
          <w:b/>
          <w:sz w:val="32"/>
          <w:szCs w:val="32"/>
        </w:rPr>
        <w:t>第一条</w:t>
      </w:r>
      <w:r>
        <w:rPr>
          <w:rFonts w:hint="eastAsia" w:ascii="华文仿宋" w:hAnsi="华文仿宋" w:eastAsia="华文仿宋"/>
          <w:sz w:val="32"/>
          <w:szCs w:val="32"/>
        </w:rPr>
        <w:t xml:space="preserve"> </w:t>
      </w:r>
      <w:r>
        <w:rPr>
          <w:rFonts w:hint="eastAsia" w:ascii="仿宋_GB2312" w:hAnsi="华文仿宋" w:eastAsia="仿宋_GB2312"/>
          <w:sz w:val="32"/>
          <w:szCs w:val="32"/>
        </w:rPr>
        <w:t xml:space="preserve"> 纳入本单位的收入包括:</w:t>
      </w:r>
    </w:p>
    <w:p w14:paraId="353C3B70">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根据财务规则和会计准则认定的收入。包括:国家规定的专门用途资金；市财政拨款收入和其他收入。</w:t>
      </w:r>
    </w:p>
    <w:p w14:paraId="1DECF20F">
      <w:pPr>
        <w:autoSpaceDE w:val="0"/>
        <w:autoSpaceDN w:val="0"/>
        <w:adjustRightInd w:val="0"/>
        <w:spacing w:line="560" w:lineRule="exact"/>
        <w:ind w:firstLine="643" w:firstLineChars="200"/>
        <w:jc w:val="left"/>
        <w:rPr>
          <w:rFonts w:ascii="华文仿宋" w:hAnsi="华文仿宋" w:eastAsia="华文仿宋"/>
          <w:sz w:val="32"/>
          <w:szCs w:val="32"/>
        </w:rPr>
      </w:pPr>
      <w:r>
        <w:rPr>
          <w:rFonts w:hint="eastAsia" w:ascii="黑体" w:hAnsi="黑体" w:eastAsia="黑体"/>
          <w:b/>
          <w:sz w:val="32"/>
          <w:szCs w:val="32"/>
        </w:rPr>
        <w:t>第二条</w:t>
      </w:r>
      <w:r>
        <w:rPr>
          <w:rFonts w:hint="eastAsia" w:ascii="华文仿宋" w:hAnsi="华文仿宋" w:eastAsia="华文仿宋"/>
          <w:b/>
          <w:sz w:val="32"/>
          <w:szCs w:val="32"/>
        </w:rPr>
        <w:t xml:space="preserve"> </w:t>
      </w:r>
      <w:r>
        <w:rPr>
          <w:rFonts w:hint="eastAsia" w:ascii="华文仿宋" w:hAnsi="华文仿宋" w:eastAsia="华文仿宋"/>
          <w:sz w:val="32"/>
          <w:szCs w:val="32"/>
        </w:rPr>
        <w:t xml:space="preserve"> </w:t>
      </w:r>
      <w:r>
        <w:rPr>
          <w:rFonts w:hint="eastAsia" w:ascii="仿宋_GB2312" w:hAnsi="华文仿宋" w:eastAsia="仿宋_GB2312"/>
          <w:sz w:val="32"/>
          <w:szCs w:val="32"/>
        </w:rPr>
        <w:t>本单位收入管理实行统一核算、归口管理。</w:t>
      </w:r>
    </w:p>
    <w:p w14:paraId="2DB734B5">
      <w:pPr>
        <w:autoSpaceDE w:val="0"/>
        <w:autoSpaceDN w:val="0"/>
        <w:adjustRightInd w:val="0"/>
        <w:spacing w:line="560" w:lineRule="exact"/>
        <w:ind w:firstLine="643" w:firstLineChars="200"/>
        <w:jc w:val="left"/>
        <w:rPr>
          <w:rFonts w:ascii="仿宋_GB2312" w:hAnsi="华文仿宋" w:eastAsia="仿宋_GB2312"/>
          <w:sz w:val="32"/>
          <w:szCs w:val="32"/>
        </w:rPr>
      </w:pPr>
      <w:r>
        <w:rPr>
          <w:rFonts w:hint="eastAsia" w:ascii="黑体" w:hAnsi="黑体" w:eastAsia="黑体"/>
          <w:b/>
          <w:sz w:val="32"/>
          <w:szCs w:val="32"/>
        </w:rPr>
        <w:t xml:space="preserve">第三条  </w:t>
      </w:r>
      <w:r>
        <w:rPr>
          <w:rFonts w:hint="eastAsia" w:ascii="仿宋_GB2312" w:hAnsi="华文仿宋" w:eastAsia="仿宋_GB2312"/>
          <w:sz w:val="32"/>
          <w:szCs w:val="32"/>
        </w:rPr>
        <w:t>岗位设置及职责</w:t>
      </w:r>
    </w:p>
    <w:p w14:paraId="4B555330">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会计核算人员</w:t>
      </w:r>
    </w:p>
    <w:p w14:paraId="222C0EE1">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 xml:space="preserve">    负责单位收入业务核算、会计档案保管。</w:t>
      </w:r>
    </w:p>
    <w:p w14:paraId="43463FBD">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会计记账人员</w:t>
      </w:r>
      <w:r>
        <w:rPr>
          <w:rFonts w:hint="eastAsia" w:ascii="楷体_GB2312" w:hAnsi="华文仿宋" w:eastAsia="楷体_GB2312"/>
          <w:b/>
          <w:sz w:val="32"/>
          <w:szCs w:val="32"/>
        </w:rPr>
        <w:t xml:space="preserve"> </w:t>
      </w:r>
      <w:r>
        <w:rPr>
          <w:rFonts w:hint="eastAsia" w:ascii="仿宋_GB2312" w:hAnsi="华文仿宋" w:eastAsia="仿宋_GB2312"/>
          <w:sz w:val="32"/>
          <w:szCs w:val="32"/>
        </w:rPr>
        <w:t xml:space="preserve"> </w:t>
      </w:r>
    </w:p>
    <w:p w14:paraId="220D4C80">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 xml:space="preserve">   负责单位收入业务账目登记，保管票据。</w:t>
      </w:r>
    </w:p>
    <w:p w14:paraId="61691A65">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出纳人员</w:t>
      </w:r>
    </w:p>
    <w:p w14:paraId="040AA5D1">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 xml:space="preserve">   负责收款、开票，相关印鉴管理。</w:t>
      </w:r>
    </w:p>
    <w:p w14:paraId="276498F7">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（一）财会部门作为归口管理部门，对本单位的收入进行统一管理和监控。</w:t>
      </w:r>
    </w:p>
    <w:p w14:paraId="2B072F14">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1、制定收入内部管理制度；</w:t>
      </w:r>
    </w:p>
    <w:p w14:paraId="12C08932">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2、全面掌握本单位各业务部门的收费项目，做好收费许可证的年检，确保各项收费项目符合国家有关规定；</w:t>
      </w:r>
    </w:p>
    <w:p w14:paraId="6DAA05EA">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3、按照国家统一的财务会计制度的规定对收入业务进行会计核算，及时、完整地记录，反映单位的收入业务；</w:t>
      </w:r>
    </w:p>
    <w:p w14:paraId="22953D04">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4、加强对收入业务的分析和对账工作，根据收入预算、所掌握的合同情况对收入收取情况的合理性进行分析，定期与业务部门进行对帐，判断有无异常情况。</w:t>
      </w:r>
    </w:p>
    <w:p w14:paraId="3B046A6B">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5、加强对收入业务的检查，包括定期检查收入款项是否及时、足额缴存到规定银行帐户，收入金额是否与合同约定相符，对应收未收项目应当查明情况，明确责任主体，落实催收责任。</w:t>
      </w:r>
    </w:p>
    <w:p w14:paraId="6EFF278E">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（二）业务部门在涉及收入的相关文件或合同协议签字后及时将合同等有关材料提交财务部门作为帐务处理的依据，确保各项收入应收尽收，及时入帐，严禁设立账外账；。</w:t>
      </w:r>
    </w:p>
    <w:p w14:paraId="76096C94">
      <w:pPr>
        <w:autoSpaceDE w:val="0"/>
        <w:autoSpaceDN w:val="0"/>
        <w:adjustRightInd w:val="0"/>
        <w:spacing w:line="560" w:lineRule="exact"/>
        <w:ind w:firstLine="643" w:firstLineChars="200"/>
        <w:jc w:val="left"/>
        <w:rPr>
          <w:rFonts w:ascii="仿宋_GB2312" w:hAnsi="华文仿宋" w:eastAsia="仿宋_GB2312"/>
          <w:sz w:val="32"/>
          <w:szCs w:val="32"/>
          <w:highlight w:val="yellow"/>
        </w:rPr>
      </w:pPr>
      <w:r>
        <w:rPr>
          <w:rFonts w:hint="eastAsia" w:ascii="黑体" w:hAnsi="黑体" w:eastAsia="黑体"/>
          <w:b/>
          <w:sz w:val="32"/>
          <w:szCs w:val="32"/>
        </w:rPr>
        <w:t>第四条</w:t>
      </w:r>
      <w:r>
        <w:rPr>
          <w:rFonts w:hint="eastAsia" w:ascii="仿宋_GB2312" w:hAnsi="黑体" w:eastAsia="仿宋_GB2312"/>
          <w:sz w:val="32"/>
          <w:szCs w:val="32"/>
        </w:rPr>
        <w:t xml:space="preserve"> </w:t>
      </w:r>
      <w:r>
        <w:rPr>
          <w:rFonts w:hint="eastAsia" w:ascii="仿宋_GB2312" w:hAnsi="华文仿宋" w:eastAsia="仿宋_GB2312"/>
          <w:sz w:val="32"/>
          <w:szCs w:val="32"/>
        </w:rPr>
        <w:t>加强非税收入管理。</w:t>
      </w:r>
    </w:p>
    <w:p w14:paraId="08A2E1BA">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（一）建立收入台账制度。各业务部门要按照征收情况建立收入台账，与财会部门加强衔接沟通，确保收入实现进度。</w:t>
      </w:r>
    </w:p>
    <w:p w14:paraId="66011CD1">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（二）政府非税收入要严格执行“收支两条线”管理规定，取得收入须使用财政部门统一印发的票据，并及时、足额上缴国库或财政专户，不得以任何形式截留、挪用或坐支。</w:t>
      </w:r>
    </w:p>
    <w:p w14:paraId="36ABC930">
      <w:pPr>
        <w:autoSpaceDE w:val="0"/>
        <w:autoSpaceDN w:val="0"/>
        <w:adjustRightInd w:val="0"/>
        <w:spacing w:line="560" w:lineRule="exact"/>
        <w:rPr>
          <w:rFonts w:ascii="仿宋_GB2312" w:hAnsi="黑体" w:eastAsia="仿宋_GB2312"/>
          <w:b/>
          <w:sz w:val="32"/>
          <w:szCs w:val="32"/>
        </w:rPr>
      </w:pPr>
    </w:p>
    <w:p w14:paraId="46AD53A2">
      <w:pPr>
        <w:autoSpaceDE w:val="0"/>
        <w:autoSpaceDN w:val="0"/>
        <w:adjustRightInd w:val="0"/>
        <w:spacing w:line="560" w:lineRule="exact"/>
        <w:ind w:firstLine="643" w:firstLineChars="200"/>
        <w:jc w:val="center"/>
        <w:rPr>
          <w:rFonts w:ascii="黑体" w:hAnsi="黑体" w:eastAsia="黑体"/>
          <w:b/>
          <w:sz w:val="32"/>
          <w:szCs w:val="32"/>
        </w:rPr>
      </w:pPr>
      <w:r>
        <w:rPr>
          <w:rFonts w:hint="eastAsia" w:ascii="黑体" w:hAnsi="黑体" w:eastAsia="黑体"/>
          <w:b/>
          <w:sz w:val="32"/>
          <w:szCs w:val="32"/>
        </w:rPr>
        <w:t>第三章  支出业务</w:t>
      </w:r>
    </w:p>
    <w:p w14:paraId="32D446DF">
      <w:pPr>
        <w:autoSpaceDE w:val="0"/>
        <w:autoSpaceDN w:val="0"/>
        <w:adjustRightInd w:val="0"/>
        <w:spacing w:line="560" w:lineRule="exact"/>
        <w:ind w:firstLine="643" w:firstLineChars="200"/>
        <w:jc w:val="left"/>
        <w:rPr>
          <w:rFonts w:ascii="仿宋_GB2312" w:hAnsi="华文仿宋" w:eastAsia="仿宋_GB2312"/>
          <w:sz w:val="32"/>
          <w:szCs w:val="32"/>
        </w:rPr>
      </w:pPr>
      <w:r>
        <w:rPr>
          <w:rFonts w:hint="eastAsia" w:ascii="黑体" w:hAnsi="黑体" w:eastAsia="黑体"/>
          <w:b/>
          <w:sz w:val="32"/>
          <w:szCs w:val="32"/>
        </w:rPr>
        <w:t>第一条</w:t>
      </w:r>
      <w:r>
        <w:rPr>
          <w:rFonts w:hint="eastAsia" w:ascii="仿宋_GB2312" w:hAnsi="黑体" w:eastAsia="仿宋_GB2312"/>
          <w:sz w:val="32"/>
          <w:szCs w:val="32"/>
        </w:rPr>
        <w:t xml:space="preserve"> </w:t>
      </w:r>
      <w:r>
        <w:rPr>
          <w:rFonts w:hint="eastAsia" w:ascii="仿宋_GB2312" w:hAnsi="华文仿宋" w:eastAsia="仿宋_GB2312"/>
          <w:sz w:val="32"/>
          <w:szCs w:val="32"/>
        </w:rPr>
        <w:t>支出的主要内容:保障机构正常运转和完成工作任务所发生的资金耗费和损失，包括基本支出和项目支出。</w:t>
      </w:r>
    </w:p>
    <w:p w14:paraId="373C2D19">
      <w:pPr>
        <w:autoSpaceDE w:val="0"/>
        <w:autoSpaceDN w:val="0"/>
        <w:adjustRightInd w:val="0"/>
        <w:spacing w:line="560" w:lineRule="exact"/>
        <w:ind w:firstLine="643" w:firstLineChars="200"/>
        <w:jc w:val="left"/>
        <w:rPr>
          <w:rFonts w:ascii="仿宋_GB2312" w:hAnsi="华文仿宋" w:eastAsia="仿宋_GB2312"/>
          <w:sz w:val="32"/>
          <w:szCs w:val="32"/>
        </w:rPr>
      </w:pPr>
      <w:r>
        <w:rPr>
          <w:rFonts w:hint="eastAsia" w:ascii="黑体" w:hAnsi="黑体" w:eastAsia="黑体"/>
          <w:b/>
          <w:sz w:val="32"/>
          <w:szCs w:val="32"/>
        </w:rPr>
        <w:t>第二条</w:t>
      </w:r>
      <w:r>
        <w:rPr>
          <w:rFonts w:hint="eastAsia" w:ascii="仿宋_GB2312" w:hAnsi="华文仿宋" w:eastAsia="仿宋_GB2312"/>
          <w:sz w:val="32"/>
          <w:szCs w:val="32"/>
        </w:rPr>
        <w:t xml:space="preserve"> 支出业务主要包括支出事前申请、借款或报销、资金支付、会计核算等环节。</w:t>
      </w:r>
    </w:p>
    <w:p w14:paraId="21708C28">
      <w:pPr>
        <w:autoSpaceDE w:val="0"/>
        <w:autoSpaceDN w:val="0"/>
        <w:adjustRightInd w:val="0"/>
        <w:spacing w:line="560" w:lineRule="exact"/>
        <w:ind w:firstLine="643" w:firstLineChars="200"/>
        <w:jc w:val="left"/>
        <w:rPr>
          <w:rFonts w:ascii="仿宋_GB2312" w:hAnsi="华文仿宋" w:eastAsia="仿宋_GB2312"/>
          <w:sz w:val="32"/>
          <w:szCs w:val="32"/>
        </w:rPr>
      </w:pPr>
      <w:r>
        <w:rPr>
          <w:rFonts w:hint="eastAsia" w:ascii="黑体" w:hAnsi="黑体" w:eastAsia="黑体"/>
          <w:b/>
          <w:sz w:val="32"/>
          <w:szCs w:val="32"/>
        </w:rPr>
        <w:t>第三条</w:t>
      </w:r>
      <w:r>
        <w:rPr>
          <w:rFonts w:hint="eastAsia" w:ascii="仿宋_GB2312" w:hAnsi="华文仿宋" w:eastAsia="仿宋_GB2312"/>
          <w:sz w:val="32"/>
          <w:szCs w:val="32"/>
        </w:rPr>
        <w:t xml:space="preserve"> 支出管理遵循量入为出、保障重点、兼顾一般、厉行节约、制止奢侈浪费、降低成本，注重资金使用效益的原则。</w:t>
      </w:r>
    </w:p>
    <w:p w14:paraId="7F8B7501">
      <w:pPr>
        <w:autoSpaceDE w:val="0"/>
        <w:autoSpaceDN w:val="0"/>
        <w:adjustRightInd w:val="0"/>
        <w:spacing w:line="560" w:lineRule="exact"/>
        <w:ind w:firstLine="643" w:firstLineChars="200"/>
        <w:jc w:val="left"/>
        <w:rPr>
          <w:rFonts w:ascii="仿宋_GB2312" w:hAnsi="黑体" w:eastAsia="仿宋_GB2312"/>
          <w:sz w:val="32"/>
          <w:szCs w:val="32"/>
          <w:highlight w:val="lightGray"/>
        </w:rPr>
      </w:pPr>
      <w:r>
        <w:rPr>
          <w:rFonts w:hint="eastAsia" w:ascii="黑体" w:hAnsi="黑体" w:eastAsia="黑体"/>
          <w:b/>
          <w:sz w:val="32"/>
          <w:szCs w:val="32"/>
        </w:rPr>
        <w:t>第四条</w:t>
      </w:r>
      <w:r>
        <w:rPr>
          <w:rFonts w:hint="eastAsia" w:ascii="仿宋_GB2312" w:hAnsi="黑体" w:eastAsia="仿宋_GB2312"/>
          <w:b/>
          <w:sz w:val="32"/>
          <w:szCs w:val="32"/>
        </w:rPr>
        <w:t xml:space="preserve"> </w:t>
      </w:r>
      <w:r>
        <w:rPr>
          <w:rFonts w:hint="eastAsia" w:ascii="仿宋_GB2312" w:hAnsi="黑体" w:eastAsia="仿宋_GB2312"/>
          <w:sz w:val="32"/>
          <w:szCs w:val="32"/>
        </w:rPr>
        <w:t>岗位设置与职责</w:t>
      </w:r>
    </w:p>
    <w:p w14:paraId="77F6EF94">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（一）公积金、医保等涉及人事经费的项目为局机关政治（警务）部管理。日常办公费用归口部门为局机关办公室。</w:t>
      </w:r>
    </w:p>
    <w:p w14:paraId="4FA68C84">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（二）审批人：局长     负责对局机关支出事项的审批（五千元以上支出事项）。</w:t>
      </w:r>
    </w:p>
    <w:p w14:paraId="7096EA0F">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 xml:space="preserve">      审批人：主管财务领导   负责对所有支出事项的审批。</w:t>
      </w:r>
    </w:p>
    <w:p w14:paraId="1D9FF7E8">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审核人：业务科室分管领导   负责对分管科室支出事项的审核。（涉及办公用品、设备及其耗材归口为局办公室）</w:t>
      </w:r>
    </w:p>
    <w:p w14:paraId="37101A7F">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 xml:space="preserve">      审核人：办公室人员     负责对局机关日常办公费用的支出申请和内部审批：</w:t>
      </w:r>
    </w:p>
    <w:p w14:paraId="442DCB88">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出纳</w:t>
      </w:r>
      <w:r>
        <w:rPr>
          <w:rFonts w:hint="eastAsia" w:ascii="仿宋_GB2312" w:hAnsi="宋体" w:eastAsia="仿宋_GB2312" w:cs="宋体"/>
          <w:sz w:val="32"/>
          <w:szCs w:val="32"/>
        </w:rPr>
        <w:t>员</w:t>
      </w:r>
      <w:r>
        <w:rPr>
          <w:rFonts w:hint="eastAsia" w:ascii="仿宋_GB2312" w:hAnsi="华文仿宋" w:eastAsia="仿宋_GB2312"/>
          <w:sz w:val="32"/>
          <w:szCs w:val="32"/>
        </w:rPr>
        <w:t>：出纳岗位人员   负责对收入</w:t>
      </w:r>
      <w:r>
        <w:rPr>
          <w:rFonts w:hint="eastAsia" w:ascii="仿宋_GB2312" w:hAnsi="仿宋" w:eastAsia="仿宋_GB2312"/>
          <w:sz w:val="32"/>
          <w:szCs w:val="32"/>
        </w:rPr>
        <w:t>、</w:t>
      </w:r>
      <w:r>
        <w:rPr>
          <w:rFonts w:hint="eastAsia" w:ascii="仿宋_GB2312" w:hAnsi="华文仿宋" w:eastAsia="仿宋_GB2312"/>
          <w:sz w:val="32"/>
          <w:szCs w:val="32"/>
        </w:rPr>
        <w:t>支出事项的结算和印鉴管理。</w:t>
      </w:r>
    </w:p>
    <w:p w14:paraId="38FBDEAB">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 xml:space="preserve">      核算员：会计岗位人员   负责对支出事项的核算和归档。</w:t>
      </w:r>
    </w:p>
    <w:p w14:paraId="73F1B063">
      <w:pPr>
        <w:autoSpaceDE w:val="0"/>
        <w:autoSpaceDN w:val="0"/>
        <w:adjustRightInd w:val="0"/>
        <w:spacing w:line="560" w:lineRule="exact"/>
        <w:ind w:firstLine="643" w:firstLineChars="200"/>
        <w:jc w:val="left"/>
        <w:rPr>
          <w:rFonts w:ascii="仿宋_GB2312" w:hAnsi="仿宋" w:eastAsia="仿宋_GB2312"/>
          <w:sz w:val="32"/>
          <w:szCs w:val="32"/>
        </w:rPr>
      </w:pPr>
      <w:r>
        <w:rPr>
          <w:rFonts w:hint="eastAsia" w:ascii="黑体" w:hAnsi="黑体" w:eastAsia="黑体"/>
          <w:b/>
          <w:sz w:val="32"/>
          <w:szCs w:val="32"/>
        </w:rPr>
        <w:t>第五条</w:t>
      </w:r>
      <w:r>
        <w:rPr>
          <w:rFonts w:hint="eastAsia" w:ascii="仿宋_GB2312" w:hAnsi="黑体" w:eastAsia="仿宋_GB2312"/>
          <w:b/>
          <w:sz w:val="32"/>
          <w:szCs w:val="32"/>
        </w:rPr>
        <w:t xml:space="preserve"> </w:t>
      </w:r>
      <w:r>
        <w:rPr>
          <w:rFonts w:hint="eastAsia" w:ascii="仿宋_GB2312" w:hAnsi="仿宋" w:eastAsia="仿宋_GB2312"/>
          <w:sz w:val="32"/>
          <w:szCs w:val="32"/>
        </w:rPr>
        <w:t>支出业务事项的开支范围、开支标准及业务事项所涉及的表单和票据。</w:t>
      </w:r>
    </w:p>
    <w:p w14:paraId="2682D1EE">
      <w:pPr>
        <w:autoSpaceDE w:val="0"/>
        <w:autoSpaceDN w:val="0"/>
        <w:adjustRightInd w:val="0"/>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 xml:space="preserve">    （一）机关日常经费支出，严格按照市管局、财政局相关政策性文件和相关标准严格执行，严禁超支、违规支出。</w:t>
      </w:r>
    </w:p>
    <w:p w14:paraId="5C42B9EA">
      <w:pPr>
        <w:autoSpaceDE w:val="0"/>
        <w:autoSpaceDN w:val="0"/>
        <w:adjustRightInd w:val="0"/>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 xml:space="preserve">    （二）所有经费支出必须严格执行“费用支出计划审批单”预先审批制度。经手人填写“审批单”，内审员、审核人、审批人签字确认，严把财务支出“审批单”审批关口。</w:t>
      </w:r>
    </w:p>
    <w:p w14:paraId="52B7D240">
      <w:pPr>
        <w:spacing w:line="560" w:lineRule="exact"/>
        <w:ind w:firstLine="640" w:firstLineChars="200"/>
        <w:rPr>
          <w:rFonts w:ascii="仿宋_GB2312" w:eastAsia="仿宋_GB2312"/>
          <w:color w:val="000000"/>
          <w:sz w:val="32"/>
          <w:szCs w:val="32"/>
        </w:rPr>
      </w:pPr>
      <w:r>
        <w:rPr>
          <w:rFonts w:hint="eastAsia" w:ascii="仿宋_GB2312" w:hAnsi="仿宋" w:eastAsia="仿宋_GB2312"/>
          <w:sz w:val="32"/>
          <w:szCs w:val="32"/>
        </w:rPr>
        <w:t xml:space="preserve">    （三）旅差费、公务接待、公车出车，严格执行</w:t>
      </w:r>
      <w:r>
        <w:rPr>
          <w:rFonts w:hint="eastAsia" w:ascii="仿宋_GB2312" w:eastAsia="仿宋_GB2312"/>
          <w:sz w:val="32"/>
          <w:szCs w:val="32"/>
        </w:rPr>
        <w:t>《白城市司法局公务接待管理办法》、《白城市司法局机关差旅费管理办法》。（详见附件）</w:t>
      </w:r>
    </w:p>
    <w:p w14:paraId="04EA9520">
      <w:pPr>
        <w:autoSpaceDE w:val="0"/>
        <w:autoSpaceDN w:val="0"/>
        <w:adjustRightInd w:val="0"/>
        <w:spacing w:line="560" w:lineRule="exact"/>
        <w:ind w:firstLine="643" w:firstLineChars="200"/>
        <w:jc w:val="left"/>
        <w:rPr>
          <w:rFonts w:ascii="仿宋_GB2312" w:hAnsi="华文仿宋" w:eastAsia="仿宋_GB2312"/>
          <w:sz w:val="32"/>
          <w:szCs w:val="32"/>
        </w:rPr>
      </w:pPr>
      <w:r>
        <w:rPr>
          <w:rFonts w:hint="eastAsia" w:ascii="黑体" w:hAnsi="黑体" w:eastAsia="黑体"/>
          <w:b/>
          <w:sz w:val="32"/>
          <w:szCs w:val="32"/>
        </w:rPr>
        <w:t>第六条</w:t>
      </w:r>
      <w:r>
        <w:rPr>
          <w:rFonts w:hint="eastAsia" w:ascii="仿宋_GB2312" w:hAnsi="黑体" w:eastAsia="仿宋_GB2312"/>
          <w:b/>
          <w:sz w:val="32"/>
          <w:szCs w:val="32"/>
        </w:rPr>
        <w:t xml:space="preserve"> </w:t>
      </w:r>
      <w:r>
        <w:rPr>
          <w:rFonts w:hint="eastAsia" w:ascii="仿宋_GB2312" w:hAnsi="华文仿宋" w:eastAsia="仿宋_GB2312"/>
          <w:sz w:val="32"/>
          <w:szCs w:val="32"/>
        </w:rPr>
        <w:t>加强支出事前申请管理。各部门在开展业务活动时，在发生相关支出之前，业务工作人员应履行支出事前申请程序，即根据工作计划、工作任务和单位领导的指示并结合预算指标，与业务部门提出事前申请。</w:t>
      </w:r>
    </w:p>
    <w:p w14:paraId="2FC9AAB9">
      <w:pPr>
        <w:autoSpaceDE w:val="0"/>
        <w:autoSpaceDN w:val="0"/>
        <w:adjustRightInd w:val="0"/>
        <w:spacing w:line="560" w:lineRule="exact"/>
        <w:ind w:firstLine="643" w:firstLineChars="200"/>
        <w:jc w:val="left"/>
        <w:rPr>
          <w:rFonts w:ascii="仿宋_GB2312" w:hAnsi="华文仿宋" w:eastAsia="仿宋_GB2312"/>
          <w:sz w:val="32"/>
          <w:szCs w:val="32"/>
        </w:rPr>
      </w:pPr>
      <w:r>
        <w:rPr>
          <w:rFonts w:hint="eastAsia" w:ascii="黑体" w:hAnsi="黑体" w:eastAsia="黑体"/>
          <w:b/>
          <w:sz w:val="32"/>
          <w:szCs w:val="32"/>
        </w:rPr>
        <w:t>第七条</w:t>
      </w:r>
      <w:r>
        <w:rPr>
          <w:rFonts w:hint="eastAsia" w:ascii="仿宋_GB2312" w:hAnsi="黑体" w:eastAsia="仿宋_GB2312"/>
          <w:sz w:val="32"/>
          <w:szCs w:val="32"/>
        </w:rPr>
        <w:t xml:space="preserve"> </w:t>
      </w:r>
      <w:r>
        <w:rPr>
          <w:rFonts w:hint="eastAsia" w:ascii="仿宋_GB2312" w:hAnsi="华文仿宋" w:eastAsia="仿宋_GB2312"/>
          <w:sz w:val="32"/>
          <w:szCs w:val="32"/>
        </w:rPr>
        <w:t>加强支出审批管理。</w:t>
      </w:r>
    </w:p>
    <w:p w14:paraId="22FB95F3">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司法局机关支出事项，必须严格执行“费用支出计划审批单”制度。</w:t>
      </w:r>
    </w:p>
    <w:p w14:paraId="73BA576E">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一）局机关各科（室）发生业务支出事项，由办案人员填写“费用支出计划审批单“，由业务科室负责人、业务科室分管领导、分管财务工作领导审批（五千元以上支出上报局长审批），签批手续齐全后，实施经济业务活动。</w:t>
      </w:r>
    </w:p>
    <w:p w14:paraId="74AB1228">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（二）经济业务结束后，办案人员在7日内持计划审批单及报销凭证履行完报销手续。</w:t>
      </w:r>
    </w:p>
    <w:p w14:paraId="4F1688F6">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（三）凡涉及办公耗材、设备维修等采购事项，在“费用支出计划审批单“签批后，均由局机关办公室统一采购。</w:t>
      </w:r>
    </w:p>
    <w:p w14:paraId="5C6CDE94">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（四）采购物品后履行好出入库及资产管理手续</w:t>
      </w:r>
    </w:p>
    <w:p w14:paraId="2E155E43">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（五）公出审批严格执行“公务出差审批单“审批手续，凡属乘坐公车出差事项，还需填写“公务车辆用车单”。</w:t>
      </w:r>
    </w:p>
    <w:p w14:paraId="649C3617">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（六）报销凭证由核算员对票据进行审核，交由出纳支付。（七）“费用支出计划审批单”审核人、内审员必须在授权范围内审批，不得越权。</w:t>
      </w:r>
    </w:p>
    <w:p w14:paraId="6DAF8F4B">
      <w:pPr>
        <w:autoSpaceDE w:val="0"/>
        <w:autoSpaceDN w:val="0"/>
        <w:adjustRightInd w:val="0"/>
        <w:spacing w:line="560" w:lineRule="exact"/>
        <w:ind w:firstLine="643" w:firstLineChars="200"/>
        <w:jc w:val="left"/>
        <w:rPr>
          <w:rFonts w:ascii="仿宋_GB2312" w:hAnsi="华文仿宋" w:eastAsia="仿宋_GB2312"/>
          <w:sz w:val="32"/>
          <w:szCs w:val="32"/>
        </w:rPr>
      </w:pPr>
      <w:r>
        <w:rPr>
          <w:rFonts w:hint="eastAsia" w:ascii="黑体" w:hAnsi="黑体" w:eastAsia="黑体"/>
          <w:b/>
          <w:sz w:val="32"/>
          <w:szCs w:val="32"/>
        </w:rPr>
        <w:t>第八条</w:t>
      </w:r>
      <w:r>
        <w:rPr>
          <w:rFonts w:hint="eastAsia" w:ascii="仿宋_GB2312" w:hAnsi="黑体" w:eastAsia="仿宋_GB2312"/>
          <w:b/>
          <w:sz w:val="32"/>
          <w:szCs w:val="32"/>
        </w:rPr>
        <w:t xml:space="preserve"> </w:t>
      </w:r>
      <w:r>
        <w:rPr>
          <w:rFonts w:hint="eastAsia" w:ascii="仿宋_GB2312" w:hAnsi="华文仿宋" w:eastAsia="仿宋_GB2312"/>
          <w:sz w:val="32"/>
          <w:szCs w:val="32"/>
        </w:rPr>
        <w:t>加强支出审核管理。</w:t>
      </w:r>
    </w:p>
    <w:p w14:paraId="26BA903D">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一）全面审核各类单据。单据包括发票、单位内部流转的各类文件和表单。支出凭证应当附反映支出明细内容的原始单据，并由经办人员签字或盖章，超出规定标准的支出事项应由经办人员说明原因并附审批依据，确保与经济业务事项相符。</w:t>
      </w:r>
    </w:p>
    <w:p w14:paraId="1125FFB7">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（二）支出单据重点审核：单据来源是否合法，内容是否真实、完整，使用是否准确，是否符合预算，审批手续是否齐全。</w:t>
      </w:r>
    </w:p>
    <w:p w14:paraId="7F12AE5E">
      <w:pPr>
        <w:autoSpaceDE w:val="0"/>
        <w:autoSpaceDN w:val="0"/>
        <w:adjustRightInd w:val="0"/>
        <w:spacing w:line="560" w:lineRule="exact"/>
        <w:ind w:firstLine="643" w:firstLineChars="200"/>
        <w:jc w:val="left"/>
        <w:rPr>
          <w:rFonts w:ascii="仿宋_GB2312" w:hAnsi="华文仿宋" w:eastAsia="仿宋_GB2312"/>
          <w:sz w:val="32"/>
          <w:szCs w:val="32"/>
        </w:rPr>
      </w:pPr>
      <w:r>
        <w:rPr>
          <w:rFonts w:hint="eastAsia" w:ascii="黑体" w:hAnsi="黑体" w:eastAsia="黑体"/>
          <w:b/>
          <w:sz w:val="32"/>
          <w:szCs w:val="32"/>
        </w:rPr>
        <w:t>第九条</w:t>
      </w:r>
      <w:r>
        <w:rPr>
          <w:rFonts w:hint="eastAsia" w:ascii="仿宋_GB2312" w:hAnsi="华文仿宋" w:eastAsia="仿宋_GB2312"/>
          <w:sz w:val="32"/>
          <w:szCs w:val="32"/>
        </w:rPr>
        <w:t xml:space="preserve"> 加强支付管理。</w:t>
      </w:r>
    </w:p>
    <w:p w14:paraId="0C8F4266">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（一）借款管理。</w:t>
      </w:r>
    </w:p>
    <w:p w14:paraId="4E968C8F">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1、借款人须填写《借款审批单》，注明借款事由、借款金额、所对应的预算项目以及预计报账日期等内容，并附上与借款事项相关的事前审批单据。</w:t>
      </w:r>
    </w:p>
    <w:p w14:paraId="5CBD5371">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2、经本部门负责人审批后，提交给财会部门的分管领导进行复核。</w:t>
      </w:r>
    </w:p>
    <w:p w14:paraId="6B9E5913">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3、复核通过后，出纳人员办理借款或支票领用手续。</w:t>
      </w:r>
    </w:p>
    <w:p w14:paraId="73A43A7A">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（二）报销管理。</w:t>
      </w:r>
    </w:p>
    <w:p w14:paraId="60703B16">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1、经办人员办理费用报销时，应填写费用报销申请，确保要素齐全、内容真实完整；</w:t>
      </w:r>
    </w:p>
    <w:p w14:paraId="0524E44A">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2、由经办人、证明人签字后，提交部门负责人审核；</w:t>
      </w:r>
    </w:p>
    <w:p w14:paraId="64E96FF4">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3、经财会部门复核无误后按照支出审批权限进行审批，出纳人员按照审批结果办理支付手续。</w:t>
      </w:r>
    </w:p>
    <w:p w14:paraId="171D8631">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(三）资金支付管理。</w:t>
      </w:r>
    </w:p>
    <w:p w14:paraId="3F2DC81E">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1、业务部门借款申请或报销申请按规定的审批权限和程序审批完成后，出纳人员应依据支付审核阶段已明确的借款申请或报销申请的资金来源和账户类型，办理具体的资金支付业务；</w:t>
      </w:r>
    </w:p>
    <w:p w14:paraId="28EC7E74">
      <w:pPr>
        <w:autoSpaceDE w:val="0"/>
        <w:autoSpaceDN w:val="0"/>
        <w:adjustRightInd w:val="0"/>
        <w:spacing w:line="560" w:lineRule="exact"/>
        <w:ind w:firstLine="640" w:firstLineChars="200"/>
        <w:jc w:val="left"/>
        <w:rPr>
          <w:rFonts w:ascii="仿宋_GB2312" w:hAnsi="华文仿宋" w:eastAsia="仿宋_GB2312"/>
          <w:sz w:val="32"/>
          <w:szCs w:val="32"/>
        </w:rPr>
      </w:pPr>
      <w:r>
        <w:rPr>
          <w:rFonts w:hint="eastAsia" w:ascii="仿宋_GB2312" w:hAnsi="华文仿宋" w:eastAsia="仿宋_GB2312"/>
          <w:sz w:val="32"/>
          <w:szCs w:val="32"/>
        </w:rPr>
        <w:t>2、支付完毕后由会计进行核算，出纳人员按照签发的支付凭证应进行登记；严格执行《国家现金管理暂行条例》，实行公务卡支付制度，按公务卡相关使用和管理要求办理。</w:t>
      </w:r>
    </w:p>
    <w:p w14:paraId="344271D7">
      <w:pPr>
        <w:autoSpaceDE w:val="0"/>
        <w:autoSpaceDN w:val="0"/>
        <w:adjustRightInd w:val="0"/>
        <w:spacing w:line="560" w:lineRule="exact"/>
        <w:ind w:firstLine="643" w:firstLineChars="200"/>
        <w:jc w:val="left"/>
        <w:rPr>
          <w:rFonts w:ascii="仿宋_GB2312" w:hAnsi="仿宋" w:eastAsia="仿宋_GB2312"/>
          <w:sz w:val="32"/>
          <w:szCs w:val="32"/>
        </w:rPr>
      </w:pPr>
      <w:r>
        <w:rPr>
          <w:rFonts w:hint="eastAsia" w:ascii="黑体" w:hAnsi="黑体" w:eastAsia="黑体"/>
          <w:b/>
          <w:sz w:val="32"/>
          <w:szCs w:val="32"/>
        </w:rPr>
        <w:t>第十条</w:t>
      </w:r>
      <w:r>
        <w:rPr>
          <w:rFonts w:hint="eastAsia" w:ascii="仿宋_GB2312" w:hAnsi="华文仿宋" w:eastAsia="仿宋_GB2312"/>
          <w:sz w:val="32"/>
          <w:szCs w:val="32"/>
        </w:rPr>
        <w:t xml:space="preserve"> 加强支出核算和归档管理。财会部门根据支出凭证及时准确登记账簿；业务部门应向财会部门提交与支出业务相关的合同等材料作为账务处理的依据。财会部门应将与支出业务相关的会计凭证、文件及其他资料按照</w:t>
      </w:r>
      <w:r>
        <w:rPr>
          <w:rFonts w:hint="eastAsia" w:ascii="仿宋_GB2312" w:hAnsi="仿宋" w:eastAsia="仿宋_GB2312"/>
          <w:sz w:val="32"/>
          <w:szCs w:val="32"/>
        </w:rPr>
        <w:t>《会计基础工作规范》的规定及时归档、妥善保管，严防毁损、散失、泄密或不当使用。</w:t>
      </w:r>
    </w:p>
    <w:p w14:paraId="41736874">
      <w:pPr>
        <w:autoSpaceDE w:val="0"/>
        <w:autoSpaceDN w:val="0"/>
        <w:adjustRightInd w:val="0"/>
        <w:spacing w:line="560" w:lineRule="exact"/>
        <w:ind w:firstLine="643" w:firstLineChars="200"/>
        <w:jc w:val="left"/>
        <w:rPr>
          <w:rFonts w:ascii="仿宋_GB2312" w:hAnsi="华文仿宋" w:eastAsia="仿宋_GB2312"/>
          <w:sz w:val="32"/>
          <w:szCs w:val="32"/>
        </w:rPr>
      </w:pPr>
      <w:r>
        <w:rPr>
          <w:rFonts w:hint="eastAsia" w:ascii="黑体" w:hAnsi="黑体" w:eastAsia="黑体"/>
          <w:b/>
          <w:sz w:val="32"/>
          <w:szCs w:val="32"/>
        </w:rPr>
        <w:t>第十一条</w:t>
      </w:r>
      <w:r>
        <w:rPr>
          <w:rFonts w:hint="eastAsia" w:ascii="仿宋_GB2312" w:hAnsi="黑体" w:eastAsia="仿宋_GB2312"/>
          <w:sz w:val="32"/>
          <w:szCs w:val="32"/>
        </w:rPr>
        <w:t xml:space="preserve"> </w:t>
      </w:r>
      <w:r>
        <w:rPr>
          <w:rFonts w:hint="eastAsia" w:ascii="仿宋_GB2312" w:hAnsi="华文仿宋" w:eastAsia="仿宋_GB2312"/>
          <w:sz w:val="32"/>
          <w:szCs w:val="32"/>
        </w:rPr>
        <w:t>加强支出业务分析管理。财务部门定期分析支出情况，包括分析业务部门的支出情况和预算执行进度，以及单位基本支出、项目支出、“三公”经费的明细情况等，通过编制支出业务分析报告，为单位领导的管理决策提供信息支持。对支出业务中发现的异常情况，财务人员应向单位负责人报告，及时采取措施，规范各项业务行为，确保支出业务的合法合规、单位各项工作计划和工作任务得以顺利开展。</w:t>
      </w:r>
    </w:p>
    <w:p w14:paraId="7F846CD5">
      <w:pPr>
        <w:autoSpaceDE w:val="0"/>
        <w:autoSpaceDN w:val="0"/>
        <w:adjustRightInd w:val="0"/>
        <w:spacing w:line="560" w:lineRule="exact"/>
        <w:jc w:val="center"/>
        <w:rPr>
          <w:rFonts w:ascii="仿宋_GB2312" w:hAnsi="黑体" w:eastAsia="仿宋_GB2312"/>
          <w:sz w:val="44"/>
          <w:szCs w:val="44"/>
        </w:rPr>
      </w:pPr>
    </w:p>
    <w:p w14:paraId="441D2B8D">
      <w:pPr>
        <w:autoSpaceDE w:val="0"/>
        <w:autoSpaceDN w:val="0"/>
        <w:adjustRightInd w:val="0"/>
        <w:spacing w:line="560" w:lineRule="exact"/>
        <w:jc w:val="center"/>
        <w:rPr>
          <w:rFonts w:ascii="黑体" w:hAnsi="黑体" w:eastAsia="黑体"/>
          <w:b/>
          <w:sz w:val="32"/>
          <w:szCs w:val="32"/>
        </w:rPr>
      </w:pPr>
      <w:r>
        <w:rPr>
          <w:rFonts w:hint="eastAsia" w:ascii="方正小标宋_GBK" w:hAnsi="方正小标宋_GBK" w:eastAsia="方正小标宋_GBK" w:cs="方正小标宋_GBK"/>
          <w:bCs/>
          <w:sz w:val="32"/>
          <w:szCs w:val="32"/>
        </w:rPr>
        <w:t>第四章  债务业务管理制度</w:t>
      </w:r>
    </w:p>
    <w:p w14:paraId="2AF4A2EF">
      <w:pPr>
        <w:autoSpaceDE w:val="0"/>
        <w:autoSpaceDN w:val="0"/>
        <w:adjustRightInd w:val="0"/>
        <w:spacing w:line="560" w:lineRule="exact"/>
        <w:jc w:val="left"/>
        <w:rPr>
          <w:rFonts w:ascii="仿宋_GB2312" w:hAnsi="华文仿宋" w:eastAsia="仿宋_GB2312"/>
          <w:sz w:val="32"/>
          <w:szCs w:val="32"/>
        </w:rPr>
      </w:pPr>
      <w:r>
        <w:rPr>
          <w:rFonts w:hint="eastAsia" w:ascii="楷体_GB2312" w:eastAsia="楷体_GB2312"/>
          <w:b/>
          <w:sz w:val="32"/>
          <w:szCs w:val="32"/>
        </w:rPr>
        <w:t>第一条</w:t>
      </w:r>
      <w:r>
        <w:rPr>
          <w:rFonts w:hint="eastAsia" w:ascii="黑体" w:hAnsi="华文仿宋" w:eastAsia="黑体"/>
          <w:b/>
          <w:sz w:val="32"/>
          <w:szCs w:val="32"/>
        </w:rPr>
        <w:t xml:space="preserve"> </w:t>
      </w:r>
      <w:r>
        <w:rPr>
          <w:rFonts w:hint="eastAsia" w:ascii="仿宋_GB2312" w:hAnsi="华文仿宋" w:eastAsia="仿宋_GB2312"/>
          <w:sz w:val="32"/>
          <w:szCs w:val="32"/>
        </w:rPr>
        <w:t>司法局机关不得以任何方式举借债务，更不得以任何方式对外提供但保。</w:t>
      </w:r>
    </w:p>
    <w:p w14:paraId="309E33D5">
      <w:pPr>
        <w:autoSpaceDE w:val="0"/>
        <w:autoSpaceDN w:val="0"/>
        <w:adjustRightInd w:val="0"/>
        <w:spacing w:line="560" w:lineRule="exact"/>
        <w:jc w:val="left"/>
        <w:rPr>
          <w:rFonts w:ascii="仿宋_GB2312" w:hAnsi="华文仿宋" w:eastAsia="仿宋_GB2312"/>
          <w:sz w:val="32"/>
          <w:szCs w:val="32"/>
        </w:rPr>
      </w:pPr>
      <w:r>
        <w:rPr>
          <w:rFonts w:hint="eastAsia" w:ascii="楷体_GB2312" w:eastAsia="楷体_GB2312"/>
          <w:b/>
          <w:sz w:val="32"/>
          <w:szCs w:val="32"/>
        </w:rPr>
        <w:t>第二条</w:t>
      </w:r>
      <w:r>
        <w:rPr>
          <w:rFonts w:hint="eastAsia" w:ascii="仿宋_GB2312" w:hAnsi="黑体" w:eastAsia="仿宋_GB2312"/>
          <w:sz w:val="32"/>
          <w:szCs w:val="32"/>
        </w:rPr>
        <w:t xml:space="preserve"> </w:t>
      </w:r>
      <w:r>
        <w:rPr>
          <w:rFonts w:hint="eastAsia" w:ascii="仿宋_GB2312" w:hAnsi="华文仿宋" w:eastAsia="仿宋_GB2312"/>
          <w:sz w:val="32"/>
          <w:szCs w:val="32"/>
        </w:rPr>
        <w:t>财会部门作为归口管理部门，局纪委等有关部门对局机关举借债务进行监督。</w:t>
      </w:r>
    </w:p>
    <w:p w14:paraId="43DED0BD">
      <w:pPr>
        <w:autoSpaceDE w:val="0"/>
        <w:autoSpaceDN w:val="0"/>
        <w:adjustRightInd w:val="0"/>
        <w:spacing w:line="560" w:lineRule="exact"/>
        <w:rPr>
          <w:rFonts w:ascii="仿宋_GB2312" w:hAnsi="仿宋" w:eastAsia="仿宋_GB2312"/>
          <w:sz w:val="32"/>
          <w:szCs w:val="32"/>
        </w:rPr>
      </w:pPr>
      <w:r>
        <w:rPr>
          <w:rFonts w:hint="eastAsia" w:ascii="楷体_GB2312" w:eastAsia="楷体_GB2312"/>
          <w:b/>
          <w:sz w:val="32"/>
          <w:szCs w:val="32"/>
        </w:rPr>
        <w:t>第三条</w:t>
      </w:r>
      <w:r>
        <w:rPr>
          <w:rFonts w:hint="eastAsia" w:ascii="仿宋_GB2312" w:hAnsi="仿宋" w:eastAsia="仿宋_GB2312"/>
          <w:sz w:val="32"/>
          <w:szCs w:val="32"/>
        </w:rPr>
        <w:t xml:space="preserve"> 局纪检委负责对财务违规案件进行查处，追究当事人责任。构成犯罪的，依法追究法律责任。</w:t>
      </w:r>
    </w:p>
    <w:p w14:paraId="66FEE273">
      <w:pPr>
        <w:autoSpaceDE w:val="0"/>
        <w:autoSpaceDN w:val="0"/>
        <w:adjustRightInd w:val="0"/>
        <w:spacing w:line="560" w:lineRule="exact"/>
        <w:jc w:val="center"/>
        <w:rPr>
          <w:rFonts w:ascii="黑体" w:hAnsi="黑体" w:eastAsia="黑体"/>
          <w:b/>
          <w:sz w:val="32"/>
          <w:szCs w:val="32"/>
        </w:rPr>
      </w:pPr>
    </w:p>
    <w:p w14:paraId="36B0CF90">
      <w:pPr>
        <w:autoSpaceDE w:val="0"/>
        <w:autoSpaceDN w:val="0"/>
        <w:adjustRightInd w:val="0"/>
        <w:spacing w:line="560" w:lineRule="exact"/>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第五章 公务接待、差旅费管理</w:t>
      </w:r>
    </w:p>
    <w:p w14:paraId="4A93D497">
      <w:pPr>
        <w:spacing w:line="560" w:lineRule="exact"/>
        <w:jc w:val="center"/>
        <w:rPr>
          <w:rFonts w:ascii="仿宋_GB2312" w:eastAsia="仿宋_GB2312"/>
          <w:b/>
          <w:sz w:val="32"/>
          <w:szCs w:val="32"/>
        </w:rPr>
      </w:pPr>
      <w:r>
        <w:rPr>
          <w:rFonts w:hint="eastAsia" w:ascii="仿宋_GB2312" w:eastAsia="仿宋_GB2312"/>
          <w:b/>
          <w:sz w:val="32"/>
          <w:szCs w:val="32"/>
        </w:rPr>
        <w:t>白城市司法局公务接待管理办法</w:t>
      </w:r>
    </w:p>
    <w:p w14:paraId="037C6CAC">
      <w:pPr>
        <w:spacing w:line="560" w:lineRule="exact"/>
        <w:ind w:firstLine="643" w:firstLineChars="200"/>
        <w:rPr>
          <w:rFonts w:ascii="仿宋_GB2312" w:eastAsia="仿宋_GB2312"/>
          <w:sz w:val="32"/>
          <w:szCs w:val="32"/>
        </w:rPr>
      </w:pPr>
      <w:r>
        <w:rPr>
          <w:rFonts w:hint="eastAsia" w:ascii="楷体_GB2312" w:eastAsia="楷体_GB2312"/>
          <w:b/>
          <w:sz w:val="32"/>
          <w:szCs w:val="32"/>
        </w:rPr>
        <w:t xml:space="preserve">第一条 </w:t>
      </w:r>
      <w:r>
        <w:rPr>
          <w:rFonts w:hint="eastAsia" w:ascii="仿宋_GB2312" w:eastAsia="仿宋_GB2312"/>
          <w:sz w:val="32"/>
          <w:szCs w:val="32"/>
        </w:rPr>
        <w:t>为规范市戒毒所、市局机关及直属事业单位公务接待管理工作，根据《党政机关国内公务接待管理规定》和《白城党政机关公务接待管理办法》，结合司法行政工作实际，制定本办法。</w:t>
      </w:r>
    </w:p>
    <w:p w14:paraId="6246A50C">
      <w:pPr>
        <w:spacing w:line="560" w:lineRule="exact"/>
        <w:ind w:firstLine="643" w:firstLineChars="200"/>
        <w:rPr>
          <w:rFonts w:ascii="仿宋_GB2312" w:eastAsia="仿宋_GB2312"/>
          <w:sz w:val="32"/>
          <w:szCs w:val="32"/>
        </w:rPr>
      </w:pPr>
      <w:r>
        <w:rPr>
          <w:rFonts w:hint="eastAsia" w:ascii="楷体_GB2312" w:eastAsia="楷体_GB2312"/>
          <w:b/>
          <w:sz w:val="32"/>
          <w:szCs w:val="32"/>
        </w:rPr>
        <w:t xml:space="preserve">第二条 </w:t>
      </w:r>
      <w:r>
        <w:rPr>
          <w:rFonts w:hint="eastAsia" w:ascii="仿宋_GB2312" w:eastAsia="仿宋_GB2312"/>
          <w:sz w:val="32"/>
          <w:szCs w:val="32"/>
        </w:rPr>
        <w:t>本办法所称公务，是指出席会议、考察调研、执行任务、学习交流、检查指导、请示汇报工作等公务活动。</w:t>
      </w:r>
    </w:p>
    <w:p w14:paraId="7D4E77F2">
      <w:pPr>
        <w:widowControl/>
        <w:spacing w:line="560" w:lineRule="exact"/>
        <w:ind w:firstLine="581" w:firstLineChars="181"/>
        <w:rPr>
          <w:rFonts w:ascii="仿宋_GB2312" w:hAnsi="宋体" w:eastAsia="仿宋_GB2312" w:cs="宋体"/>
          <w:color w:val="000000"/>
          <w:kern w:val="0"/>
          <w:sz w:val="32"/>
          <w:szCs w:val="32"/>
        </w:rPr>
      </w:pPr>
      <w:r>
        <w:rPr>
          <w:rFonts w:hint="eastAsia" w:ascii="楷体_GB2312" w:eastAsia="楷体_GB2312"/>
          <w:b/>
          <w:sz w:val="32"/>
          <w:szCs w:val="32"/>
        </w:rPr>
        <w:t xml:space="preserve">第三条 </w:t>
      </w:r>
      <w:r>
        <w:rPr>
          <w:rFonts w:hint="eastAsia" w:ascii="仿宋_GB2312" w:hAnsi="宋体" w:eastAsia="仿宋_GB2312" w:cs="宋体"/>
          <w:color w:val="000000"/>
          <w:kern w:val="0"/>
          <w:sz w:val="32"/>
          <w:szCs w:val="32"/>
        </w:rPr>
        <w:t>公务接待应当坚持有利公务、务实节俭、严格标准、简化礼仪、高效透明、尊重少数民族风俗习惯的原则。</w:t>
      </w:r>
    </w:p>
    <w:p w14:paraId="09E6EC9C">
      <w:pPr>
        <w:widowControl/>
        <w:spacing w:line="560" w:lineRule="exact"/>
        <w:ind w:firstLine="581" w:firstLineChars="181"/>
        <w:rPr>
          <w:rFonts w:ascii="仿宋_GB2312" w:eastAsia="仿宋_GB2312"/>
          <w:sz w:val="32"/>
          <w:szCs w:val="32"/>
        </w:rPr>
      </w:pPr>
      <w:r>
        <w:rPr>
          <w:rFonts w:hint="eastAsia" w:ascii="楷体_GB2312" w:hAnsi="宋体" w:eastAsia="楷体_GB2312" w:cs="宋体"/>
          <w:b/>
          <w:color w:val="000000"/>
          <w:kern w:val="0"/>
          <w:sz w:val="32"/>
          <w:szCs w:val="32"/>
        </w:rPr>
        <w:t>第四条</w:t>
      </w:r>
      <w:r>
        <w:rPr>
          <w:rFonts w:hint="eastAsia" w:ascii="仿宋_GB2312" w:hAnsi="宋体" w:eastAsia="仿宋_GB2312" w:cs="宋体"/>
          <w:color w:val="000000"/>
          <w:kern w:val="0"/>
          <w:sz w:val="32"/>
          <w:szCs w:val="32"/>
        </w:rPr>
        <w:t xml:space="preserve"> 市局办公室负责</w:t>
      </w:r>
      <w:r>
        <w:rPr>
          <w:rFonts w:hint="eastAsia" w:ascii="仿宋_GB2312" w:eastAsia="仿宋_GB2312"/>
          <w:sz w:val="32"/>
          <w:szCs w:val="32"/>
        </w:rPr>
        <w:t>市局机关及直属事业单位公务接待管理工作。市戒毒所要指定专门科室负责本单位公务接待工作。</w:t>
      </w:r>
      <w:r>
        <w:rPr>
          <w:rFonts w:hint="eastAsia" w:ascii="仿宋_GB2312" w:hAnsi="宋体" w:eastAsia="仿宋_GB2312" w:cs="宋体"/>
          <w:color w:val="000000"/>
          <w:kern w:val="0"/>
          <w:sz w:val="32"/>
          <w:szCs w:val="32"/>
        </w:rPr>
        <w:t>市局办公室要负责指导市戒毒所完善相应管理制度，监督戒毒所公务接待工作。</w:t>
      </w:r>
    </w:p>
    <w:p w14:paraId="70D797AD">
      <w:pPr>
        <w:widowControl/>
        <w:spacing w:line="560" w:lineRule="exact"/>
        <w:ind w:firstLine="581" w:firstLineChars="181"/>
        <w:rPr>
          <w:rFonts w:ascii="仿宋_GB2312" w:hAnsi="宋体" w:eastAsia="仿宋_GB2312" w:cs="宋体"/>
          <w:color w:val="000000"/>
          <w:kern w:val="0"/>
          <w:sz w:val="32"/>
          <w:szCs w:val="32"/>
        </w:rPr>
      </w:pPr>
      <w:r>
        <w:rPr>
          <w:rFonts w:hint="eastAsia" w:ascii="楷体_GB2312" w:eastAsia="楷体_GB2312"/>
          <w:b/>
          <w:sz w:val="32"/>
          <w:szCs w:val="32"/>
        </w:rPr>
        <w:t>第五条</w:t>
      </w:r>
      <w:r>
        <w:rPr>
          <w:rFonts w:hint="eastAsia" w:ascii="仿宋_GB2312" w:eastAsia="仿宋_GB2312"/>
          <w:sz w:val="32"/>
          <w:szCs w:val="32"/>
        </w:rPr>
        <w:t xml:space="preserve"> </w:t>
      </w:r>
      <w:r>
        <w:rPr>
          <w:rFonts w:hint="eastAsia" w:ascii="仿宋_GB2312" w:hAnsi="宋体" w:eastAsia="仿宋_GB2312" w:cs="宋体"/>
          <w:color w:val="000000"/>
          <w:kern w:val="0"/>
          <w:sz w:val="32"/>
          <w:szCs w:val="32"/>
        </w:rPr>
        <w:t>加强公务外出计划管理，科学安排和严格控制外出的时间、内容、路线、频率、人员数量。坚决做到“四个禁止”，即禁止异地部门间没有特别需要的一般性学习交流、考察调研；禁止重复性考察；禁止变相旅游；禁止违反规定到风景名胜区举办会议和活动。</w:t>
      </w:r>
    </w:p>
    <w:p w14:paraId="0911F760">
      <w:pPr>
        <w:widowControl/>
        <w:spacing w:line="560" w:lineRule="exact"/>
        <w:ind w:firstLine="581" w:firstLineChars="181"/>
        <w:rPr>
          <w:rFonts w:ascii="仿宋_GB2312" w:hAnsi="宋体" w:eastAsia="仿宋_GB2312" w:cs="宋体"/>
          <w:b/>
          <w:color w:val="000000"/>
          <w:kern w:val="0"/>
          <w:sz w:val="32"/>
          <w:szCs w:val="32"/>
        </w:rPr>
      </w:pPr>
      <w:r>
        <w:rPr>
          <w:rFonts w:hint="eastAsia" w:ascii="楷体_GB2312" w:hAnsi="宋体" w:eastAsia="楷体_GB2312" w:cs="宋体"/>
          <w:b/>
          <w:color w:val="000000"/>
          <w:kern w:val="0"/>
          <w:sz w:val="32"/>
          <w:szCs w:val="32"/>
        </w:rPr>
        <w:t>第六条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b/>
          <w:color w:val="000000"/>
          <w:kern w:val="0"/>
          <w:sz w:val="32"/>
          <w:szCs w:val="32"/>
        </w:rPr>
        <w:t>公务接待范围：</w:t>
      </w:r>
    </w:p>
    <w:p w14:paraId="099A9408">
      <w:pPr>
        <w:widowControl/>
        <w:spacing w:line="560" w:lineRule="exact"/>
        <w:ind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（一）省（部）级领导同志来我市进行公务活动的接待；</w:t>
      </w:r>
    </w:p>
    <w:p w14:paraId="08B80F25">
      <w:pPr>
        <w:widowControl/>
        <w:spacing w:line="560" w:lineRule="exact"/>
        <w:ind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（二）市（地）级城市（含直辖市所属区级）副厅级以上领导来我市进行公务活动的接待；</w:t>
      </w:r>
    </w:p>
    <w:p w14:paraId="49379C04">
      <w:pPr>
        <w:widowControl/>
        <w:spacing w:line="560" w:lineRule="exact"/>
        <w:ind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（三）省委政法委、省司法厅等管理指导部门的领导和处室工作人员来我市进行公务活动的接待；</w:t>
      </w:r>
    </w:p>
    <w:p w14:paraId="47BC87A4">
      <w:pPr>
        <w:widowControl/>
        <w:spacing w:line="560" w:lineRule="exact"/>
        <w:ind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（四）外地客商到戒毒所进行项目考察等公务活动的接待。</w:t>
      </w:r>
    </w:p>
    <w:p w14:paraId="3841BAB3">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党和国家领导来市进行公务活动的由市管局负责接待。涉及省（部）级领导来我市公务接待活动，要及时将信息报送市委、市政府。接待各类检查组、督查组等联合工作组，特殊情况，经市委、市政府秘书长批准，可由市管局接待。</w:t>
      </w:r>
    </w:p>
    <w:p w14:paraId="33A32FC1">
      <w:pPr>
        <w:widowControl/>
        <w:spacing w:line="560" w:lineRule="exact"/>
        <w:ind w:firstLine="643" w:firstLineChars="200"/>
        <w:rPr>
          <w:rFonts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第七条</w:t>
      </w:r>
      <w:r>
        <w:rPr>
          <w:rFonts w:hint="eastAsia" w:ascii="仿宋_GB2312" w:hAnsi="宋体" w:eastAsia="仿宋_GB2312" w:cs="宋体"/>
          <w:color w:val="000000"/>
          <w:kern w:val="0"/>
          <w:sz w:val="32"/>
          <w:szCs w:val="32"/>
        </w:rPr>
        <w:t xml:space="preserve"> 公务接待不得在机场、车站、码头和辖区边界组织迎送活动，不得跨地区迎送，不得张贴悬挂标语横幅，不得安排群众迎送，不得铺设迎宾地毯，各单位主要负责人不得参加迎送。</w:t>
      </w:r>
    </w:p>
    <w:p w14:paraId="6BBEE2F6">
      <w:pPr>
        <w:widowControl/>
        <w:spacing w:line="560" w:lineRule="exact"/>
        <w:ind w:firstLine="736" w:firstLineChars="23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接待单位安排的活动场所、活动项目和活动方式，应当有利于公务活动开展。安排外出考察调研的，应当深入基层、深入群众，不得走过场、搞形式主义。</w:t>
      </w:r>
    </w:p>
    <w:p w14:paraId="58ABDB7A">
      <w:pPr>
        <w:widowControl/>
        <w:spacing w:line="560" w:lineRule="exact"/>
        <w:ind w:firstLine="643" w:firstLineChars="200"/>
        <w:rPr>
          <w:rFonts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第八条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b/>
          <w:color w:val="000000"/>
          <w:kern w:val="0"/>
          <w:sz w:val="32"/>
          <w:szCs w:val="32"/>
        </w:rPr>
        <w:t>实行公函接待制度。</w:t>
      </w:r>
    </w:p>
    <w:p w14:paraId="0E24DED4">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公务接待对无公函的公务活动和来访人员一律不予接待，不得用公款报销或支付应由个人负担的费用。对休假、探亲、旅游等属于非公务活动和个人接待活动，一律不能纳入公务接待范围。</w:t>
      </w:r>
    </w:p>
    <w:p w14:paraId="1ED637E9">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市局工作人员公务外出确需接待的，应当向接待单位发出公函，告知内容、行程和人员。</w:t>
      </w:r>
    </w:p>
    <w:p w14:paraId="56E8C1B2">
      <w:pPr>
        <w:widowControl/>
        <w:spacing w:line="560" w:lineRule="exact"/>
        <w:ind w:firstLine="643" w:firstLineChars="200"/>
        <w:rPr>
          <w:rFonts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第九条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b/>
          <w:color w:val="000000"/>
          <w:kern w:val="0"/>
          <w:sz w:val="32"/>
          <w:szCs w:val="32"/>
        </w:rPr>
        <w:t>实行《公务接待审批报告单》制度。</w:t>
      </w:r>
    </w:p>
    <w:p w14:paraId="066EE5D2">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市局接到公务接待公函后，由对口业务科室(部门)请示分管业务局长,填写公务接待审批报告单，经局办公室初审后,报分管业务局长、分管财务局长、局长审批，具体接待事宜由办公室统一协调安排,《公务接待审批单报告单》一式二份,财务入帐和留存备案各一份（样表附后）。</w:t>
      </w:r>
    </w:p>
    <w:p w14:paraId="6632C26F">
      <w:pPr>
        <w:widowControl/>
        <w:spacing w:line="560" w:lineRule="exact"/>
        <w:ind w:firstLine="643" w:firstLineChars="200"/>
        <w:rPr>
          <w:rFonts w:ascii="仿宋_GB2312" w:hAnsi="宋体" w:eastAsia="仿宋_GB2312" w:cs="宋体"/>
          <w:b/>
          <w:color w:val="000000"/>
          <w:kern w:val="0"/>
          <w:sz w:val="32"/>
          <w:szCs w:val="32"/>
        </w:rPr>
      </w:pPr>
      <w:r>
        <w:rPr>
          <w:rFonts w:hint="eastAsia" w:ascii="楷体_GB2312" w:hAnsi="宋体" w:eastAsia="楷体_GB2312" w:cs="宋体"/>
          <w:b/>
          <w:color w:val="000000"/>
          <w:kern w:val="0"/>
          <w:sz w:val="32"/>
          <w:szCs w:val="32"/>
        </w:rPr>
        <w:t>第十条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b/>
          <w:color w:val="000000"/>
          <w:kern w:val="0"/>
          <w:sz w:val="32"/>
          <w:szCs w:val="32"/>
        </w:rPr>
        <w:t>严格执行接待标准。</w:t>
      </w:r>
    </w:p>
    <w:p w14:paraId="65A0AFD7">
      <w:pPr>
        <w:widowControl/>
        <w:spacing w:line="560" w:lineRule="exact"/>
        <w:ind w:firstLine="579" w:firstLineChars="181"/>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接待住宿应当严格执行差旅、会议管理的有关规定，在定点饭店或者机关内部接待场所安排，执行协议价格。没有定点宾馆或机关内部接待场所的，按标准安排到普通宾馆，严禁安排以高档宾馆、酒店。</w:t>
      </w:r>
    </w:p>
    <w:p w14:paraId="5D25A548">
      <w:pPr>
        <w:widowControl/>
        <w:spacing w:line="560" w:lineRule="exact"/>
        <w:ind w:firstLine="579" w:firstLineChars="181"/>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（一）住宿标准</w:t>
      </w:r>
    </w:p>
    <w:p w14:paraId="18A86D51">
      <w:pPr>
        <w:widowControl/>
        <w:spacing w:line="560" w:lineRule="exact"/>
        <w:ind w:firstLine="579" w:firstLineChars="181"/>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住宿用房以标准间为主，接待省部级干部可以安排普通套间，市、州、司级干部可安排单间，其他人员一律安排标间。不得超标准安排接待住房，不得额外配发洗漱用品。除必要工作人员外，本部门陪同人员一律不安排住宿。</w:t>
      </w:r>
    </w:p>
    <w:p w14:paraId="2CC88796">
      <w:pPr>
        <w:widowControl/>
        <w:spacing w:line="560" w:lineRule="exact"/>
        <w:ind w:firstLine="579" w:firstLineChars="181"/>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（二）用餐标准</w:t>
      </w:r>
    </w:p>
    <w:p w14:paraId="430266F3">
      <w:pPr>
        <w:widowControl/>
        <w:spacing w:line="560" w:lineRule="exact"/>
        <w:ind w:firstLine="579" w:firstLineChars="181"/>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接待对象应按照规定标准自行用餐，确因工作需要，接待单位可安排一次工作餐，并严格控制陪餐人数。工作餐原则上安排自助餐，人数过少和不具备自助餐条件的可视情况安排桌餐，以当地家常菜为主，不得提供高档菜肴和野生保护动物制作的菜肴。</w:t>
      </w:r>
    </w:p>
    <w:p w14:paraId="6E4F3ADF">
      <w:pPr>
        <w:widowControl/>
        <w:spacing w:line="560" w:lineRule="exact"/>
        <w:ind w:firstLine="736" w:firstLineChars="23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市内各类公务活动用餐一律不饮酒。接待省外人员按《党政机关国内公务接待管理规定》执行，不得提供香烟和高档酒水，不得使用私人会所、高消费餐饮场所。</w:t>
      </w:r>
    </w:p>
    <w:p w14:paraId="7C913B36">
      <w:pPr>
        <w:widowControl/>
        <w:spacing w:line="560" w:lineRule="exact"/>
        <w:ind w:firstLine="579" w:firstLineChars="181"/>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接待对象在10人以内的，陪餐人数不得超过3人；接待对象超过10人的，陪餐人数不得超过接待对象人数的三分之一。</w:t>
      </w:r>
    </w:p>
    <w:p w14:paraId="17F16C13">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自助餐标准为早餐25元/人，午、晚餐70元/人。</w:t>
      </w:r>
    </w:p>
    <w:p w14:paraId="0E4BC9E7">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工作桌餐标准低于150元/人（不含酒水和饮品）。</w:t>
      </w:r>
    </w:p>
    <w:p w14:paraId="5D82C8AA">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工作人员用餐标准为50元/人（不含酒水和饮品）。</w:t>
      </w:r>
    </w:p>
    <w:p w14:paraId="3ED8CF6A">
      <w:pPr>
        <w:widowControl/>
        <w:spacing w:line="560" w:lineRule="exact"/>
        <w:ind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（三）结算标准</w:t>
      </w:r>
    </w:p>
    <w:p w14:paraId="6BA0F719">
      <w:pPr>
        <w:widowControl/>
        <w:spacing w:line="560" w:lineRule="exact"/>
        <w:ind w:firstLine="480" w:firstLineChars="15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接待费资金支付要严格按照国库集中支付制度和公务卡管理有关规定，采用银行转账或公务卡方式结算，不得以现金方式支付。</w:t>
      </w:r>
    </w:p>
    <w:p w14:paraId="4007F440">
      <w:pPr>
        <w:widowControl/>
        <w:spacing w:line="560" w:lineRule="exact"/>
        <w:ind w:firstLine="643" w:firstLineChars="200"/>
        <w:rPr>
          <w:rFonts w:ascii="仿宋_GB2312" w:hAnsi="宋体" w:eastAsia="仿宋_GB2312" w:cs="宋体"/>
          <w:color w:val="000000"/>
          <w:kern w:val="0"/>
          <w:sz w:val="32"/>
          <w:szCs w:val="32"/>
        </w:rPr>
      </w:pPr>
      <w:r>
        <w:rPr>
          <w:rFonts w:hint="eastAsia" w:ascii="楷体_GB2312" w:hAnsi="宋体" w:eastAsia="楷体_GB2312" w:cs="宋体"/>
          <w:b/>
          <w:color w:val="000000"/>
          <w:kern w:val="0"/>
          <w:sz w:val="32"/>
          <w:szCs w:val="32"/>
        </w:rPr>
        <w:t>第十一条</w:t>
      </w: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b/>
          <w:color w:val="000000"/>
          <w:kern w:val="0"/>
          <w:sz w:val="32"/>
          <w:szCs w:val="32"/>
        </w:rPr>
        <w:t>实行《公务接待清单》制度。</w:t>
      </w:r>
    </w:p>
    <w:p w14:paraId="15DA95BA">
      <w:pPr>
        <w:widowControl/>
        <w:spacing w:line="560" w:lineRule="exact"/>
        <w:ind w:firstLine="640" w:firstLineChars="200"/>
        <w:rPr>
          <w:rFonts w:ascii="仿宋_GB2312" w:eastAsia="仿宋_GB2312"/>
          <w:sz w:val="32"/>
          <w:szCs w:val="32"/>
        </w:rPr>
      </w:pPr>
      <w:r>
        <w:rPr>
          <w:rFonts w:hint="eastAsia" w:ascii="仿宋_GB2312" w:hAnsi="宋体" w:eastAsia="仿宋_GB2312" w:cs="宋体"/>
          <w:color w:val="000000"/>
          <w:kern w:val="0"/>
          <w:sz w:val="32"/>
          <w:szCs w:val="32"/>
        </w:rPr>
        <w:t>公务接待任务结束，市局办公室和戒毒所负责接待科室负责人如实</w:t>
      </w:r>
      <w:r>
        <w:rPr>
          <w:rFonts w:hint="eastAsia" w:ascii="仿宋_GB2312" w:eastAsia="仿宋_GB2312"/>
          <w:sz w:val="32"/>
          <w:szCs w:val="32"/>
        </w:rPr>
        <w:t>、</w:t>
      </w:r>
      <w:r>
        <w:rPr>
          <w:rFonts w:hint="eastAsia" w:ascii="仿宋_GB2312" w:hAnsi="宋体" w:eastAsia="仿宋_GB2312" w:cs="宋体"/>
          <w:color w:val="000000"/>
          <w:kern w:val="0"/>
          <w:sz w:val="32"/>
          <w:szCs w:val="32"/>
        </w:rPr>
        <w:t>正确填写《公务接待清单》（样表附后），及时履行报销手续，由办公室人员</w:t>
      </w:r>
      <w:r>
        <w:rPr>
          <w:rFonts w:hint="eastAsia" w:ascii="仿宋_GB2312" w:eastAsia="仿宋_GB2312"/>
          <w:sz w:val="32"/>
          <w:szCs w:val="32"/>
        </w:rPr>
        <w:t>进行初审，报分管财务局长和局长审批。</w:t>
      </w:r>
    </w:p>
    <w:p w14:paraId="15ECF004">
      <w:pPr>
        <w:widowControl/>
        <w:spacing w:line="560" w:lineRule="exact"/>
        <w:ind w:firstLine="643" w:firstLineChars="200"/>
        <w:rPr>
          <w:rFonts w:ascii="仿宋_GB2312" w:eastAsia="仿宋_GB2312"/>
          <w:sz w:val="32"/>
          <w:szCs w:val="32"/>
        </w:rPr>
      </w:pPr>
      <w:r>
        <w:rPr>
          <w:rFonts w:hint="eastAsia" w:ascii="楷体_GB2312" w:eastAsia="楷体_GB2312"/>
          <w:b/>
          <w:sz w:val="32"/>
          <w:szCs w:val="32"/>
        </w:rPr>
        <w:t>第十二条</w:t>
      </w:r>
      <w:r>
        <w:rPr>
          <w:rFonts w:hint="eastAsia" w:ascii="仿宋_GB2312" w:eastAsia="仿宋_GB2312"/>
          <w:sz w:val="32"/>
          <w:szCs w:val="32"/>
        </w:rPr>
        <w:t xml:space="preserve"> </w:t>
      </w:r>
      <w:r>
        <w:rPr>
          <w:rFonts w:hint="eastAsia" w:ascii="仿宋_GB2312" w:eastAsia="仿宋_GB2312"/>
          <w:b/>
          <w:sz w:val="32"/>
          <w:szCs w:val="32"/>
        </w:rPr>
        <w:t>实行定期监督制度。</w:t>
      </w:r>
    </w:p>
    <w:p w14:paraId="07EE57AE">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市局纪委、办公室和财务部门负责对本级、市戒毒所公务接待工作的监督检查。监督检查主要内容：</w:t>
      </w:r>
    </w:p>
    <w:p w14:paraId="73455AE7">
      <w:pPr>
        <w:widowControl/>
        <w:spacing w:line="560" w:lineRule="exact"/>
        <w:ind w:firstLine="579" w:firstLineChars="181"/>
        <w:rPr>
          <w:rFonts w:ascii="仿宋_GB2312" w:hAnsi="宋体" w:eastAsia="仿宋_GB2312" w:cs="宋体"/>
          <w:kern w:val="0"/>
          <w:sz w:val="32"/>
          <w:szCs w:val="32"/>
        </w:rPr>
      </w:pPr>
      <w:r>
        <w:rPr>
          <w:rFonts w:hint="eastAsia" w:ascii="仿宋_GB2312" w:hAnsi="宋体" w:eastAsia="仿宋_GB2312" w:cs="宋体"/>
          <w:kern w:val="0"/>
          <w:sz w:val="32"/>
          <w:szCs w:val="32"/>
        </w:rPr>
        <w:t>(一)公务接待规章制度制定情况;</w:t>
      </w:r>
    </w:p>
    <w:p w14:paraId="33CE5375">
      <w:pPr>
        <w:widowControl/>
        <w:spacing w:line="560" w:lineRule="exact"/>
        <w:ind w:firstLine="579" w:firstLineChars="181"/>
        <w:rPr>
          <w:rFonts w:ascii="仿宋_GB2312" w:hAnsi="宋体" w:eastAsia="仿宋_GB2312" w:cs="宋体"/>
          <w:kern w:val="0"/>
          <w:sz w:val="32"/>
          <w:szCs w:val="32"/>
        </w:rPr>
      </w:pPr>
      <w:r>
        <w:rPr>
          <w:rFonts w:hint="eastAsia" w:ascii="仿宋_GB2312" w:hAnsi="宋体" w:eastAsia="仿宋_GB2312" w:cs="宋体"/>
          <w:kern w:val="0"/>
          <w:sz w:val="32"/>
          <w:szCs w:val="32"/>
        </w:rPr>
        <w:t>(二)公务接待标准执行情况;</w:t>
      </w:r>
    </w:p>
    <w:p w14:paraId="7248596C">
      <w:pPr>
        <w:widowControl/>
        <w:spacing w:line="560" w:lineRule="exact"/>
        <w:ind w:firstLine="579" w:firstLineChars="181"/>
        <w:rPr>
          <w:rFonts w:ascii="仿宋_GB2312" w:hAnsi="宋体" w:eastAsia="仿宋_GB2312" w:cs="宋体"/>
          <w:kern w:val="0"/>
          <w:sz w:val="32"/>
          <w:szCs w:val="32"/>
        </w:rPr>
      </w:pPr>
      <w:r>
        <w:rPr>
          <w:rFonts w:hint="eastAsia" w:ascii="仿宋_GB2312" w:hAnsi="宋体" w:eastAsia="仿宋_GB2312" w:cs="宋体"/>
          <w:kern w:val="0"/>
          <w:sz w:val="32"/>
          <w:szCs w:val="32"/>
        </w:rPr>
        <w:t>(三)公务接待经费管理使用情况;</w:t>
      </w:r>
    </w:p>
    <w:p w14:paraId="3C79B60A">
      <w:pPr>
        <w:widowControl/>
        <w:spacing w:line="560" w:lineRule="exact"/>
        <w:ind w:firstLine="579" w:firstLineChars="181"/>
        <w:rPr>
          <w:rFonts w:ascii="仿宋_GB2312" w:hAnsi="宋体" w:eastAsia="仿宋_GB2312" w:cs="宋体"/>
          <w:kern w:val="0"/>
          <w:sz w:val="32"/>
          <w:szCs w:val="32"/>
        </w:rPr>
      </w:pPr>
      <w:r>
        <w:rPr>
          <w:rFonts w:hint="eastAsia" w:ascii="仿宋_GB2312" w:hAnsi="宋体" w:eastAsia="仿宋_GB2312" w:cs="宋体"/>
          <w:kern w:val="0"/>
          <w:sz w:val="32"/>
          <w:szCs w:val="32"/>
        </w:rPr>
        <w:t>(四)公务接待信息公开情况;</w:t>
      </w:r>
    </w:p>
    <w:p w14:paraId="3A83B2C4">
      <w:pPr>
        <w:widowControl/>
        <w:spacing w:line="560" w:lineRule="exact"/>
        <w:ind w:firstLine="579" w:firstLineChars="181"/>
        <w:rPr>
          <w:rFonts w:ascii="仿宋_GB2312" w:hAnsi="宋体" w:eastAsia="仿宋_GB2312" w:cs="宋体"/>
          <w:kern w:val="0"/>
          <w:sz w:val="32"/>
          <w:szCs w:val="32"/>
        </w:rPr>
      </w:pPr>
      <w:r>
        <w:rPr>
          <w:rFonts w:hint="eastAsia" w:ascii="仿宋_GB2312" w:hAnsi="宋体" w:eastAsia="仿宋_GB2312" w:cs="宋体"/>
          <w:kern w:val="0"/>
          <w:sz w:val="32"/>
          <w:szCs w:val="32"/>
        </w:rPr>
        <w:t>(五)内部接待场所管理使用情况。</w:t>
      </w:r>
    </w:p>
    <w:p w14:paraId="092623D3">
      <w:pPr>
        <w:widowControl/>
        <w:spacing w:line="560" w:lineRule="exact"/>
        <w:ind w:firstLine="579" w:firstLineChars="181"/>
        <w:rPr>
          <w:rFonts w:ascii="仿宋_GB2312" w:hAnsi="宋体" w:eastAsia="仿宋_GB2312" w:cs="宋体"/>
          <w:kern w:val="0"/>
          <w:sz w:val="32"/>
          <w:szCs w:val="32"/>
        </w:rPr>
      </w:pPr>
      <w:r>
        <w:rPr>
          <w:rFonts w:hint="eastAsia" w:ascii="仿宋_GB2312" w:hAnsi="宋体" w:eastAsia="仿宋_GB2312" w:cs="宋体"/>
          <w:kern w:val="0"/>
          <w:sz w:val="32"/>
          <w:szCs w:val="32"/>
        </w:rPr>
        <w:t>市戒毒所于每年年底汇总本单位公务接待情况，报市局纪委、办公室备案。市局办公室于每年年底汇总本部门公务接待情况，做好下一年度公务接待工作的预算安排，涉及重点工作事项接待向局领导班子汇报。</w:t>
      </w:r>
    </w:p>
    <w:p w14:paraId="05363818">
      <w:pPr>
        <w:widowControl/>
        <w:spacing w:line="560" w:lineRule="exact"/>
        <w:ind w:firstLine="579" w:firstLineChars="181"/>
        <w:rPr>
          <w:rFonts w:ascii="仿宋_GB2312" w:hAnsi="宋体" w:eastAsia="仿宋_GB2312" w:cs="宋体"/>
          <w:color w:val="000000"/>
          <w:kern w:val="0"/>
          <w:sz w:val="32"/>
          <w:szCs w:val="32"/>
        </w:rPr>
      </w:pPr>
      <w:r>
        <w:rPr>
          <w:rFonts w:hint="eastAsia" w:ascii="仿宋_GB2312" w:hAnsi="宋体" w:eastAsia="仿宋_GB2312" w:cs="宋体"/>
          <w:kern w:val="0"/>
          <w:sz w:val="32"/>
          <w:szCs w:val="32"/>
        </w:rPr>
        <w:t>市局和市戒毒所财务部门要按年度公开本级公务接待制度规定</w:t>
      </w:r>
      <w:r>
        <w:rPr>
          <w:rFonts w:hint="eastAsia" w:ascii="仿宋_GB2312" w:hAnsi="宋体" w:eastAsia="仿宋_GB2312" w:cs="宋体"/>
          <w:color w:val="000000"/>
          <w:kern w:val="0"/>
          <w:sz w:val="32"/>
          <w:szCs w:val="32"/>
        </w:rPr>
        <w:t>、标准、经费支出、接待场所、接待项目等有关情况，接受社会监督。</w:t>
      </w:r>
    </w:p>
    <w:p w14:paraId="01DC5B98">
      <w:pPr>
        <w:widowControl/>
        <w:spacing w:line="560" w:lineRule="exact"/>
        <w:ind w:firstLine="579" w:firstLineChars="181"/>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市局纪委要将公务接待工作纳入问责范围。加强对公务接待违规违纪行为的查处，严肃追究接待单位相关负责人、直接责任人的党纪责任、行政责任并进行通报，涉嫌犯罪的移送司法机关依法追究刑事责任。</w:t>
      </w:r>
    </w:p>
    <w:p w14:paraId="7D7198C7">
      <w:pPr>
        <w:widowControl/>
        <w:spacing w:line="560" w:lineRule="exact"/>
        <w:ind w:firstLine="643" w:firstLineChars="200"/>
        <w:rPr>
          <w:rFonts w:ascii="仿宋_GB2312" w:eastAsia="仿宋_GB2312"/>
          <w:sz w:val="32"/>
          <w:szCs w:val="32"/>
        </w:rPr>
      </w:pPr>
      <w:r>
        <w:rPr>
          <w:rFonts w:hint="eastAsia" w:ascii="楷体_GB2312" w:eastAsia="楷体_GB2312"/>
          <w:b/>
          <w:sz w:val="32"/>
          <w:szCs w:val="32"/>
        </w:rPr>
        <w:t xml:space="preserve">第十三条 </w:t>
      </w:r>
      <w:r>
        <w:rPr>
          <w:rFonts w:hint="eastAsia" w:ascii="仿宋_GB2312" w:eastAsia="仿宋_GB2312"/>
          <w:b/>
          <w:sz w:val="32"/>
          <w:szCs w:val="32"/>
        </w:rPr>
        <w:t>接待费报销凭证包括：</w:t>
      </w:r>
      <w:r>
        <w:rPr>
          <w:rFonts w:hint="eastAsia" w:ascii="仿宋_GB2312" w:eastAsia="仿宋_GB2312"/>
          <w:sz w:val="32"/>
          <w:szCs w:val="32"/>
        </w:rPr>
        <w:t>派出单位公函、</w:t>
      </w:r>
      <w:r>
        <w:rPr>
          <w:rFonts w:hint="eastAsia" w:ascii="仿宋_GB2312" w:hAnsi="宋体" w:eastAsia="仿宋_GB2312" w:cs="宋体"/>
          <w:color w:val="000000"/>
          <w:kern w:val="0"/>
          <w:sz w:val="32"/>
          <w:szCs w:val="32"/>
        </w:rPr>
        <w:t>公务接待审批报告单、</w:t>
      </w:r>
      <w:r>
        <w:rPr>
          <w:rFonts w:hint="eastAsia" w:ascii="仿宋_GB2312" w:eastAsia="仿宋_GB2312"/>
          <w:sz w:val="32"/>
          <w:szCs w:val="32"/>
        </w:rPr>
        <w:t>财务票据、</w:t>
      </w:r>
      <w:r>
        <w:rPr>
          <w:rFonts w:hint="eastAsia" w:ascii="仿宋_GB2312" w:hAnsi="宋体" w:eastAsia="仿宋_GB2312" w:cs="宋体"/>
          <w:color w:val="000000"/>
          <w:kern w:val="0"/>
          <w:sz w:val="32"/>
          <w:szCs w:val="32"/>
        </w:rPr>
        <w:t>财务四联单、</w:t>
      </w:r>
      <w:r>
        <w:rPr>
          <w:rFonts w:hint="eastAsia" w:ascii="仿宋_GB2312" w:eastAsia="仿宋_GB2312"/>
          <w:sz w:val="32"/>
          <w:szCs w:val="32"/>
        </w:rPr>
        <w:t>接待清单。</w:t>
      </w:r>
    </w:p>
    <w:p w14:paraId="2584301F">
      <w:pPr>
        <w:widowControl/>
        <w:spacing w:line="560" w:lineRule="exact"/>
        <w:ind w:firstLine="643" w:firstLineChars="200"/>
        <w:rPr>
          <w:rFonts w:ascii="仿宋_GB2312" w:eastAsia="仿宋_GB2312"/>
          <w:b/>
          <w:sz w:val="32"/>
          <w:szCs w:val="32"/>
        </w:rPr>
      </w:pPr>
      <w:r>
        <w:rPr>
          <w:rFonts w:hint="eastAsia" w:ascii="楷体_GB2312" w:eastAsia="楷体_GB2312"/>
          <w:b/>
          <w:sz w:val="32"/>
          <w:szCs w:val="32"/>
        </w:rPr>
        <w:t>第十四条</w:t>
      </w:r>
      <w:r>
        <w:rPr>
          <w:rFonts w:hint="eastAsia" w:ascii="仿宋_GB2312" w:eastAsia="仿宋_GB2312"/>
          <w:sz w:val="32"/>
          <w:szCs w:val="32"/>
        </w:rPr>
        <w:t xml:space="preserve"> </w:t>
      </w:r>
      <w:r>
        <w:rPr>
          <w:rFonts w:hint="eastAsia" w:ascii="仿宋_GB2312" w:eastAsia="仿宋_GB2312"/>
          <w:b/>
          <w:sz w:val="32"/>
          <w:szCs w:val="32"/>
        </w:rPr>
        <w:t>公务接待十条禁令</w:t>
      </w:r>
    </w:p>
    <w:p w14:paraId="65F8306F">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kern w:val="0"/>
          <w:sz w:val="32"/>
          <w:szCs w:val="32"/>
        </w:rPr>
        <w:t>(一)严禁</w:t>
      </w:r>
      <w:r>
        <w:rPr>
          <w:rFonts w:hint="eastAsia" w:ascii="仿宋_GB2312" w:hAnsi="宋体" w:eastAsia="仿宋_GB2312" w:cs="宋体"/>
          <w:color w:val="000000"/>
          <w:kern w:val="0"/>
          <w:sz w:val="32"/>
          <w:szCs w:val="32"/>
        </w:rPr>
        <w:t>超标准接待；</w:t>
      </w:r>
    </w:p>
    <w:p w14:paraId="364C9E1A">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kern w:val="0"/>
          <w:sz w:val="32"/>
          <w:szCs w:val="32"/>
        </w:rPr>
        <w:t>(二)</w:t>
      </w:r>
      <w:r>
        <w:rPr>
          <w:rFonts w:hint="eastAsia" w:ascii="仿宋_GB2312" w:hAnsi="宋体" w:eastAsia="仿宋_GB2312" w:cs="宋体"/>
          <w:color w:val="000000"/>
          <w:kern w:val="0"/>
          <w:sz w:val="32"/>
          <w:szCs w:val="32"/>
        </w:rPr>
        <w:t>严禁组织和与公务活动无关的旅游、参观和安排专场文艺演出；</w:t>
      </w:r>
    </w:p>
    <w:p w14:paraId="571FA3E8">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kern w:val="0"/>
          <w:sz w:val="32"/>
          <w:szCs w:val="32"/>
        </w:rPr>
        <w:t>(三)</w:t>
      </w:r>
      <w:r>
        <w:rPr>
          <w:rFonts w:hint="eastAsia" w:ascii="仿宋_GB2312" w:hAnsi="宋体" w:eastAsia="仿宋_GB2312" w:cs="宋体"/>
          <w:color w:val="000000"/>
          <w:kern w:val="0"/>
          <w:sz w:val="32"/>
          <w:szCs w:val="32"/>
        </w:rPr>
        <w:t>严禁赠送礼金、有价证券、纪念品和土特产品；</w:t>
      </w:r>
    </w:p>
    <w:p w14:paraId="587C007E">
      <w:pPr>
        <w:widowControl/>
        <w:spacing w:line="56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(四)</w:t>
      </w:r>
      <w:r>
        <w:rPr>
          <w:rFonts w:hint="eastAsia" w:ascii="仿宋_GB2312" w:hAnsi="宋体" w:eastAsia="仿宋_GB2312" w:cs="宋体"/>
          <w:color w:val="000000"/>
          <w:kern w:val="0"/>
          <w:sz w:val="32"/>
          <w:szCs w:val="32"/>
        </w:rPr>
        <w:t>严禁</w:t>
      </w:r>
      <w:r>
        <w:rPr>
          <w:rFonts w:hint="eastAsia" w:ascii="仿宋_GB2312" w:eastAsia="仿宋_GB2312"/>
          <w:sz w:val="32"/>
          <w:szCs w:val="32"/>
        </w:rPr>
        <w:t>在接待费中列支应当由接待对象承担的差旅、会议、培训等费用；</w:t>
      </w:r>
    </w:p>
    <w:p w14:paraId="34A247E9">
      <w:pPr>
        <w:widowControl/>
        <w:spacing w:line="56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(五)</w:t>
      </w:r>
      <w:r>
        <w:rPr>
          <w:rFonts w:hint="eastAsia" w:ascii="仿宋_GB2312" w:eastAsia="仿宋_GB2312"/>
          <w:sz w:val="32"/>
          <w:szCs w:val="32"/>
        </w:rPr>
        <w:t>严禁以举办会议、培训为名列支、转移、隐匿接待费开支；</w:t>
      </w:r>
    </w:p>
    <w:p w14:paraId="3FE8F334">
      <w:pPr>
        <w:widowControl/>
        <w:spacing w:line="56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(六)</w:t>
      </w:r>
      <w:r>
        <w:rPr>
          <w:rFonts w:hint="eastAsia" w:ascii="仿宋_GB2312" w:eastAsia="仿宋_GB2312"/>
          <w:sz w:val="32"/>
          <w:szCs w:val="32"/>
        </w:rPr>
        <w:t>严禁向下级单位及其他单位、企业、个人转嫁接待费用；</w:t>
      </w:r>
    </w:p>
    <w:p w14:paraId="23773438">
      <w:pPr>
        <w:widowControl/>
        <w:spacing w:line="56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(七)</w:t>
      </w:r>
      <w:r>
        <w:rPr>
          <w:rFonts w:hint="eastAsia" w:ascii="仿宋_GB2312" w:eastAsia="仿宋_GB2312"/>
          <w:sz w:val="32"/>
          <w:szCs w:val="32"/>
        </w:rPr>
        <w:t>严禁在非税收入中坐支接待费用和列支其他支出；</w:t>
      </w:r>
    </w:p>
    <w:p w14:paraId="1E3AAD24">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kern w:val="0"/>
          <w:sz w:val="32"/>
          <w:szCs w:val="32"/>
        </w:rPr>
        <w:t>(八)</w:t>
      </w:r>
      <w:r>
        <w:rPr>
          <w:rFonts w:hint="eastAsia" w:ascii="仿宋_GB2312" w:eastAsia="仿宋_GB2312"/>
          <w:sz w:val="32"/>
          <w:szCs w:val="32"/>
        </w:rPr>
        <w:t>严禁多车</w:t>
      </w:r>
      <w:r>
        <w:rPr>
          <w:rFonts w:hint="eastAsia" w:ascii="仿宋_GB2312" w:hAnsi="宋体" w:eastAsia="仿宋_GB2312" w:cs="宋体"/>
          <w:color w:val="000000"/>
          <w:kern w:val="0"/>
          <w:sz w:val="32"/>
          <w:szCs w:val="32"/>
        </w:rPr>
        <w:t>随行和超范围警戒；</w:t>
      </w:r>
    </w:p>
    <w:p w14:paraId="30FE0169">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kern w:val="0"/>
          <w:sz w:val="32"/>
          <w:szCs w:val="32"/>
        </w:rPr>
        <w:t>(九)</w:t>
      </w:r>
      <w:r>
        <w:rPr>
          <w:rFonts w:hint="eastAsia" w:ascii="仿宋_GB2312" w:hAnsi="宋体" w:eastAsia="仿宋_GB2312" w:cs="宋体"/>
          <w:color w:val="000000"/>
          <w:kern w:val="0"/>
          <w:sz w:val="32"/>
          <w:szCs w:val="32"/>
        </w:rPr>
        <w:t>严禁以任何名义新建、改建、扩建内部接待场所和超标准装修；</w:t>
      </w:r>
    </w:p>
    <w:p w14:paraId="425AFDF7">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kern w:val="0"/>
          <w:sz w:val="32"/>
          <w:szCs w:val="32"/>
        </w:rPr>
        <w:t>(十)</w:t>
      </w:r>
      <w:r>
        <w:rPr>
          <w:rFonts w:hint="eastAsia" w:ascii="仿宋_GB2312" w:hAnsi="宋体" w:eastAsia="仿宋_GB2312" w:cs="宋体"/>
          <w:color w:val="000000"/>
          <w:kern w:val="0"/>
          <w:sz w:val="32"/>
          <w:szCs w:val="32"/>
        </w:rPr>
        <w:t>严禁以招商引资为名变相安排公务接待。</w:t>
      </w:r>
    </w:p>
    <w:p w14:paraId="7AEB08F1">
      <w:pPr>
        <w:widowControl/>
        <w:spacing w:line="560" w:lineRule="exact"/>
        <w:ind w:firstLine="420"/>
        <w:jc w:val="center"/>
        <w:rPr>
          <w:sz w:val="32"/>
        </w:rPr>
      </w:pPr>
      <w:r>
        <w:rPr>
          <w:rFonts w:hint="eastAsia" w:ascii="仿宋_GB2312" w:hAnsi="宋体" w:eastAsia="仿宋_GB2312" w:cs="宋体"/>
          <w:color w:val="000000"/>
          <w:kern w:val="0"/>
          <w:sz w:val="32"/>
          <w:szCs w:val="32"/>
        </w:rPr>
        <w:br w:type="page"/>
      </w:r>
      <w:r>
        <w:rPr>
          <w:rFonts w:hint="eastAsia"/>
          <w:sz w:val="32"/>
        </w:rPr>
        <w:t>白城市司法局公务接待审批报告单</w:t>
      </w:r>
    </w:p>
    <w:p w14:paraId="2796A62C">
      <w:pPr>
        <w:spacing w:line="560" w:lineRule="exact"/>
      </w:pPr>
      <w:r>
        <w:rPr>
          <w:rFonts w:hint="eastAsia"/>
        </w:rPr>
        <w:t>编号：                                                             单位：金额元</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840"/>
        <w:gridCol w:w="435"/>
        <w:gridCol w:w="495"/>
        <w:gridCol w:w="854"/>
        <w:gridCol w:w="1065"/>
        <w:gridCol w:w="1065"/>
        <w:gridCol w:w="1066"/>
        <w:gridCol w:w="1619"/>
      </w:tblGrid>
      <w:tr w14:paraId="116E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noWrap/>
            <w:vAlign w:val="center"/>
          </w:tcPr>
          <w:p w14:paraId="7A965478">
            <w:pPr>
              <w:spacing w:line="560" w:lineRule="exact"/>
              <w:jc w:val="center"/>
              <w:rPr>
                <w:rFonts w:eastAsia="宋体"/>
              </w:rPr>
            </w:pPr>
            <w:r>
              <w:rPr>
                <w:rFonts w:hint="eastAsia"/>
              </w:rPr>
              <w:t>来宾单位</w:t>
            </w:r>
          </w:p>
        </w:tc>
        <w:tc>
          <w:tcPr>
            <w:tcW w:w="3689" w:type="dxa"/>
            <w:gridSpan w:val="5"/>
            <w:noWrap/>
            <w:vAlign w:val="center"/>
          </w:tcPr>
          <w:p w14:paraId="79677D09">
            <w:pPr>
              <w:spacing w:line="560" w:lineRule="exact"/>
              <w:jc w:val="center"/>
            </w:pPr>
          </w:p>
        </w:tc>
        <w:tc>
          <w:tcPr>
            <w:tcW w:w="1065" w:type="dxa"/>
            <w:noWrap/>
            <w:vAlign w:val="center"/>
          </w:tcPr>
          <w:p w14:paraId="73450978">
            <w:pPr>
              <w:spacing w:line="560" w:lineRule="exact"/>
              <w:jc w:val="center"/>
              <w:rPr>
                <w:rFonts w:eastAsia="宋体"/>
              </w:rPr>
            </w:pPr>
            <w:r>
              <w:rPr>
                <w:rFonts w:hint="eastAsia"/>
              </w:rPr>
              <w:t>公函</w:t>
            </w:r>
          </w:p>
        </w:tc>
        <w:tc>
          <w:tcPr>
            <w:tcW w:w="1066" w:type="dxa"/>
            <w:noWrap/>
            <w:vAlign w:val="center"/>
          </w:tcPr>
          <w:p w14:paraId="06831C72">
            <w:pPr>
              <w:spacing w:line="560" w:lineRule="exact"/>
              <w:jc w:val="center"/>
            </w:pPr>
          </w:p>
        </w:tc>
        <w:tc>
          <w:tcPr>
            <w:tcW w:w="1619" w:type="dxa"/>
            <w:noWrap/>
            <w:vAlign w:val="center"/>
          </w:tcPr>
          <w:p w14:paraId="0937597B">
            <w:pPr>
              <w:spacing w:line="560" w:lineRule="exact"/>
              <w:jc w:val="center"/>
              <w:rPr>
                <w:rFonts w:eastAsia="宋体"/>
              </w:rPr>
            </w:pPr>
            <w:r>
              <w:rPr>
                <w:rFonts w:hint="eastAsia"/>
              </w:rPr>
              <w:t>备注</w:t>
            </w:r>
          </w:p>
        </w:tc>
      </w:tr>
      <w:tr w14:paraId="1696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noWrap/>
            <w:vAlign w:val="center"/>
          </w:tcPr>
          <w:p w14:paraId="7777A749">
            <w:pPr>
              <w:spacing w:line="560" w:lineRule="exact"/>
              <w:jc w:val="center"/>
              <w:rPr>
                <w:rFonts w:eastAsia="宋体"/>
              </w:rPr>
            </w:pPr>
            <w:r>
              <w:rPr>
                <w:rFonts w:hint="eastAsia"/>
              </w:rPr>
              <w:t>接待事由</w:t>
            </w:r>
          </w:p>
        </w:tc>
        <w:tc>
          <w:tcPr>
            <w:tcW w:w="5820" w:type="dxa"/>
            <w:gridSpan w:val="7"/>
            <w:noWrap/>
          </w:tcPr>
          <w:p w14:paraId="4EB0D66C">
            <w:pPr>
              <w:spacing w:line="560" w:lineRule="exact"/>
            </w:pPr>
          </w:p>
        </w:tc>
        <w:tc>
          <w:tcPr>
            <w:tcW w:w="1619" w:type="dxa"/>
            <w:vMerge w:val="restart"/>
            <w:noWrap/>
          </w:tcPr>
          <w:p w14:paraId="6B12B37E">
            <w:pPr>
              <w:spacing w:line="560" w:lineRule="exact"/>
              <w:jc w:val="center"/>
              <w:rPr>
                <w:sz w:val="15"/>
              </w:rPr>
            </w:pPr>
            <w:r>
              <w:rPr>
                <w:rFonts w:hint="eastAsia"/>
                <w:sz w:val="15"/>
              </w:rPr>
              <w:t>餐费标准：</w:t>
            </w:r>
          </w:p>
          <w:p w14:paraId="28893F03">
            <w:pPr>
              <w:spacing w:line="560" w:lineRule="exact"/>
              <w:rPr>
                <w:rFonts w:ascii="Calibri" w:hAnsi="Calibri"/>
                <w:sz w:val="15"/>
              </w:rPr>
            </w:pPr>
            <w:r>
              <w:rPr>
                <w:rFonts w:ascii="Calibri" w:hAnsi="Calibri"/>
                <w:sz w:val="15"/>
              </w:rPr>
              <w:t>①</w:t>
            </w:r>
            <w:r>
              <w:rPr>
                <w:rFonts w:hint="eastAsia" w:ascii="Calibri" w:hAnsi="Calibri"/>
                <w:sz w:val="15"/>
              </w:rPr>
              <w:t>自助餐：</w:t>
            </w:r>
          </w:p>
          <w:p w14:paraId="5844F7CF">
            <w:pPr>
              <w:spacing w:line="560" w:lineRule="exact"/>
              <w:rPr>
                <w:rFonts w:ascii="Calibri" w:hAnsi="Calibri"/>
                <w:sz w:val="15"/>
              </w:rPr>
            </w:pPr>
            <w:r>
              <w:rPr>
                <w:rFonts w:hint="eastAsia" w:ascii="Calibri" w:hAnsi="Calibri"/>
                <w:sz w:val="15"/>
              </w:rPr>
              <w:t xml:space="preserve">   早25元/人</w:t>
            </w:r>
          </w:p>
          <w:p w14:paraId="1BA310F9">
            <w:pPr>
              <w:spacing w:line="560" w:lineRule="exact"/>
              <w:rPr>
                <w:rFonts w:ascii="Calibri" w:hAnsi="Calibri"/>
                <w:sz w:val="15"/>
              </w:rPr>
            </w:pPr>
            <w:r>
              <w:rPr>
                <w:rFonts w:hint="eastAsia" w:ascii="Calibri" w:hAnsi="Calibri"/>
                <w:sz w:val="15"/>
              </w:rPr>
              <w:t xml:space="preserve">   午70元/人</w:t>
            </w:r>
          </w:p>
          <w:p w14:paraId="03C2C5BE">
            <w:pPr>
              <w:spacing w:line="560" w:lineRule="exact"/>
              <w:rPr>
                <w:rFonts w:ascii="Calibri" w:hAnsi="Calibri"/>
                <w:sz w:val="15"/>
              </w:rPr>
            </w:pPr>
            <w:r>
              <w:rPr>
                <w:rFonts w:hint="eastAsia" w:ascii="Calibri" w:hAnsi="Calibri"/>
                <w:sz w:val="15"/>
              </w:rPr>
              <w:t xml:space="preserve">   晚70元/人</w:t>
            </w:r>
          </w:p>
          <w:p w14:paraId="2FCF0488">
            <w:pPr>
              <w:spacing w:line="560" w:lineRule="exact"/>
              <w:rPr>
                <w:rFonts w:ascii="Calibri" w:hAnsi="Calibri"/>
                <w:sz w:val="15"/>
              </w:rPr>
            </w:pPr>
          </w:p>
          <w:p w14:paraId="664FDECB">
            <w:pPr>
              <w:spacing w:line="560" w:lineRule="exact"/>
              <w:rPr>
                <w:rFonts w:ascii="Calibri" w:hAnsi="Calibri"/>
                <w:sz w:val="15"/>
              </w:rPr>
            </w:pPr>
            <w:r>
              <w:rPr>
                <w:rFonts w:ascii="Calibri" w:hAnsi="Calibri"/>
                <w:sz w:val="15"/>
              </w:rPr>
              <w:t>②</w:t>
            </w:r>
            <w:r>
              <w:rPr>
                <w:rFonts w:hint="eastAsia" w:ascii="Calibri" w:hAnsi="Calibri"/>
                <w:sz w:val="15"/>
              </w:rPr>
              <w:t>工作桌餐：</w:t>
            </w:r>
          </w:p>
          <w:p w14:paraId="698312D5">
            <w:pPr>
              <w:spacing w:line="560" w:lineRule="exact"/>
              <w:ind w:firstLine="300" w:firstLineChars="200"/>
              <w:rPr>
                <w:rFonts w:ascii="Calibri" w:hAnsi="Calibri"/>
                <w:sz w:val="15"/>
              </w:rPr>
            </w:pPr>
            <w:r>
              <w:rPr>
                <w:rFonts w:hint="eastAsia" w:ascii="Calibri" w:hAnsi="Calibri"/>
                <w:sz w:val="15"/>
              </w:rPr>
              <w:t>150元/人</w:t>
            </w:r>
          </w:p>
          <w:p w14:paraId="1EC93FDC">
            <w:pPr>
              <w:spacing w:line="560" w:lineRule="exact"/>
              <w:ind w:firstLine="300" w:firstLineChars="200"/>
              <w:rPr>
                <w:rFonts w:ascii="Calibri" w:hAnsi="Calibri"/>
                <w:sz w:val="15"/>
              </w:rPr>
            </w:pPr>
          </w:p>
          <w:p w14:paraId="6FF42A42">
            <w:pPr>
              <w:spacing w:line="560" w:lineRule="exact"/>
              <w:rPr>
                <w:rFonts w:ascii="Calibri" w:hAnsi="Calibri"/>
                <w:sz w:val="11"/>
              </w:rPr>
            </w:pPr>
            <w:r>
              <w:rPr>
                <w:rFonts w:ascii="Calibri" w:hAnsi="Calibri"/>
                <w:sz w:val="15"/>
              </w:rPr>
              <w:t>③</w:t>
            </w:r>
            <w:r>
              <w:rPr>
                <w:rFonts w:hint="eastAsia" w:ascii="Calibri" w:hAnsi="Calibri"/>
                <w:sz w:val="11"/>
              </w:rPr>
              <w:t>工作人员餐费：</w:t>
            </w:r>
          </w:p>
          <w:p w14:paraId="13A432BE">
            <w:pPr>
              <w:spacing w:line="560" w:lineRule="exact"/>
              <w:rPr>
                <w:rFonts w:ascii="Calibri" w:hAnsi="Calibri"/>
                <w:sz w:val="15"/>
              </w:rPr>
            </w:pPr>
            <w:r>
              <w:rPr>
                <w:rFonts w:hint="eastAsia" w:ascii="Calibri" w:hAnsi="Calibri"/>
                <w:sz w:val="15"/>
              </w:rPr>
              <w:t xml:space="preserve">     50元/人</w:t>
            </w:r>
          </w:p>
        </w:tc>
      </w:tr>
      <w:tr w14:paraId="3FA6B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Merge w:val="restart"/>
            <w:noWrap/>
            <w:vAlign w:val="center"/>
          </w:tcPr>
          <w:p w14:paraId="4FE48CBD">
            <w:pPr>
              <w:spacing w:line="560" w:lineRule="exact"/>
              <w:jc w:val="center"/>
              <w:rPr>
                <w:rFonts w:eastAsia="宋体"/>
              </w:rPr>
            </w:pPr>
            <w:r>
              <w:rPr>
                <w:rFonts w:hint="eastAsia"/>
              </w:rPr>
              <w:t>来宾情况</w:t>
            </w:r>
          </w:p>
        </w:tc>
        <w:tc>
          <w:tcPr>
            <w:tcW w:w="840" w:type="dxa"/>
            <w:noWrap/>
            <w:vAlign w:val="center"/>
          </w:tcPr>
          <w:p w14:paraId="45B47E7F">
            <w:pPr>
              <w:spacing w:line="560" w:lineRule="exact"/>
              <w:jc w:val="center"/>
              <w:rPr>
                <w:rFonts w:eastAsia="宋体"/>
              </w:rPr>
            </w:pPr>
            <w:r>
              <w:rPr>
                <w:rFonts w:hint="eastAsia"/>
              </w:rPr>
              <w:t>姓名</w:t>
            </w:r>
          </w:p>
        </w:tc>
        <w:tc>
          <w:tcPr>
            <w:tcW w:w="930" w:type="dxa"/>
            <w:gridSpan w:val="2"/>
            <w:noWrap/>
            <w:vAlign w:val="center"/>
          </w:tcPr>
          <w:p w14:paraId="5652D1C5">
            <w:pPr>
              <w:spacing w:line="560" w:lineRule="exact"/>
              <w:jc w:val="center"/>
              <w:rPr>
                <w:rFonts w:eastAsia="宋体"/>
              </w:rPr>
            </w:pPr>
            <w:r>
              <w:rPr>
                <w:rFonts w:hint="eastAsia"/>
              </w:rPr>
              <w:t>职务</w:t>
            </w:r>
          </w:p>
        </w:tc>
        <w:tc>
          <w:tcPr>
            <w:tcW w:w="854" w:type="dxa"/>
            <w:noWrap/>
            <w:vAlign w:val="center"/>
          </w:tcPr>
          <w:p w14:paraId="2103039F">
            <w:pPr>
              <w:spacing w:line="560" w:lineRule="exact"/>
              <w:jc w:val="center"/>
            </w:pPr>
            <w:r>
              <w:rPr>
                <w:rFonts w:hint="eastAsia"/>
              </w:rPr>
              <w:t>姓名</w:t>
            </w:r>
          </w:p>
        </w:tc>
        <w:tc>
          <w:tcPr>
            <w:tcW w:w="1065" w:type="dxa"/>
            <w:noWrap/>
            <w:vAlign w:val="center"/>
          </w:tcPr>
          <w:p w14:paraId="20010265">
            <w:pPr>
              <w:spacing w:line="560" w:lineRule="exact"/>
              <w:jc w:val="center"/>
            </w:pPr>
            <w:r>
              <w:rPr>
                <w:rFonts w:hint="eastAsia"/>
              </w:rPr>
              <w:t>职务</w:t>
            </w:r>
          </w:p>
        </w:tc>
        <w:tc>
          <w:tcPr>
            <w:tcW w:w="1065" w:type="dxa"/>
            <w:noWrap/>
            <w:vAlign w:val="center"/>
          </w:tcPr>
          <w:p w14:paraId="56D11219">
            <w:pPr>
              <w:spacing w:line="560" w:lineRule="exact"/>
              <w:jc w:val="center"/>
            </w:pPr>
            <w:r>
              <w:rPr>
                <w:rFonts w:hint="eastAsia"/>
              </w:rPr>
              <w:t>姓名</w:t>
            </w:r>
          </w:p>
        </w:tc>
        <w:tc>
          <w:tcPr>
            <w:tcW w:w="1066" w:type="dxa"/>
            <w:noWrap/>
            <w:vAlign w:val="center"/>
          </w:tcPr>
          <w:p w14:paraId="33362F93">
            <w:pPr>
              <w:spacing w:line="560" w:lineRule="exact"/>
              <w:jc w:val="center"/>
            </w:pPr>
            <w:r>
              <w:rPr>
                <w:rFonts w:hint="eastAsia"/>
              </w:rPr>
              <w:t>职务</w:t>
            </w:r>
          </w:p>
        </w:tc>
        <w:tc>
          <w:tcPr>
            <w:tcW w:w="1619" w:type="dxa"/>
            <w:vMerge w:val="continue"/>
            <w:noWrap/>
          </w:tcPr>
          <w:p w14:paraId="2E3550DF">
            <w:pPr>
              <w:spacing w:line="560" w:lineRule="exact"/>
            </w:pPr>
          </w:p>
        </w:tc>
      </w:tr>
      <w:tr w14:paraId="706E5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Merge w:val="continue"/>
            <w:noWrap/>
            <w:vAlign w:val="center"/>
          </w:tcPr>
          <w:p w14:paraId="47A3221A">
            <w:pPr>
              <w:spacing w:line="560" w:lineRule="exact"/>
              <w:jc w:val="center"/>
            </w:pPr>
          </w:p>
        </w:tc>
        <w:tc>
          <w:tcPr>
            <w:tcW w:w="840" w:type="dxa"/>
            <w:noWrap/>
          </w:tcPr>
          <w:p w14:paraId="77169833">
            <w:pPr>
              <w:spacing w:line="560" w:lineRule="exact"/>
            </w:pPr>
          </w:p>
        </w:tc>
        <w:tc>
          <w:tcPr>
            <w:tcW w:w="930" w:type="dxa"/>
            <w:gridSpan w:val="2"/>
            <w:noWrap/>
          </w:tcPr>
          <w:p w14:paraId="596D602B">
            <w:pPr>
              <w:spacing w:line="560" w:lineRule="exact"/>
            </w:pPr>
          </w:p>
        </w:tc>
        <w:tc>
          <w:tcPr>
            <w:tcW w:w="854" w:type="dxa"/>
            <w:noWrap/>
          </w:tcPr>
          <w:p w14:paraId="4FEC92D0">
            <w:pPr>
              <w:spacing w:line="560" w:lineRule="exact"/>
            </w:pPr>
          </w:p>
        </w:tc>
        <w:tc>
          <w:tcPr>
            <w:tcW w:w="1065" w:type="dxa"/>
            <w:noWrap/>
          </w:tcPr>
          <w:p w14:paraId="0383AE2A">
            <w:pPr>
              <w:spacing w:line="560" w:lineRule="exact"/>
            </w:pPr>
          </w:p>
        </w:tc>
        <w:tc>
          <w:tcPr>
            <w:tcW w:w="1065" w:type="dxa"/>
            <w:noWrap/>
          </w:tcPr>
          <w:p w14:paraId="7BA5594C">
            <w:pPr>
              <w:spacing w:line="560" w:lineRule="exact"/>
            </w:pPr>
          </w:p>
        </w:tc>
        <w:tc>
          <w:tcPr>
            <w:tcW w:w="1066" w:type="dxa"/>
            <w:noWrap/>
          </w:tcPr>
          <w:p w14:paraId="358BA775">
            <w:pPr>
              <w:spacing w:line="560" w:lineRule="exact"/>
            </w:pPr>
          </w:p>
        </w:tc>
        <w:tc>
          <w:tcPr>
            <w:tcW w:w="1619" w:type="dxa"/>
            <w:vMerge w:val="continue"/>
            <w:noWrap/>
          </w:tcPr>
          <w:p w14:paraId="1EFFAA94">
            <w:pPr>
              <w:spacing w:line="560" w:lineRule="exact"/>
            </w:pPr>
          </w:p>
        </w:tc>
      </w:tr>
      <w:tr w14:paraId="7430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Merge w:val="continue"/>
            <w:noWrap/>
            <w:vAlign w:val="center"/>
          </w:tcPr>
          <w:p w14:paraId="3736F49F">
            <w:pPr>
              <w:spacing w:line="560" w:lineRule="exact"/>
              <w:jc w:val="center"/>
            </w:pPr>
          </w:p>
        </w:tc>
        <w:tc>
          <w:tcPr>
            <w:tcW w:w="840" w:type="dxa"/>
            <w:noWrap/>
          </w:tcPr>
          <w:p w14:paraId="64635474">
            <w:pPr>
              <w:spacing w:line="560" w:lineRule="exact"/>
            </w:pPr>
          </w:p>
        </w:tc>
        <w:tc>
          <w:tcPr>
            <w:tcW w:w="930" w:type="dxa"/>
            <w:gridSpan w:val="2"/>
            <w:noWrap/>
          </w:tcPr>
          <w:p w14:paraId="44C8FDDF">
            <w:pPr>
              <w:spacing w:line="560" w:lineRule="exact"/>
            </w:pPr>
          </w:p>
        </w:tc>
        <w:tc>
          <w:tcPr>
            <w:tcW w:w="854" w:type="dxa"/>
            <w:noWrap/>
          </w:tcPr>
          <w:p w14:paraId="6A0787AE">
            <w:pPr>
              <w:spacing w:line="560" w:lineRule="exact"/>
            </w:pPr>
          </w:p>
        </w:tc>
        <w:tc>
          <w:tcPr>
            <w:tcW w:w="1065" w:type="dxa"/>
            <w:noWrap/>
          </w:tcPr>
          <w:p w14:paraId="01F61175">
            <w:pPr>
              <w:spacing w:line="560" w:lineRule="exact"/>
            </w:pPr>
          </w:p>
        </w:tc>
        <w:tc>
          <w:tcPr>
            <w:tcW w:w="1065" w:type="dxa"/>
            <w:noWrap/>
          </w:tcPr>
          <w:p w14:paraId="43F3FA27">
            <w:pPr>
              <w:spacing w:line="560" w:lineRule="exact"/>
            </w:pPr>
          </w:p>
        </w:tc>
        <w:tc>
          <w:tcPr>
            <w:tcW w:w="1066" w:type="dxa"/>
            <w:noWrap/>
          </w:tcPr>
          <w:p w14:paraId="45AE5DB7">
            <w:pPr>
              <w:spacing w:line="560" w:lineRule="exact"/>
            </w:pPr>
          </w:p>
        </w:tc>
        <w:tc>
          <w:tcPr>
            <w:tcW w:w="1619" w:type="dxa"/>
            <w:vMerge w:val="continue"/>
            <w:noWrap/>
          </w:tcPr>
          <w:p w14:paraId="0F3C4B63">
            <w:pPr>
              <w:spacing w:line="560" w:lineRule="exact"/>
            </w:pPr>
          </w:p>
        </w:tc>
      </w:tr>
      <w:tr w14:paraId="318A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Merge w:val="continue"/>
            <w:noWrap/>
            <w:vAlign w:val="center"/>
          </w:tcPr>
          <w:p w14:paraId="5BD9723D">
            <w:pPr>
              <w:spacing w:line="560" w:lineRule="exact"/>
              <w:jc w:val="center"/>
            </w:pPr>
          </w:p>
        </w:tc>
        <w:tc>
          <w:tcPr>
            <w:tcW w:w="840" w:type="dxa"/>
            <w:noWrap/>
          </w:tcPr>
          <w:p w14:paraId="6A0DFD66">
            <w:pPr>
              <w:spacing w:line="560" w:lineRule="exact"/>
            </w:pPr>
          </w:p>
        </w:tc>
        <w:tc>
          <w:tcPr>
            <w:tcW w:w="930" w:type="dxa"/>
            <w:gridSpan w:val="2"/>
            <w:noWrap/>
          </w:tcPr>
          <w:p w14:paraId="133DBC67">
            <w:pPr>
              <w:spacing w:line="560" w:lineRule="exact"/>
            </w:pPr>
          </w:p>
        </w:tc>
        <w:tc>
          <w:tcPr>
            <w:tcW w:w="854" w:type="dxa"/>
            <w:noWrap/>
          </w:tcPr>
          <w:p w14:paraId="18B1C5AF">
            <w:pPr>
              <w:spacing w:line="560" w:lineRule="exact"/>
            </w:pPr>
          </w:p>
        </w:tc>
        <w:tc>
          <w:tcPr>
            <w:tcW w:w="1065" w:type="dxa"/>
            <w:noWrap/>
          </w:tcPr>
          <w:p w14:paraId="268F22DC">
            <w:pPr>
              <w:spacing w:line="560" w:lineRule="exact"/>
            </w:pPr>
          </w:p>
        </w:tc>
        <w:tc>
          <w:tcPr>
            <w:tcW w:w="1065" w:type="dxa"/>
            <w:noWrap/>
          </w:tcPr>
          <w:p w14:paraId="53CCD8CE">
            <w:pPr>
              <w:spacing w:line="560" w:lineRule="exact"/>
            </w:pPr>
          </w:p>
        </w:tc>
        <w:tc>
          <w:tcPr>
            <w:tcW w:w="1066" w:type="dxa"/>
            <w:noWrap/>
          </w:tcPr>
          <w:p w14:paraId="585600D3">
            <w:pPr>
              <w:spacing w:line="560" w:lineRule="exact"/>
            </w:pPr>
          </w:p>
        </w:tc>
        <w:tc>
          <w:tcPr>
            <w:tcW w:w="1619" w:type="dxa"/>
            <w:vMerge w:val="continue"/>
            <w:noWrap/>
          </w:tcPr>
          <w:p w14:paraId="3183F46D">
            <w:pPr>
              <w:spacing w:line="560" w:lineRule="exact"/>
            </w:pPr>
          </w:p>
        </w:tc>
      </w:tr>
      <w:tr w14:paraId="791B3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Merge w:val="continue"/>
            <w:noWrap/>
            <w:vAlign w:val="center"/>
          </w:tcPr>
          <w:p w14:paraId="714D598B">
            <w:pPr>
              <w:spacing w:line="560" w:lineRule="exact"/>
              <w:jc w:val="center"/>
            </w:pPr>
          </w:p>
        </w:tc>
        <w:tc>
          <w:tcPr>
            <w:tcW w:w="840" w:type="dxa"/>
            <w:noWrap/>
          </w:tcPr>
          <w:p w14:paraId="5A960B6D">
            <w:pPr>
              <w:spacing w:line="560" w:lineRule="exact"/>
            </w:pPr>
          </w:p>
        </w:tc>
        <w:tc>
          <w:tcPr>
            <w:tcW w:w="930" w:type="dxa"/>
            <w:gridSpan w:val="2"/>
            <w:noWrap/>
          </w:tcPr>
          <w:p w14:paraId="57A953CC">
            <w:pPr>
              <w:spacing w:line="560" w:lineRule="exact"/>
            </w:pPr>
          </w:p>
        </w:tc>
        <w:tc>
          <w:tcPr>
            <w:tcW w:w="854" w:type="dxa"/>
            <w:noWrap/>
          </w:tcPr>
          <w:p w14:paraId="323261C7">
            <w:pPr>
              <w:spacing w:line="560" w:lineRule="exact"/>
            </w:pPr>
          </w:p>
        </w:tc>
        <w:tc>
          <w:tcPr>
            <w:tcW w:w="1065" w:type="dxa"/>
            <w:noWrap/>
          </w:tcPr>
          <w:p w14:paraId="50093A18">
            <w:pPr>
              <w:spacing w:line="560" w:lineRule="exact"/>
            </w:pPr>
          </w:p>
        </w:tc>
        <w:tc>
          <w:tcPr>
            <w:tcW w:w="1065" w:type="dxa"/>
            <w:noWrap/>
          </w:tcPr>
          <w:p w14:paraId="79CD61A0">
            <w:pPr>
              <w:spacing w:line="560" w:lineRule="exact"/>
            </w:pPr>
          </w:p>
        </w:tc>
        <w:tc>
          <w:tcPr>
            <w:tcW w:w="1066" w:type="dxa"/>
            <w:noWrap/>
          </w:tcPr>
          <w:p w14:paraId="2F9C7BA5">
            <w:pPr>
              <w:spacing w:line="560" w:lineRule="exact"/>
            </w:pPr>
          </w:p>
        </w:tc>
        <w:tc>
          <w:tcPr>
            <w:tcW w:w="1619" w:type="dxa"/>
            <w:vMerge w:val="continue"/>
            <w:noWrap/>
          </w:tcPr>
          <w:p w14:paraId="42C50D0D">
            <w:pPr>
              <w:spacing w:line="560" w:lineRule="exact"/>
            </w:pPr>
          </w:p>
        </w:tc>
      </w:tr>
      <w:tr w14:paraId="2CD0B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noWrap/>
            <w:vAlign w:val="center"/>
          </w:tcPr>
          <w:p w14:paraId="2E9BDA6B">
            <w:pPr>
              <w:spacing w:line="560" w:lineRule="exact"/>
              <w:jc w:val="center"/>
              <w:rPr>
                <w:rFonts w:eastAsia="宋体"/>
              </w:rPr>
            </w:pPr>
            <w:r>
              <w:rPr>
                <w:rFonts w:hint="eastAsia"/>
              </w:rPr>
              <w:t>在白活动时间</w:t>
            </w:r>
          </w:p>
        </w:tc>
        <w:tc>
          <w:tcPr>
            <w:tcW w:w="5820" w:type="dxa"/>
            <w:gridSpan w:val="7"/>
            <w:noWrap/>
          </w:tcPr>
          <w:p w14:paraId="22E5BD38">
            <w:pPr>
              <w:spacing w:line="560" w:lineRule="exact"/>
              <w:rPr>
                <w:rFonts w:eastAsia="宋体"/>
              </w:rPr>
            </w:pPr>
            <w:r>
              <w:rPr>
                <w:rFonts w:hint="eastAsia"/>
              </w:rPr>
              <w:t xml:space="preserve">          年   月   日至   年   月   日   （共  人）</w:t>
            </w:r>
          </w:p>
        </w:tc>
        <w:tc>
          <w:tcPr>
            <w:tcW w:w="1619" w:type="dxa"/>
            <w:vMerge w:val="continue"/>
            <w:noWrap/>
          </w:tcPr>
          <w:p w14:paraId="21EEF916">
            <w:pPr>
              <w:spacing w:line="560" w:lineRule="exact"/>
            </w:pPr>
          </w:p>
        </w:tc>
      </w:tr>
      <w:tr w14:paraId="1CD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Merge w:val="restart"/>
            <w:noWrap/>
            <w:vAlign w:val="center"/>
          </w:tcPr>
          <w:p w14:paraId="36F0C6E5">
            <w:pPr>
              <w:spacing w:line="560" w:lineRule="exact"/>
              <w:jc w:val="center"/>
              <w:rPr>
                <w:rFonts w:eastAsia="宋体"/>
              </w:rPr>
            </w:pPr>
            <w:r>
              <w:rPr>
                <w:rFonts w:hint="eastAsia"/>
              </w:rPr>
              <w:t>接待预案</w:t>
            </w:r>
          </w:p>
        </w:tc>
        <w:tc>
          <w:tcPr>
            <w:tcW w:w="1275" w:type="dxa"/>
            <w:gridSpan w:val="2"/>
            <w:noWrap/>
            <w:vAlign w:val="center"/>
          </w:tcPr>
          <w:p w14:paraId="20602A53">
            <w:pPr>
              <w:spacing w:line="560" w:lineRule="exact"/>
              <w:rPr>
                <w:rFonts w:eastAsia="宋体"/>
              </w:rPr>
            </w:pPr>
            <w:r>
              <w:rPr>
                <w:rFonts w:hint="eastAsia"/>
              </w:rPr>
              <w:t>接待地点</w:t>
            </w:r>
          </w:p>
        </w:tc>
        <w:tc>
          <w:tcPr>
            <w:tcW w:w="1349" w:type="dxa"/>
            <w:gridSpan w:val="2"/>
            <w:noWrap/>
          </w:tcPr>
          <w:p w14:paraId="4422493E">
            <w:pPr>
              <w:spacing w:line="560" w:lineRule="exact"/>
            </w:pPr>
          </w:p>
        </w:tc>
        <w:tc>
          <w:tcPr>
            <w:tcW w:w="1065" w:type="dxa"/>
            <w:noWrap/>
          </w:tcPr>
          <w:p w14:paraId="35C83518">
            <w:pPr>
              <w:spacing w:line="560" w:lineRule="exact"/>
              <w:rPr>
                <w:rFonts w:eastAsia="宋体"/>
              </w:rPr>
            </w:pPr>
            <w:r>
              <w:rPr>
                <w:rFonts w:hint="eastAsia"/>
              </w:rPr>
              <w:t>接待车辆</w:t>
            </w:r>
          </w:p>
        </w:tc>
        <w:tc>
          <w:tcPr>
            <w:tcW w:w="2131" w:type="dxa"/>
            <w:gridSpan w:val="2"/>
            <w:noWrap/>
          </w:tcPr>
          <w:p w14:paraId="75FA494D">
            <w:pPr>
              <w:spacing w:line="560" w:lineRule="exact"/>
            </w:pPr>
          </w:p>
        </w:tc>
        <w:tc>
          <w:tcPr>
            <w:tcW w:w="1619" w:type="dxa"/>
            <w:vMerge w:val="continue"/>
            <w:noWrap/>
          </w:tcPr>
          <w:p w14:paraId="56A138B7">
            <w:pPr>
              <w:spacing w:line="560" w:lineRule="exact"/>
            </w:pPr>
          </w:p>
        </w:tc>
      </w:tr>
      <w:tr w14:paraId="5CD9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Merge w:val="continue"/>
            <w:noWrap/>
            <w:vAlign w:val="center"/>
          </w:tcPr>
          <w:p w14:paraId="60F328F6">
            <w:pPr>
              <w:spacing w:line="560" w:lineRule="exact"/>
              <w:jc w:val="center"/>
            </w:pPr>
          </w:p>
        </w:tc>
        <w:tc>
          <w:tcPr>
            <w:tcW w:w="1275" w:type="dxa"/>
            <w:gridSpan w:val="2"/>
            <w:noWrap/>
            <w:vAlign w:val="center"/>
          </w:tcPr>
          <w:p w14:paraId="53A32139">
            <w:pPr>
              <w:spacing w:line="560" w:lineRule="exact"/>
              <w:rPr>
                <w:rFonts w:eastAsia="宋体"/>
              </w:rPr>
            </w:pPr>
            <w:r>
              <w:rPr>
                <w:rFonts w:hint="eastAsia"/>
              </w:rPr>
              <w:t>局接待人员</w:t>
            </w:r>
          </w:p>
        </w:tc>
        <w:tc>
          <w:tcPr>
            <w:tcW w:w="4545" w:type="dxa"/>
            <w:gridSpan w:val="5"/>
            <w:noWrap/>
          </w:tcPr>
          <w:p w14:paraId="4063E377">
            <w:pPr>
              <w:spacing w:line="560" w:lineRule="exact"/>
            </w:pPr>
          </w:p>
        </w:tc>
        <w:tc>
          <w:tcPr>
            <w:tcW w:w="1619" w:type="dxa"/>
            <w:vMerge w:val="continue"/>
            <w:noWrap/>
          </w:tcPr>
          <w:p w14:paraId="12EE2506">
            <w:pPr>
              <w:spacing w:line="560" w:lineRule="exact"/>
            </w:pPr>
          </w:p>
        </w:tc>
      </w:tr>
      <w:tr w14:paraId="67264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Merge w:val="continue"/>
            <w:noWrap/>
            <w:vAlign w:val="center"/>
          </w:tcPr>
          <w:p w14:paraId="00B186D0">
            <w:pPr>
              <w:spacing w:line="560" w:lineRule="exact"/>
              <w:jc w:val="center"/>
            </w:pPr>
          </w:p>
        </w:tc>
        <w:tc>
          <w:tcPr>
            <w:tcW w:w="1275" w:type="dxa"/>
            <w:gridSpan w:val="2"/>
            <w:noWrap/>
            <w:vAlign w:val="center"/>
          </w:tcPr>
          <w:p w14:paraId="7E9A33D3">
            <w:pPr>
              <w:spacing w:line="560" w:lineRule="exact"/>
              <w:rPr>
                <w:rFonts w:eastAsia="宋体"/>
              </w:rPr>
            </w:pPr>
            <w:r>
              <w:rPr>
                <w:rFonts w:hint="eastAsia"/>
              </w:rPr>
              <w:t>就餐人数</w:t>
            </w:r>
          </w:p>
        </w:tc>
        <w:tc>
          <w:tcPr>
            <w:tcW w:w="1349" w:type="dxa"/>
            <w:gridSpan w:val="2"/>
            <w:noWrap/>
          </w:tcPr>
          <w:p w14:paraId="11C1E419">
            <w:pPr>
              <w:spacing w:line="560" w:lineRule="exact"/>
            </w:pPr>
          </w:p>
        </w:tc>
        <w:tc>
          <w:tcPr>
            <w:tcW w:w="1065" w:type="dxa"/>
            <w:noWrap/>
          </w:tcPr>
          <w:p w14:paraId="78C65788">
            <w:pPr>
              <w:spacing w:line="560" w:lineRule="exact"/>
              <w:rPr>
                <w:rFonts w:eastAsia="宋体"/>
              </w:rPr>
            </w:pPr>
            <w:r>
              <w:rPr>
                <w:rFonts w:hint="eastAsia"/>
              </w:rPr>
              <w:t>就餐地点</w:t>
            </w:r>
          </w:p>
        </w:tc>
        <w:tc>
          <w:tcPr>
            <w:tcW w:w="2131" w:type="dxa"/>
            <w:gridSpan w:val="2"/>
            <w:noWrap/>
          </w:tcPr>
          <w:p w14:paraId="75DE2EDE">
            <w:pPr>
              <w:spacing w:line="560" w:lineRule="exact"/>
            </w:pPr>
          </w:p>
        </w:tc>
        <w:tc>
          <w:tcPr>
            <w:tcW w:w="1619" w:type="dxa"/>
            <w:vMerge w:val="continue"/>
            <w:noWrap/>
          </w:tcPr>
          <w:p w14:paraId="48190250">
            <w:pPr>
              <w:spacing w:line="560" w:lineRule="exact"/>
            </w:pPr>
          </w:p>
        </w:tc>
      </w:tr>
      <w:tr w14:paraId="26EB9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Merge w:val="continue"/>
            <w:noWrap/>
            <w:vAlign w:val="center"/>
          </w:tcPr>
          <w:p w14:paraId="64FC19FA">
            <w:pPr>
              <w:spacing w:line="560" w:lineRule="exact"/>
              <w:jc w:val="center"/>
            </w:pPr>
          </w:p>
        </w:tc>
        <w:tc>
          <w:tcPr>
            <w:tcW w:w="1275" w:type="dxa"/>
            <w:gridSpan w:val="2"/>
            <w:noWrap/>
            <w:vAlign w:val="center"/>
          </w:tcPr>
          <w:p w14:paraId="5DC0A990">
            <w:pPr>
              <w:spacing w:line="560" w:lineRule="exact"/>
              <w:rPr>
                <w:rFonts w:eastAsia="宋体"/>
              </w:rPr>
            </w:pPr>
            <w:r>
              <w:rPr>
                <w:rFonts w:hint="eastAsia"/>
              </w:rPr>
              <w:t>就餐桌数</w:t>
            </w:r>
          </w:p>
        </w:tc>
        <w:tc>
          <w:tcPr>
            <w:tcW w:w="4545" w:type="dxa"/>
            <w:gridSpan w:val="5"/>
            <w:noWrap/>
          </w:tcPr>
          <w:p w14:paraId="613FB80E">
            <w:pPr>
              <w:spacing w:line="560" w:lineRule="exact"/>
            </w:pPr>
            <w:r>
              <w:rPr>
                <w:rFonts w:hint="eastAsia"/>
              </w:rPr>
              <w:t>早：        中：       晚：</w:t>
            </w:r>
          </w:p>
        </w:tc>
        <w:tc>
          <w:tcPr>
            <w:tcW w:w="1619" w:type="dxa"/>
            <w:vMerge w:val="continue"/>
            <w:noWrap/>
          </w:tcPr>
          <w:p w14:paraId="2080C273">
            <w:pPr>
              <w:spacing w:line="560" w:lineRule="exact"/>
            </w:pPr>
          </w:p>
        </w:tc>
      </w:tr>
      <w:tr w14:paraId="16424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Merge w:val="continue"/>
            <w:noWrap/>
            <w:vAlign w:val="center"/>
          </w:tcPr>
          <w:p w14:paraId="17C4AEAE">
            <w:pPr>
              <w:spacing w:line="560" w:lineRule="exact"/>
              <w:jc w:val="center"/>
            </w:pPr>
          </w:p>
        </w:tc>
        <w:tc>
          <w:tcPr>
            <w:tcW w:w="1275" w:type="dxa"/>
            <w:gridSpan w:val="2"/>
            <w:noWrap/>
            <w:vAlign w:val="center"/>
          </w:tcPr>
          <w:p w14:paraId="0F846D99">
            <w:pPr>
              <w:spacing w:line="560" w:lineRule="exact"/>
              <w:rPr>
                <w:rFonts w:eastAsia="宋体"/>
              </w:rPr>
            </w:pPr>
            <w:r>
              <w:rPr>
                <w:rFonts w:hint="eastAsia"/>
              </w:rPr>
              <w:t>工作人员数</w:t>
            </w:r>
          </w:p>
        </w:tc>
        <w:tc>
          <w:tcPr>
            <w:tcW w:w="4545" w:type="dxa"/>
            <w:gridSpan w:val="5"/>
            <w:noWrap/>
          </w:tcPr>
          <w:p w14:paraId="20FF997B">
            <w:pPr>
              <w:spacing w:line="560" w:lineRule="exact"/>
            </w:pPr>
            <w:r>
              <w:rPr>
                <w:rFonts w:hint="eastAsia"/>
              </w:rPr>
              <w:t>早：        中：       晚：</w:t>
            </w:r>
          </w:p>
        </w:tc>
        <w:tc>
          <w:tcPr>
            <w:tcW w:w="1619" w:type="dxa"/>
            <w:vMerge w:val="continue"/>
            <w:noWrap/>
          </w:tcPr>
          <w:p w14:paraId="356092CC">
            <w:pPr>
              <w:spacing w:line="560" w:lineRule="exact"/>
            </w:pPr>
          </w:p>
        </w:tc>
      </w:tr>
      <w:tr w14:paraId="51118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Merge w:val="restart"/>
            <w:noWrap/>
            <w:vAlign w:val="center"/>
          </w:tcPr>
          <w:p w14:paraId="4E20D1D2">
            <w:pPr>
              <w:spacing w:line="560" w:lineRule="exact"/>
              <w:jc w:val="center"/>
              <w:rPr>
                <w:rFonts w:eastAsia="宋体"/>
              </w:rPr>
            </w:pPr>
            <w:r>
              <w:rPr>
                <w:rFonts w:hint="eastAsia"/>
              </w:rPr>
              <w:t>接待预算</w:t>
            </w:r>
          </w:p>
        </w:tc>
        <w:tc>
          <w:tcPr>
            <w:tcW w:w="1275" w:type="dxa"/>
            <w:gridSpan w:val="2"/>
            <w:noWrap/>
            <w:vAlign w:val="center"/>
          </w:tcPr>
          <w:p w14:paraId="0B7D67F1">
            <w:pPr>
              <w:spacing w:line="560" w:lineRule="exact"/>
              <w:rPr>
                <w:rFonts w:eastAsia="宋体"/>
              </w:rPr>
            </w:pPr>
            <w:r>
              <w:rPr>
                <w:rFonts w:hint="eastAsia"/>
              </w:rPr>
              <w:t>餐费</w:t>
            </w:r>
          </w:p>
        </w:tc>
        <w:tc>
          <w:tcPr>
            <w:tcW w:w="1349" w:type="dxa"/>
            <w:gridSpan w:val="2"/>
            <w:noWrap/>
          </w:tcPr>
          <w:p w14:paraId="5E747877">
            <w:pPr>
              <w:spacing w:line="560" w:lineRule="exact"/>
            </w:pPr>
          </w:p>
        </w:tc>
        <w:tc>
          <w:tcPr>
            <w:tcW w:w="1065" w:type="dxa"/>
            <w:noWrap/>
          </w:tcPr>
          <w:p w14:paraId="4F86186B">
            <w:pPr>
              <w:spacing w:line="560" w:lineRule="exact"/>
              <w:rPr>
                <w:rFonts w:eastAsia="宋体"/>
              </w:rPr>
            </w:pPr>
            <w:r>
              <w:rPr>
                <w:rFonts w:hint="eastAsia"/>
              </w:rPr>
              <w:t>交通费</w:t>
            </w:r>
          </w:p>
        </w:tc>
        <w:tc>
          <w:tcPr>
            <w:tcW w:w="2131" w:type="dxa"/>
            <w:gridSpan w:val="2"/>
            <w:noWrap/>
          </w:tcPr>
          <w:p w14:paraId="34FACAAB">
            <w:pPr>
              <w:spacing w:line="560" w:lineRule="exact"/>
            </w:pPr>
          </w:p>
        </w:tc>
        <w:tc>
          <w:tcPr>
            <w:tcW w:w="1619" w:type="dxa"/>
            <w:vMerge w:val="continue"/>
            <w:noWrap/>
          </w:tcPr>
          <w:p w14:paraId="33A83C4E">
            <w:pPr>
              <w:spacing w:line="560" w:lineRule="exact"/>
            </w:pPr>
          </w:p>
        </w:tc>
      </w:tr>
      <w:tr w14:paraId="3D6D2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Merge w:val="continue"/>
            <w:noWrap/>
          </w:tcPr>
          <w:p w14:paraId="621EE13D">
            <w:pPr>
              <w:spacing w:line="560" w:lineRule="exact"/>
            </w:pPr>
          </w:p>
        </w:tc>
        <w:tc>
          <w:tcPr>
            <w:tcW w:w="1275" w:type="dxa"/>
            <w:gridSpan w:val="2"/>
            <w:noWrap/>
            <w:vAlign w:val="center"/>
          </w:tcPr>
          <w:p w14:paraId="5EF51C0E">
            <w:pPr>
              <w:spacing w:line="560" w:lineRule="exact"/>
              <w:rPr>
                <w:rFonts w:eastAsia="宋体"/>
              </w:rPr>
            </w:pPr>
            <w:r>
              <w:rPr>
                <w:rFonts w:hint="eastAsia"/>
              </w:rPr>
              <w:t>合计金额</w:t>
            </w:r>
          </w:p>
        </w:tc>
        <w:tc>
          <w:tcPr>
            <w:tcW w:w="4545" w:type="dxa"/>
            <w:gridSpan w:val="5"/>
            <w:noWrap/>
          </w:tcPr>
          <w:p w14:paraId="0C12331A">
            <w:pPr>
              <w:spacing w:line="560" w:lineRule="exact"/>
              <w:rPr>
                <w:rFonts w:eastAsia="宋体"/>
              </w:rPr>
            </w:pPr>
            <w:r>
              <w:rPr>
                <w:rFonts w:hint="eastAsia"/>
              </w:rPr>
              <w:t xml:space="preserve">大写：                         </w:t>
            </w:r>
            <w:r>
              <w:rPr>
                <w:rFonts w:ascii="Arial" w:hAnsi="Arial" w:cs="Arial"/>
              </w:rPr>
              <w:t>¥</w:t>
            </w:r>
            <w:r>
              <w:rPr>
                <w:rFonts w:hint="eastAsia" w:ascii="Arial" w:hAnsi="Arial" w:cs="Arial"/>
              </w:rPr>
              <w:t>：</w:t>
            </w:r>
          </w:p>
        </w:tc>
        <w:tc>
          <w:tcPr>
            <w:tcW w:w="1619" w:type="dxa"/>
            <w:vMerge w:val="continue"/>
            <w:noWrap/>
          </w:tcPr>
          <w:p w14:paraId="7034EB88">
            <w:pPr>
              <w:spacing w:line="560" w:lineRule="exact"/>
            </w:pPr>
          </w:p>
        </w:tc>
      </w:tr>
    </w:tbl>
    <w:p w14:paraId="3572238A">
      <w:pPr>
        <w:spacing w:line="560" w:lineRule="exact"/>
      </w:pPr>
    </w:p>
    <w:p w14:paraId="70CF427C">
      <w:pPr>
        <w:spacing w:line="560" w:lineRule="exact"/>
      </w:pPr>
      <w:r>
        <w:rPr>
          <w:rFonts w:hint="eastAsia"/>
        </w:rPr>
        <w:t>局长：    分管财务领导：    分管科室领导：    办公室主任：    业务科室负责人：</w:t>
      </w:r>
    </w:p>
    <w:p w14:paraId="471BCC08">
      <w:pPr>
        <w:spacing w:line="560" w:lineRule="exact"/>
      </w:pPr>
    </w:p>
    <w:p w14:paraId="6E4DBA2A">
      <w:pPr>
        <w:spacing w:line="560" w:lineRule="exact"/>
        <w:rPr>
          <w:u w:val="double"/>
        </w:rPr>
      </w:pPr>
      <w:r>
        <w:rPr>
          <w:rFonts w:hint="eastAsia"/>
          <w:u w:val="double"/>
        </w:rPr>
        <w:t xml:space="preserve">                                                                                  </w:t>
      </w:r>
    </w:p>
    <w:p w14:paraId="652023A4">
      <w:pPr>
        <w:spacing w:line="560" w:lineRule="exact"/>
        <w:jc w:val="center"/>
      </w:pPr>
    </w:p>
    <w:p w14:paraId="31E2784D">
      <w:pPr>
        <w:spacing w:line="560" w:lineRule="exact"/>
        <w:jc w:val="center"/>
        <w:rPr>
          <w:sz w:val="32"/>
        </w:rPr>
      </w:pPr>
      <w:r>
        <w:rPr>
          <w:rFonts w:hint="eastAsia"/>
          <w:sz w:val="32"/>
        </w:rPr>
        <w:t>白城市司法局公务接待清单</w:t>
      </w:r>
    </w:p>
    <w:p w14:paraId="43BF661E">
      <w:pPr>
        <w:spacing w:line="560" w:lineRule="exact"/>
        <w:jc w:val="left"/>
      </w:pPr>
      <w:r>
        <w:rPr>
          <w:rFonts w:hint="eastAsia"/>
        </w:rPr>
        <w:t>编号：</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1095"/>
        <w:gridCol w:w="1170"/>
        <w:gridCol w:w="1095"/>
        <w:gridCol w:w="1035"/>
        <w:gridCol w:w="1140"/>
        <w:gridCol w:w="1006"/>
      </w:tblGrid>
      <w:tr w14:paraId="7A6F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noWrap/>
            <w:vAlign w:val="center"/>
          </w:tcPr>
          <w:p w14:paraId="3892DA15">
            <w:pPr>
              <w:spacing w:line="560" w:lineRule="exact"/>
              <w:jc w:val="center"/>
              <w:rPr>
                <w:rFonts w:eastAsia="宋体"/>
              </w:rPr>
            </w:pPr>
            <w:r>
              <w:rPr>
                <w:rFonts w:hint="eastAsia"/>
              </w:rPr>
              <w:t>来宾单位</w:t>
            </w:r>
          </w:p>
        </w:tc>
        <w:tc>
          <w:tcPr>
            <w:tcW w:w="4395" w:type="dxa"/>
            <w:gridSpan w:val="4"/>
            <w:noWrap/>
          </w:tcPr>
          <w:p w14:paraId="511084B7">
            <w:pPr>
              <w:spacing w:line="560" w:lineRule="exact"/>
              <w:jc w:val="center"/>
            </w:pPr>
          </w:p>
        </w:tc>
        <w:tc>
          <w:tcPr>
            <w:tcW w:w="1140" w:type="dxa"/>
            <w:noWrap/>
          </w:tcPr>
          <w:p w14:paraId="2F673E88">
            <w:pPr>
              <w:spacing w:line="560" w:lineRule="exact"/>
              <w:jc w:val="center"/>
              <w:rPr>
                <w:rFonts w:eastAsia="宋体"/>
              </w:rPr>
            </w:pPr>
            <w:r>
              <w:rPr>
                <w:rFonts w:hint="eastAsia"/>
              </w:rPr>
              <w:t>公函号</w:t>
            </w:r>
          </w:p>
        </w:tc>
        <w:tc>
          <w:tcPr>
            <w:tcW w:w="1006" w:type="dxa"/>
            <w:noWrap/>
          </w:tcPr>
          <w:p w14:paraId="74DBA0E9">
            <w:pPr>
              <w:spacing w:line="560" w:lineRule="exact"/>
              <w:jc w:val="center"/>
            </w:pPr>
          </w:p>
        </w:tc>
      </w:tr>
      <w:tr w14:paraId="1F7AB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noWrap/>
            <w:vAlign w:val="center"/>
          </w:tcPr>
          <w:p w14:paraId="26DBBFDF">
            <w:pPr>
              <w:spacing w:line="560" w:lineRule="exact"/>
              <w:jc w:val="center"/>
              <w:rPr>
                <w:rFonts w:eastAsia="宋体"/>
              </w:rPr>
            </w:pPr>
            <w:r>
              <w:rPr>
                <w:rFonts w:hint="eastAsia"/>
              </w:rPr>
              <w:t>接待事由</w:t>
            </w:r>
          </w:p>
        </w:tc>
        <w:tc>
          <w:tcPr>
            <w:tcW w:w="6541" w:type="dxa"/>
            <w:gridSpan w:val="6"/>
            <w:noWrap/>
          </w:tcPr>
          <w:p w14:paraId="51BB1DD7">
            <w:pPr>
              <w:spacing w:line="560" w:lineRule="exact"/>
              <w:jc w:val="center"/>
            </w:pPr>
          </w:p>
        </w:tc>
      </w:tr>
      <w:tr w14:paraId="616C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Merge w:val="restart"/>
            <w:noWrap/>
            <w:vAlign w:val="center"/>
          </w:tcPr>
          <w:p w14:paraId="1E65CEC2">
            <w:pPr>
              <w:spacing w:line="560" w:lineRule="exact"/>
              <w:jc w:val="center"/>
              <w:rPr>
                <w:rFonts w:eastAsia="宋体"/>
              </w:rPr>
            </w:pPr>
            <w:r>
              <w:rPr>
                <w:rFonts w:hint="eastAsia"/>
              </w:rPr>
              <w:t>来宾情况</w:t>
            </w:r>
          </w:p>
        </w:tc>
        <w:tc>
          <w:tcPr>
            <w:tcW w:w="1095" w:type="dxa"/>
            <w:noWrap/>
          </w:tcPr>
          <w:p w14:paraId="49340DA1">
            <w:pPr>
              <w:spacing w:line="560" w:lineRule="exact"/>
              <w:jc w:val="center"/>
              <w:rPr>
                <w:rFonts w:eastAsia="宋体"/>
              </w:rPr>
            </w:pPr>
            <w:r>
              <w:rPr>
                <w:rFonts w:hint="eastAsia"/>
              </w:rPr>
              <w:t>姓名</w:t>
            </w:r>
          </w:p>
        </w:tc>
        <w:tc>
          <w:tcPr>
            <w:tcW w:w="1170" w:type="dxa"/>
            <w:noWrap/>
          </w:tcPr>
          <w:p w14:paraId="2E5A2E22">
            <w:pPr>
              <w:spacing w:line="560" w:lineRule="exact"/>
              <w:jc w:val="center"/>
              <w:rPr>
                <w:rFonts w:eastAsia="宋体"/>
              </w:rPr>
            </w:pPr>
            <w:r>
              <w:rPr>
                <w:rFonts w:hint="eastAsia"/>
              </w:rPr>
              <w:t>职务</w:t>
            </w:r>
          </w:p>
        </w:tc>
        <w:tc>
          <w:tcPr>
            <w:tcW w:w="1095" w:type="dxa"/>
            <w:noWrap/>
          </w:tcPr>
          <w:p w14:paraId="1A1CD053">
            <w:pPr>
              <w:spacing w:line="560" w:lineRule="exact"/>
              <w:jc w:val="center"/>
            </w:pPr>
            <w:r>
              <w:rPr>
                <w:rFonts w:hint="eastAsia"/>
              </w:rPr>
              <w:t>姓名</w:t>
            </w:r>
          </w:p>
        </w:tc>
        <w:tc>
          <w:tcPr>
            <w:tcW w:w="1035" w:type="dxa"/>
            <w:noWrap/>
          </w:tcPr>
          <w:p w14:paraId="2EC67906">
            <w:pPr>
              <w:spacing w:line="560" w:lineRule="exact"/>
              <w:jc w:val="center"/>
            </w:pPr>
            <w:r>
              <w:rPr>
                <w:rFonts w:hint="eastAsia"/>
              </w:rPr>
              <w:t>职务</w:t>
            </w:r>
          </w:p>
        </w:tc>
        <w:tc>
          <w:tcPr>
            <w:tcW w:w="1140" w:type="dxa"/>
            <w:noWrap/>
          </w:tcPr>
          <w:p w14:paraId="17A1C00B">
            <w:pPr>
              <w:spacing w:line="560" w:lineRule="exact"/>
              <w:jc w:val="center"/>
            </w:pPr>
            <w:r>
              <w:rPr>
                <w:rFonts w:hint="eastAsia"/>
              </w:rPr>
              <w:t>姓名</w:t>
            </w:r>
          </w:p>
        </w:tc>
        <w:tc>
          <w:tcPr>
            <w:tcW w:w="1006" w:type="dxa"/>
            <w:noWrap/>
          </w:tcPr>
          <w:p w14:paraId="0E97C4A2">
            <w:pPr>
              <w:spacing w:line="560" w:lineRule="exact"/>
              <w:jc w:val="center"/>
            </w:pPr>
            <w:r>
              <w:rPr>
                <w:rFonts w:hint="eastAsia"/>
              </w:rPr>
              <w:t>职务</w:t>
            </w:r>
          </w:p>
        </w:tc>
      </w:tr>
      <w:tr w14:paraId="0C12C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Merge w:val="continue"/>
            <w:noWrap/>
            <w:vAlign w:val="center"/>
          </w:tcPr>
          <w:p w14:paraId="52746B59">
            <w:pPr>
              <w:spacing w:line="560" w:lineRule="exact"/>
              <w:jc w:val="center"/>
            </w:pPr>
          </w:p>
        </w:tc>
        <w:tc>
          <w:tcPr>
            <w:tcW w:w="1095" w:type="dxa"/>
            <w:noWrap/>
          </w:tcPr>
          <w:p w14:paraId="2EAF975D">
            <w:pPr>
              <w:spacing w:line="560" w:lineRule="exact"/>
              <w:jc w:val="center"/>
            </w:pPr>
          </w:p>
        </w:tc>
        <w:tc>
          <w:tcPr>
            <w:tcW w:w="1170" w:type="dxa"/>
            <w:noWrap/>
          </w:tcPr>
          <w:p w14:paraId="72D52D61">
            <w:pPr>
              <w:spacing w:line="560" w:lineRule="exact"/>
              <w:jc w:val="center"/>
            </w:pPr>
          </w:p>
        </w:tc>
        <w:tc>
          <w:tcPr>
            <w:tcW w:w="1095" w:type="dxa"/>
            <w:noWrap/>
          </w:tcPr>
          <w:p w14:paraId="0666EFF9">
            <w:pPr>
              <w:spacing w:line="560" w:lineRule="exact"/>
              <w:jc w:val="center"/>
            </w:pPr>
          </w:p>
        </w:tc>
        <w:tc>
          <w:tcPr>
            <w:tcW w:w="1035" w:type="dxa"/>
            <w:noWrap/>
          </w:tcPr>
          <w:p w14:paraId="1906411E">
            <w:pPr>
              <w:spacing w:line="560" w:lineRule="exact"/>
              <w:jc w:val="center"/>
            </w:pPr>
          </w:p>
        </w:tc>
        <w:tc>
          <w:tcPr>
            <w:tcW w:w="1140" w:type="dxa"/>
            <w:noWrap/>
          </w:tcPr>
          <w:p w14:paraId="25B5DB23">
            <w:pPr>
              <w:spacing w:line="560" w:lineRule="exact"/>
              <w:jc w:val="center"/>
            </w:pPr>
          </w:p>
        </w:tc>
        <w:tc>
          <w:tcPr>
            <w:tcW w:w="1006" w:type="dxa"/>
            <w:noWrap/>
          </w:tcPr>
          <w:p w14:paraId="2C66BC46">
            <w:pPr>
              <w:spacing w:line="560" w:lineRule="exact"/>
              <w:jc w:val="center"/>
            </w:pPr>
          </w:p>
        </w:tc>
      </w:tr>
      <w:tr w14:paraId="4E509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Merge w:val="continue"/>
            <w:noWrap/>
            <w:vAlign w:val="center"/>
          </w:tcPr>
          <w:p w14:paraId="13F13BD7">
            <w:pPr>
              <w:spacing w:line="560" w:lineRule="exact"/>
              <w:jc w:val="center"/>
            </w:pPr>
          </w:p>
        </w:tc>
        <w:tc>
          <w:tcPr>
            <w:tcW w:w="1095" w:type="dxa"/>
            <w:noWrap/>
          </w:tcPr>
          <w:p w14:paraId="5167B5CF">
            <w:pPr>
              <w:spacing w:line="560" w:lineRule="exact"/>
              <w:jc w:val="center"/>
            </w:pPr>
          </w:p>
        </w:tc>
        <w:tc>
          <w:tcPr>
            <w:tcW w:w="1170" w:type="dxa"/>
            <w:noWrap/>
          </w:tcPr>
          <w:p w14:paraId="34E99AEF">
            <w:pPr>
              <w:spacing w:line="560" w:lineRule="exact"/>
              <w:jc w:val="center"/>
            </w:pPr>
          </w:p>
        </w:tc>
        <w:tc>
          <w:tcPr>
            <w:tcW w:w="1095" w:type="dxa"/>
            <w:noWrap/>
          </w:tcPr>
          <w:p w14:paraId="3B23AFC6">
            <w:pPr>
              <w:spacing w:line="560" w:lineRule="exact"/>
              <w:jc w:val="center"/>
            </w:pPr>
          </w:p>
        </w:tc>
        <w:tc>
          <w:tcPr>
            <w:tcW w:w="1035" w:type="dxa"/>
            <w:noWrap/>
          </w:tcPr>
          <w:p w14:paraId="38CC2FB0">
            <w:pPr>
              <w:spacing w:line="560" w:lineRule="exact"/>
              <w:jc w:val="center"/>
            </w:pPr>
          </w:p>
        </w:tc>
        <w:tc>
          <w:tcPr>
            <w:tcW w:w="1140" w:type="dxa"/>
            <w:noWrap/>
          </w:tcPr>
          <w:p w14:paraId="3302327C">
            <w:pPr>
              <w:spacing w:line="560" w:lineRule="exact"/>
              <w:jc w:val="center"/>
            </w:pPr>
          </w:p>
        </w:tc>
        <w:tc>
          <w:tcPr>
            <w:tcW w:w="1006" w:type="dxa"/>
            <w:noWrap/>
          </w:tcPr>
          <w:p w14:paraId="54456862">
            <w:pPr>
              <w:spacing w:line="560" w:lineRule="exact"/>
              <w:jc w:val="center"/>
            </w:pPr>
          </w:p>
        </w:tc>
      </w:tr>
      <w:tr w14:paraId="106E7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Merge w:val="continue"/>
            <w:noWrap/>
            <w:vAlign w:val="center"/>
          </w:tcPr>
          <w:p w14:paraId="3771C1A6">
            <w:pPr>
              <w:spacing w:line="560" w:lineRule="exact"/>
              <w:jc w:val="center"/>
            </w:pPr>
          </w:p>
        </w:tc>
        <w:tc>
          <w:tcPr>
            <w:tcW w:w="1095" w:type="dxa"/>
            <w:noWrap/>
          </w:tcPr>
          <w:p w14:paraId="16D90AB5">
            <w:pPr>
              <w:spacing w:line="560" w:lineRule="exact"/>
              <w:jc w:val="center"/>
            </w:pPr>
          </w:p>
        </w:tc>
        <w:tc>
          <w:tcPr>
            <w:tcW w:w="1170" w:type="dxa"/>
            <w:noWrap/>
          </w:tcPr>
          <w:p w14:paraId="76AA02BE">
            <w:pPr>
              <w:spacing w:line="560" w:lineRule="exact"/>
              <w:jc w:val="center"/>
            </w:pPr>
          </w:p>
        </w:tc>
        <w:tc>
          <w:tcPr>
            <w:tcW w:w="1095" w:type="dxa"/>
            <w:noWrap/>
          </w:tcPr>
          <w:p w14:paraId="6D9B7DE1">
            <w:pPr>
              <w:spacing w:line="560" w:lineRule="exact"/>
              <w:jc w:val="center"/>
            </w:pPr>
          </w:p>
        </w:tc>
        <w:tc>
          <w:tcPr>
            <w:tcW w:w="1035" w:type="dxa"/>
            <w:noWrap/>
          </w:tcPr>
          <w:p w14:paraId="0E8AA7E3">
            <w:pPr>
              <w:spacing w:line="560" w:lineRule="exact"/>
              <w:jc w:val="center"/>
            </w:pPr>
          </w:p>
        </w:tc>
        <w:tc>
          <w:tcPr>
            <w:tcW w:w="1140" w:type="dxa"/>
            <w:noWrap/>
          </w:tcPr>
          <w:p w14:paraId="35EA6669">
            <w:pPr>
              <w:spacing w:line="560" w:lineRule="exact"/>
              <w:jc w:val="center"/>
            </w:pPr>
          </w:p>
        </w:tc>
        <w:tc>
          <w:tcPr>
            <w:tcW w:w="1006" w:type="dxa"/>
            <w:noWrap/>
          </w:tcPr>
          <w:p w14:paraId="109D419A">
            <w:pPr>
              <w:spacing w:line="560" w:lineRule="exact"/>
              <w:jc w:val="center"/>
            </w:pPr>
          </w:p>
        </w:tc>
      </w:tr>
      <w:tr w14:paraId="2F01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Merge w:val="continue"/>
            <w:noWrap/>
            <w:vAlign w:val="center"/>
          </w:tcPr>
          <w:p w14:paraId="40FD2D63">
            <w:pPr>
              <w:spacing w:line="560" w:lineRule="exact"/>
              <w:jc w:val="center"/>
            </w:pPr>
          </w:p>
        </w:tc>
        <w:tc>
          <w:tcPr>
            <w:tcW w:w="1095" w:type="dxa"/>
            <w:noWrap/>
          </w:tcPr>
          <w:p w14:paraId="4FB2BA62">
            <w:pPr>
              <w:spacing w:line="560" w:lineRule="exact"/>
              <w:jc w:val="center"/>
            </w:pPr>
          </w:p>
        </w:tc>
        <w:tc>
          <w:tcPr>
            <w:tcW w:w="1170" w:type="dxa"/>
            <w:noWrap/>
          </w:tcPr>
          <w:p w14:paraId="63CD998E">
            <w:pPr>
              <w:spacing w:line="560" w:lineRule="exact"/>
              <w:jc w:val="center"/>
            </w:pPr>
          </w:p>
        </w:tc>
        <w:tc>
          <w:tcPr>
            <w:tcW w:w="1095" w:type="dxa"/>
            <w:noWrap/>
          </w:tcPr>
          <w:p w14:paraId="3AC4EA22">
            <w:pPr>
              <w:spacing w:line="560" w:lineRule="exact"/>
              <w:jc w:val="center"/>
            </w:pPr>
          </w:p>
        </w:tc>
        <w:tc>
          <w:tcPr>
            <w:tcW w:w="1035" w:type="dxa"/>
            <w:noWrap/>
          </w:tcPr>
          <w:p w14:paraId="2F5B4663">
            <w:pPr>
              <w:spacing w:line="560" w:lineRule="exact"/>
              <w:jc w:val="center"/>
            </w:pPr>
          </w:p>
        </w:tc>
        <w:tc>
          <w:tcPr>
            <w:tcW w:w="1140" w:type="dxa"/>
            <w:noWrap/>
          </w:tcPr>
          <w:p w14:paraId="47B42AAE">
            <w:pPr>
              <w:spacing w:line="560" w:lineRule="exact"/>
              <w:jc w:val="center"/>
            </w:pPr>
          </w:p>
        </w:tc>
        <w:tc>
          <w:tcPr>
            <w:tcW w:w="1006" w:type="dxa"/>
            <w:noWrap/>
          </w:tcPr>
          <w:p w14:paraId="5D184CEC">
            <w:pPr>
              <w:spacing w:line="560" w:lineRule="exact"/>
              <w:jc w:val="center"/>
            </w:pPr>
          </w:p>
        </w:tc>
      </w:tr>
      <w:tr w14:paraId="3236C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Merge w:val="continue"/>
            <w:noWrap/>
            <w:vAlign w:val="center"/>
          </w:tcPr>
          <w:p w14:paraId="570C8E4C">
            <w:pPr>
              <w:spacing w:line="560" w:lineRule="exact"/>
              <w:jc w:val="center"/>
            </w:pPr>
          </w:p>
        </w:tc>
        <w:tc>
          <w:tcPr>
            <w:tcW w:w="1095" w:type="dxa"/>
            <w:noWrap/>
          </w:tcPr>
          <w:p w14:paraId="5F7D30EE">
            <w:pPr>
              <w:spacing w:line="560" w:lineRule="exact"/>
              <w:jc w:val="center"/>
            </w:pPr>
          </w:p>
        </w:tc>
        <w:tc>
          <w:tcPr>
            <w:tcW w:w="1170" w:type="dxa"/>
            <w:noWrap/>
          </w:tcPr>
          <w:p w14:paraId="7FA862C3">
            <w:pPr>
              <w:spacing w:line="560" w:lineRule="exact"/>
              <w:jc w:val="center"/>
            </w:pPr>
          </w:p>
        </w:tc>
        <w:tc>
          <w:tcPr>
            <w:tcW w:w="1095" w:type="dxa"/>
            <w:noWrap/>
          </w:tcPr>
          <w:p w14:paraId="24247206">
            <w:pPr>
              <w:spacing w:line="560" w:lineRule="exact"/>
              <w:jc w:val="center"/>
            </w:pPr>
          </w:p>
        </w:tc>
        <w:tc>
          <w:tcPr>
            <w:tcW w:w="1035" w:type="dxa"/>
            <w:noWrap/>
          </w:tcPr>
          <w:p w14:paraId="617734F3">
            <w:pPr>
              <w:spacing w:line="560" w:lineRule="exact"/>
              <w:jc w:val="center"/>
            </w:pPr>
          </w:p>
        </w:tc>
        <w:tc>
          <w:tcPr>
            <w:tcW w:w="1140" w:type="dxa"/>
            <w:noWrap/>
          </w:tcPr>
          <w:p w14:paraId="3727EC34">
            <w:pPr>
              <w:spacing w:line="560" w:lineRule="exact"/>
              <w:jc w:val="center"/>
            </w:pPr>
          </w:p>
        </w:tc>
        <w:tc>
          <w:tcPr>
            <w:tcW w:w="1006" w:type="dxa"/>
            <w:noWrap/>
          </w:tcPr>
          <w:p w14:paraId="272EA1E9">
            <w:pPr>
              <w:spacing w:line="560" w:lineRule="exact"/>
              <w:jc w:val="center"/>
            </w:pPr>
          </w:p>
        </w:tc>
      </w:tr>
      <w:tr w14:paraId="5FCB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vMerge w:val="continue"/>
            <w:noWrap/>
            <w:vAlign w:val="center"/>
          </w:tcPr>
          <w:p w14:paraId="45566405">
            <w:pPr>
              <w:spacing w:line="560" w:lineRule="exact"/>
              <w:jc w:val="center"/>
            </w:pPr>
          </w:p>
        </w:tc>
        <w:tc>
          <w:tcPr>
            <w:tcW w:w="1095" w:type="dxa"/>
            <w:noWrap/>
          </w:tcPr>
          <w:p w14:paraId="5BDC9BC3">
            <w:pPr>
              <w:spacing w:line="560" w:lineRule="exact"/>
              <w:jc w:val="center"/>
            </w:pPr>
          </w:p>
        </w:tc>
        <w:tc>
          <w:tcPr>
            <w:tcW w:w="1170" w:type="dxa"/>
            <w:noWrap/>
          </w:tcPr>
          <w:p w14:paraId="08AD8923">
            <w:pPr>
              <w:spacing w:line="560" w:lineRule="exact"/>
              <w:jc w:val="center"/>
            </w:pPr>
          </w:p>
        </w:tc>
        <w:tc>
          <w:tcPr>
            <w:tcW w:w="1095" w:type="dxa"/>
            <w:noWrap/>
          </w:tcPr>
          <w:p w14:paraId="284CADC5">
            <w:pPr>
              <w:spacing w:line="560" w:lineRule="exact"/>
              <w:jc w:val="center"/>
            </w:pPr>
          </w:p>
        </w:tc>
        <w:tc>
          <w:tcPr>
            <w:tcW w:w="1035" w:type="dxa"/>
            <w:noWrap/>
          </w:tcPr>
          <w:p w14:paraId="646C3A18">
            <w:pPr>
              <w:spacing w:line="560" w:lineRule="exact"/>
              <w:jc w:val="center"/>
            </w:pPr>
          </w:p>
        </w:tc>
        <w:tc>
          <w:tcPr>
            <w:tcW w:w="1140" w:type="dxa"/>
            <w:noWrap/>
          </w:tcPr>
          <w:p w14:paraId="203965DA">
            <w:pPr>
              <w:spacing w:line="560" w:lineRule="exact"/>
              <w:jc w:val="center"/>
            </w:pPr>
          </w:p>
        </w:tc>
        <w:tc>
          <w:tcPr>
            <w:tcW w:w="1006" w:type="dxa"/>
            <w:noWrap/>
          </w:tcPr>
          <w:p w14:paraId="7C44FD6B">
            <w:pPr>
              <w:spacing w:line="560" w:lineRule="exact"/>
              <w:jc w:val="center"/>
            </w:pPr>
          </w:p>
        </w:tc>
      </w:tr>
      <w:tr w14:paraId="4F75A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noWrap/>
            <w:vAlign w:val="center"/>
          </w:tcPr>
          <w:p w14:paraId="30AC7174">
            <w:pPr>
              <w:spacing w:line="560" w:lineRule="exact"/>
              <w:jc w:val="center"/>
              <w:rPr>
                <w:rFonts w:eastAsia="宋体"/>
              </w:rPr>
            </w:pPr>
            <w:r>
              <w:rPr>
                <w:rFonts w:hint="eastAsia"/>
              </w:rPr>
              <w:t>在白活动时间</w:t>
            </w:r>
          </w:p>
        </w:tc>
        <w:tc>
          <w:tcPr>
            <w:tcW w:w="6541" w:type="dxa"/>
            <w:gridSpan w:val="6"/>
            <w:noWrap/>
          </w:tcPr>
          <w:p w14:paraId="7E938F9A">
            <w:pPr>
              <w:spacing w:line="560" w:lineRule="exact"/>
              <w:jc w:val="center"/>
              <w:rPr>
                <w:rFonts w:eastAsia="宋体"/>
              </w:rPr>
            </w:pPr>
            <w:r>
              <w:rPr>
                <w:rFonts w:hint="eastAsia"/>
              </w:rPr>
              <w:t xml:space="preserve">         年    月    日至    年    月    日        （共   天）</w:t>
            </w:r>
          </w:p>
        </w:tc>
      </w:tr>
      <w:tr w14:paraId="60401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noWrap/>
            <w:vAlign w:val="center"/>
          </w:tcPr>
          <w:p w14:paraId="397E2B00">
            <w:pPr>
              <w:spacing w:line="560" w:lineRule="exact"/>
              <w:jc w:val="center"/>
              <w:rPr>
                <w:rFonts w:eastAsia="宋体"/>
              </w:rPr>
            </w:pPr>
            <w:r>
              <w:rPr>
                <w:rFonts w:hint="eastAsia"/>
              </w:rPr>
              <w:t>局陪同人员</w:t>
            </w:r>
          </w:p>
        </w:tc>
        <w:tc>
          <w:tcPr>
            <w:tcW w:w="6541" w:type="dxa"/>
            <w:gridSpan w:val="6"/>
            <w:noWrap/>
          </w:tcPr>
          <w:p w14:paraId="53304043">
            <w:pPr>
              <w:spacing w:line="560" w:lineRule="exact"/>
              <w:jc w:val="center"/>
            </w:pPr>
          </w:p>
        </w:tc>
      </w:tr>
      <w:tr w14:paraId="0CEE8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noWrap/>
            <w:vAlign w:val="center"/>
          </w:tcPr>
          <w:p w14:paraId="09D43850">
            <w:pPr>
              <w:spacing w:line="560" w:lineRule="exact"/>
              <w:jc w:val="center"/>
              <w:rPr>
                <w:rFonts w:eastAsia="宋体"/>
              </w:rPr>
            </w:pPr>
            <w:r>
              <w:rPr>
                <w:rFonts w:hint="eastAsia"/>
              </w:rPr>
              <w:t>接待对象就餐情况</w:t>
            </w:r>
          </w:p>
        </w:tc>
        <w:tc>
          <w:tcPr>
            <w:tcW w:w="1095" w:type="dxa"/>
            <w:noWrap/>
          </w:tcPr>
          <w:p w14:paraId="34842145">
            <w:pPr>
              <w:spacing w:line="560" w:lineRule="exact"/>
              <w:jc w:val="center"/>
              <w:rPr>
                <w:rFonts w:eastAsia="宋体"/>
              </w:rPr>
            </w:pPr>
            <w:r>
              <w:rPr>
                <w:rFonts w:hint="eastAsia"/>
              </w:rPr>
              <w:t>就餐人数</w:t>
            </w:r>
          </w:p>
        </w:tc>
        <w:tc>
          <w:tcPr>
            <w:tcW w:w="1170" w:type="dxa"/>
            <w:noWrap/>
          </w:tcPr>
          <w:p w14:paraId="67180FB9">
            <w:pPr>
              <w:spacing w:line="560" w:lineRule="exact"/>
              <w:jc w:val="center"/>
            </w:pPr>
          </w:p>
        </w:tc>
        <w:tc>
          <w:tcPr>
            <w:tcW w:w="1095" w:type="dxa"/>
            <w:noWrap/>
          </w:tcPr>
          <w:p w14:paraId="3A506868">
            <w:pPr>
              <w:spacing w:line="560" w:lineRule="exact"/>
              <w:jc w:val="center"/>
              <w:rPr>
                <w:rFonts w:eastAsia="宋体"/>
              </w:rPr>
            </w:pPr>
            <w:r>
              <w:rPr>
                <w:rFonts w:hint="eastAsia"/>
              </w:rPr>
              <w:t>就餐桌数</w:t>
            </w:r>
          </w:p>
        </w:tc>
        <w:tc>
          <w:tcPr>
            <w:tcW w:w="1035" w:type="dxa"/>
            <w:noWrap/>
          </w:tcPr>
          <w:p w14:paraId="3F54B13F">
            <w:pPr>
              <w:spacing w:line="560" w:lineRule="exact"/>
              <w:jc w:val="center"/>
            </w:pPr>
          </w:p>
        </w:tc>
        <w:tc>
          <w:tcPr>
            <w:tcW w:w="1140" w:type="dxa"/>
            <w:noWrap/>
          </w:tcPr>
          <w:p w14:paraId="3A180F52">
            <w:pPr>
              <w:spacing w:line="560" w:lineRule="exact"/>
              <w:jc w:val="center"/>
              <w:rPr>
                <w:rFonts w:eastAsia="宋体"/>
              </w:rPr>
            </w:pPr>
            <w:r>
              <w:rPr>
                <w:rFonts w:hint="eastAsia"/>
              </w:rPr>
              <w:t>就餐地点</w:t>
            </w:r>
          </w:p>
        </w:tc>
        <w:tc>
          <w:tcPr>
            <w:tcW w:w="1006" w:type="dxa"/>
            <w:noWrap/>
          </w:tcPr>
          <w:p w14:paraId="5CA485B0">
            <w:pPr>
              <w:spacing w:line="560" w:lineRule="exact"/>
              <w:jc w:val="center"/>
            </w:pPr>
          </w:p>
        </w:tc>
      </w:tr>
      <w:tr w14:paraId="6F7E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noWrap/>
            <w:vAlign w:val="center"/>
          </w:tcPr>
          <w:p w14:paraId="1CC0AF0B">
            <w:pPr>
              <w:spacing w:line="560" w:lineRule="exact"/>
              <w:jc w:val="center"/>
              <w:rPr>
                <w:rFonts w:eastAsia="宋体"/>
              </w:rPr>
            </w:pPr>
            <w:r>
              <w:rPr>
                <w:rFonts w:hint="eastAsia"/>
              </w:rPr>
              <w:t>接待费用总金额</w:t>
            </w:r>
          </w:p>
        </w:tc>
        <w:tc>
          <w:tcPr>
            <w:tcW w:w="6541" w:type="dxa"/>
            <w:gridSpan w:val="6"/>
            <w:noWrap/>
          </w:tcPr>
          <w:p w14:paraId="30173928">
            <w:pPr>
              <w:spacing w:line="560" w:lineRule="exact"/>
              <w:jc w:val="center"/>
              <w:rPr>
                <w:rFonts w:eastAsia="宋体"/>
              </w:rPr>
            </w:pPr>
            <w:r>
              <w:rPr>
                <w:rFonts w:hint="eastAsia"/>
              </w:rPr>
              <w:t xml:space="preserve">大写：                                    </w:t>
            </w:r>
            <w:r>
              <w:rPr>
                <w:rFonts w:ascii="Arial" w:hAnsi="Arial" w:cs="Arial"/>
              </w:rPr>
              <w:t>¥</w:t>
            </w:r>
            <w:r>
              <w:rPr>
                <w:rFonts w:hint="eastAsia" w:ascii="Arial" w:hAnsi="Arial" w:cs="Arial"/>
              </w:rPr>
              <w:t>：</w:t>
            </w:r>
          </w:p>
        </w:tc>
      </w:tr>
      <w:tr w14:paraId="6FEA5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1" w:type="dxa"/>
            <w:noWrap/>
            <w:vAlign w:val="center"/>
          </w:tcPr>
          <w:p w14:paraId="375F3938">
            <w:pPr>
              <w:spacing w:line="560" w:lineRule="exact"/>
              <w:jc w:val="center"/>
              <w:rPr>
                <w:rFonts w:eastAsia="宋体"/>
              </w:rPr>
            </w:pPr>
            <w:r>
              <w:rPr>
                <w:rFonts w:hint="eastAsia"/>
              </w:rPr>
              <w:t>备注</w:t>
            </w:r>
          </w:p>
        </w:tc>
        <w:tc>
          <w:tcPr>
            <w:tcW w:w="6541" w:type="dxa"/>
            <w:gridSpan w:val="6"/>
            <w:noWrap/>
          </w:tcPr>
          <w:p w14:paraId="368F4FBC">
            <w:pPr>
              <w:spacing w:line="560" w:lineRule="exact"/>
              <w:jc w:val="center"/>
            </w:pPr>
          </w:p>
        </w:tc>
      </w:tr>
    </w:tbl>
    <w:p w14:paraId="4B15FE2E">
      <w:pPr>
        <w:spacing w:line="560" w:lineRule="exact"/>
      </w:pPr>
    </w:p>
    <w:p w14:paraId="07F4CF95">
      <w:pPr>
        <w:spacing w:line="560" w:lineRule="exact"/>
      </w:pPr>
      <w:r>
        <w:rPr>
          <w:rFonts w:hint="eastAsia"/>
        </w:rPr>
        <w:t>局长：    分管财务领导：    分管科室领导：    办公室主任：    业务科室负责人：</w:t>
      </w:r>
    </w:p>
    <w:p w14:paraId="3D4EA3F9">
      <w:r>
        <w:rPr>
          <w:rFonts w:hint="eastAsia"/>
        </w:rPr>
        <w:br w:type="page"/>
      </w:r>
    </w:p>
    <w:p w14:paraId="31CC4293">
      <w:pPr>
        <w:spacing w:line="560" w:lineRule="exact"/>
        <w:jc w:val="center"/>
        <w:rPr>
          <w:rFonts w:ascii="方正小标宋简体" w:eastAsia="方正小标宋简体"/>
          <w:sz w:val="44"/>
          <w:szCs w:val="44"/>
        </w:rPr>
      </w:pPr>
      <w:r>
        <w:rPr>
          <w:rFonts w:hint="eastAsia" w:ascii="仿宋_GB2312" w:eastAsia="仿宋_GB2312"/>
          <w:b/>
          <w:sz w:val="32"/>
          <w:szCs w:val="32"/>
        </w:rPr>
        <w:t>白城市司法局机关差旅费管理办法</w:t>
      </w:r>
    </w:p>
    <w:p w14:paraId="51AFEEDA">
      <w:pPr>
        <w:spacing w:line="560" w:lineRule="exact"/>
        <w:ind w:firstLine="643" w:firstLineChars="200"/>
        <w:rPr>
          <w:rFonts w:ascii="仿宋_GB2312" w:eastAsia="仿宋_GB2312"/>
          <w:sz w:val="32"/>
          <w:szCs w:val="32"/>
        </w:rPr>
      </w:pPr>
      <w:r>
        <w:rPr>
          <w:rFonts w:hint="eastAsia" w:ascii="楷体_GB2312" w:eastAsia="楷体_GB2312"/>
          <w:b/>
          <w:sz w:val="32"/>
          <w:szCs w:val="32"/>
        </w:rPr>
        <w:t xml:space="preserve">第一条 </w:t>
      </w:r>
      <w:r>
        <w:rPr>
          <w:rFonts w:hint="eastAsia" w:ascii="仿宋_GB2312" w:eastAsia="仿宋_GB2312"/>
          <w:sz w:val="32"/>
          <w:szCs w:val="32"/>
        </w:rPr>
        <w:t>为加强和规范市局机关国内差旅费管理，推进厉行节约反对浪费，根据《党政机关厉行节约反对浪费条例》和白城市《关于调整市直机关、事业单位差旅费标准的通知》要求，制定本办法。</w:t>
      </w:r>
    </w:p>
    <w:p w14:paraId="3FF0E8DE">
      <w:pPr>
        <w:spacing w:line="560" w:lineRule="exact"/>
        <w:ind w:firstLine="643" w:firstLineChars="200"/>
        <w:rPr>
          <w:rFonts w:ascii="仿宋_GB2312" w:eastAsia="仿宋_GB2312"/>
          <w:sz w:val="32"/>
          <w:szCs w:val="32"/>
        </w:rPr>
      </w:pPr>
      <w:r>
        <w:rPr>
          <w:rFonts w:hint="eastAsia" w:ascii="楷体_GB2312" w:eastAsia="楷体_GB2312"/>
          <w:b/>
          <w:sz w:val="32"/>
          <w:szCs w:val="32"/>
        </w:rPr>
        <w:t xml:space="preserve">第二条 </w:t>
      </w:r>
      <w:r>
        <w:rPr>
          <w:rFonts w:hint="eastAsia" w:ascii="仿宋_GB2312" w:eastAsia="仿宋_GB2312"/>
          <w:sz w:val="32"/>
          <w:szCs w:val="32"/>
        </w:rPr>
        <w:t>本办法适用于市局机关以及市局直属事业单位。市戒毒所参照执行。</w:t>
      </w:r>
    </w:p>
    <w:p w14:paraId="36EA76FC">
      <w:pPr>
        <w:spacing w:line="560" w:lineRule="exact"/>
        <w:ind w:firstLine="643" w:firstLineChars="200"/>
        <w:rPr>
          <w:rFonts w:ascii="仿宋_GB2312" w:eastAsia="仿宋_GB2312"/>
          <w:sz w:val="32"/>
          <w:szCs w:val="32"/>
        </w:rPr>
      </w:pPr>
      <w:r>
        <w:rPr>
          <w:rFonts w:hint="eastAsia" w:ascii="仿宋_GB2312" w:eastAsia="仿宋_GB2312"/>
          <w:b/>
          <w:sz w:val="32"/>
          <w:szCs w:val="32"/>
        </w:rPr>
        <w:t>第三条</w:t>
      </w:r>
      <w:r>
        <w:rPr>
          <w:rFonts w:hint="eastAsia" w:ascii="仿宋_GB2312" w:eastAsia="仿宋_GB2312"/>
          <w:sz w:val="32"/>
          <w:szCs w:val="32"/>
        </w:rPr>
        <w:t xml:space="preserve"> 从严控制出差人数和天数；严格差旅费预算管理，控制差旅费规模；严禁无实质内容、无明确公务目的的差旅活动，严禁以任何名义和方式变相旅游，严禁异地部门间无实质内容的学习交流和考察调研。</w:t>
      </w:r>
    </w:p>
    <w:p w14:paraId="154282B9">
      <w:pPr>
        <w:spacing w:line="560" w:lineRule="exact"/>
        <w:ind w:firstLine="643" w:firstLineChars="200"/>
        <w:rPr>
          <w:rFonts w:ascii="仿宋_GB2312" w:eastAsia="仿宋_GB2312"/>
          <w:sz w:val="32"/>
          <w:szCs w:val="32"/>
        </w:rPr>
      </w:pPr>
      <w:r>
        <w:rPr>
          <w:rFonts w:hint="eastAsia" w:ascii="楷体_GB2312" w:eastAsia="楷体_GB2312"/>
          <w:b/>
          <w:sz w:val="32"/>
          <w:szCs w:val="32"/>
        </w:rPr>
        <w:t>第四条</w:t>
      </w:r>
      <w:r>
        <w:rPr>
          <w:rFonts w:hint="eastAsia" w:ascii="仿宋_GB2312" w:eastAsia="仿宋_GB2312"/>
          <w:sz w:val="32"/>
          <w:szCs w:val="32"/>
        </w:rPr>
        <w:t xml:space="preserve"> 差旅费是指工作人员临时到常驻地以外地区公务出差所发生的城市间交通费、住宿费、伙食补助费和市内交通费。</w:t>
      </w:r>
    </w:p>
    <w:p w14:paraId="29FCBBC7">
      <w:pPr>
        <w:spacing w:line="560" w:lineRule="exact"/>
        <w:ind w:firstLine="643" w:firstLineChars="200"/>
        <w:rPr>
          <w:rFonts w:ascii="仿宋_GB2312" w:eastAsia="仿宋_GB2312"/>
          <w:sz w:val="32"/>
          <w:szCs w:val="32"/>
        </w:rPr>
      </w:pPr>
      <w:r>
        <w:rPr>
          <w:rFonts w:hint="eastAsia" w:ascii="仿宋_GB2312" w:eastAsia="仿宋_GB2312"/>
          <w:b/>
          <w:sz w:val="32"/>
          <w:szCs w:val="32"/>
        </w:rPr>
        <w:t>城市间交通费：</w:t>
      </w:r>
      <w:r>
        <w:rPr>
          <w:rFonts w:hint="eastAsia" w:ascii="仿宋_GB2312" w:eastAsia="仿宋_GB2312"/>
          <w:sz w:val="32"/>
          <w:szCs w:val="32"/>
        </w:rPr>
        <w:t>指工作人员因公临时到常驻地以外地区出差乘坐火车、轮船、飞机等交通工具所发生的费用。</w:t>
      </w:r>
    </w:p>
    <w:p w14:paraId="0B02FDE1">
      <w:pPr>
        <w:spacing w:line="560" w:lineRule="exact"/>
        <w:ind w:firstLine="643" w:firstLineChars="200"/>
        <w:rPr>
          <w:rFonts w:ascii="仿宋_GB2312" w:eastAsia="仿宋_GB2312"/>
          <w:sz w:val="32"/>
          <w:szCs w:val="32"/>
        </w:rPr>
      </w:pPr>
      <w:r>
        <w:rPr>
          <w:rFonts w:hint="eastAsia" w:ascii="仿宋_GB2312" w:eastAsia="仿宋_GB2312"/>
          <w:b/>
          <w:sz w:val="32"/>
          <w:szCs w:val="32"/>
        </w:rPr>
        <w:t>住宿费：</w:t>
      </w:r>
      <w:r>
        <w:rPr>
          <w:rFonts w:hint="eastAsia" w:ascii="仿宋_GB2312" w:eastAsia="仿宋_GB2312"/>
          <w:sz w:val="32"/>
          <w:szCs w:val="32"/>
        </w:rPr>
        <w:t>指工作人员因公临时出差期间入住宾馆发生的房租费用。</w:t>
      </w:r>
    </w:p>
    <w:p w14:paraId="5CD2CA4C">
      <w:pPr>
        <w:spacing w:line="560" w:lineRule="exact"/>
        <w:ind w:firstLine="643" w:firstLineChars="200"/>
        <w:rPr>
          <w:rFonts w:ascii="仿宋_GB2312" w:eastAsia="仿宋_GB2312"/>
          <w:sz w:val="32"/>
          <w:szCs w:val="32"/>
        </w:rPr>
      </w:pPr>
      <w:r>
        <w:rPr>
          <w:rFonts w:hint="eastAsia" w:ascii="仿宋_GB2312" w:eastAsia="仿宋_GB2312"/>
          <w:b/>
          <w:sz w:val="32"/>
          <w:szCs w:val="32"/>
        </w:rPr>
        <w:t>伙食补助费：</w:t>
      </w:r>
      <w:r>
        <w:rPr>
          <w:rFonts w:hint="eastAsia" w:ascii="仿宋_GB2312" w:eastAsia="仿宋_GB2312"/>
          <w:sz w:val="32"/>
          <w:szCs w:val="32"/>
        </w:rPr>
        <w:t>指对工作人员在因公出差期间给予的伙食补助费用（实行包干制）。</w:t>
      </w:r>
    </w:p>
    <w:p w14:paraId="4398E199">
      <w:pPr>
        <w:spacing w:line="560" w:lineRule="exact"/>
        <w:ind w:firstLine="643" w:firstLineChars="200"/>
        <w:rPr>
          <w:rFonts w:ascii="仿宋_GB2312" w:eastAsia="仿宋_GB2312"/>
          <w:sz w:val="32"/>
          <w:szCs w:val="32"/>
        </w:rPr>
      </w:pPr>
      <w:r>
        <w:rPr>
          <w:rFonts w:hint="eastAsia" w:ascii="仿宋_GB2312" w:eastAsia="仿宋_GB2312"/>
          <w:b/>
          <w:sz w:val="32"/>
          <w:szCs w:val="32"/>
        </w:rPr>
        <w:t>市内交通费：</w:t>
      </w:r>
      <w:r>
        <w:rPr>
          <w:rFonts w:hint="eastAsia" w:ascii="仿宋_GB2312" w:eastAsia="仿宋_GB2312"/>
          <w:sz w:val="32"/>
          <w:szCs w:val="32"/>
        </w:rPr>
        <w:t>指工作人员因公临时出差期间发生的市内交通费用（实行包干制）。</w:t>
      </w:r>
    </w:p>
    <w:p w14:paraId="6A195B4A">
      <w:pPr>
        <w:spacing w:line="560" w:lineRule="exact"/>
        <w:ind w:firstLine="643" w:firstLineChars="200"/>
        <w:rPr>
          <w:rFonts w:ascii="仿宋_GB2312" w:eastAsia="仿宋_GB2312"/>
          <w:sz w:val="32"/>
          <w:szCs w:val="32"/>
        </w:rPr>
      </w:pPr>
      <w:r>
        <w:rPr>
          <w:rFonts w:hint="eastAsia" w:ascii="楷体_GB2312" w:eastAsia="楷体_GB2312"/>
          <w:b/>
          <w:sz w:val="32"/>
          <w:szCs w:val="32"/>
        </w:rPr>
        <w:t>第五条</w:t>
      </w:r>
      <w:r>
        <w:rPr>
          <w:rFonts w:hint="eastAsia" w:ascii="仿宋_GB2312" w:eastAsia="仿宋_GB2312"/>
          <w:sz w:val="32"/>
          <w:szCs w:val="32"/>
        </w:rPr>
        <w:t xml:space="preserve"> 差旅费标准。</w:t>
      </w:r>
    </w:p>
    <w:p w14:paraId="64ECE216">
      <w:pPr>
        <w:spacing w:line="560" w:lineRule="exact"/>
        <w:ind w:firstLine="482" w:firstLineChars="150"/>
        <w:rPr>
          <w:rFonts w:ascii="仿宋_GB2312" w:eastAsia="仿宋_GB2312"/>
          <w:sz w:val="32"/>
          <w:szCs w:val="32"/>
        </w:rPr>
      </w:pPr>
      <w:r>
        <w:rPr>
          <w:rFonts w:hint="eastAsia" w:ascii="仿宋_GB2312" w:eastAsia="仿宋_GB2312"/>
          <w:b/>
          <w:sz w:val="32"/>
          <w:szCs w:val="32"/>
        </w:rPr>
        <w:t>（一）乘坐交通工具标准。</w:t>
      </w:r>
      <w:r>
        <w:rPr>
          <w:rFonts w:hint="eastAsia" w:ascii="仿宋_GB2312" w:eastAsia="仿宋_GB2312"/>
          <w:sz w:val="32"/>
          <w:szCs w:val="32"/>
        </w:rPr>
        <w:t>未按规定等级乘坐交通工具的，超支部分由个人自理。</w:t>
      </w:r>
    </w:p>
    <w:p w14:paraId="71721F95">
      <w:pPr>
        <w:spacing w:line="560" w:lineRule="exact"/>
        <w:ind w:firstLine="640" w:firstLineChars="200"/>
        <w:rPr>
          <w:rFonts w:ascii="仿宋_GB2312" w:eastAsia="仿宋_GB2312"/>
          <w:sz w:val="32"/>
          <w:szCs w:val="32"/>
        </w:rPr>
      </w:pPr>
      <w:r>
        <w:rPr>
          <w:rFonts w:hint="eastAsia" w:ascii="仿宋_GB2312" w:eastAsia="仿宋_GB2312"/>
          <w:sz w:val="32"/>
          <w:szCs w:val="32"/>
        </w:rPr>
        <w:t>1、火车（含高铁、动车、全列软席列车）：硬席（硬座、硬卧），高铁/动车二等座，全列软席列车二等软座；</w:t>
      </w:r>
    </w:p>
    <w:p w14:paraId="1ACC2679">
      <w:pPr>
        <w:spacing w:line="560" w:lineRule="exact"/>
        <w:ind w:firstLine="640" w:firstLineChars="200"/>
        <w:rPr>
          <w:rFonts w:ascii="仿宋_GB2312" w:eastAsia="仿宋_GB2312"/>
          <w:sz w:val="32"/>
          <w:szCs w:val="32"/>
        </w:rPr>
      </w:pPr>
      <w:r>
        <w:rPr>
          <w:rFonts w:hint="eastAsia" w:ascii="仿宋_GB2312" w:eastAsia="仿宋_GB2312"/>
          <w:sz w:val="32"/>
          <w:szCs w:val="32"/>
        </w:rPr>
        <w:t>2、轮船（不包括旅游船）：三等舱；</w:t>
      </w:r>
    </w:p>
    <w:p w14:paraId="6ABCC94B">
      <w:pPr>
        <w:spacing w:line="560" w:lineRule="exact"/>
        <w:ind w:firstLine="640" w:firstLineChars="200"/>
        <w:rPr>
          <w:rFonts w:ascii="仿宋_GB2312" w:eastAsia="仿宋_GB2312"/>
          <w:sz w:val="32"/>
          <w:szCs w:val="32"/>
        </w:rPr>
      </w:pPr>
      <w:r>
        <w:rPr>
          <w:rFonts w:hint="eastAsia" w:ascii="仿宋_GB2312" w:eastAsia="仿宋_GB2312"/>
          <w:sz w:val="32"/>
          <w:szCs w:val="32"/>
        </w:rPr>
        <w:t>3、飞机：经济舱（出差路途较远或任务紧急需乘坐飞机的，必须事前经单位主要负责人批准后方可乘坐）；</w:t>
      </w:r>
    </w:p>
    <w:p w14:paraId="1A4A8036">
      <w:pPr>
        <w:spacing w:line="560" w:lineRule="exact"/>
        <w:ind w:firstLine="640" w:firstLineChars="200"/>
        <w:rPr>
          <w:rFonts w:ascii="仿宋_GB2312" w:eastAsia="仿宋_GB2312"/>
          <w:sz w:val="32"/>
          <w:szCs w:val="32"/>
        </w:rPr>
      </w:pPr>
      <w:r>
        <w:rPr>
          <w:rFonts w:hint="eastAsia" w:ascii="仿宋_GB2312" w:eastAsia="仿宋_GB2312"/>
          <w:sz w:val="32"/>
          <w:szCs w:val="32"/>
        </w:rPr>
        <w:t>4、其他交通工具（不含出租小汽车）：凭据报销。</w:t>
      </w:r>
    </w:p>
    <w:p w14:paraId="25B51E58">
      <w:pPr>
        <w:spacing w:line="560" w:lineRule="exact"/>
        <w:ind w:firstLine="482" w:firstLineChars="150"/>
        <w:rPr>
          <w:rFonts w:ascii="仿宋_GB2312" w:eastAsia="仿宋_GB2312"/>
          <w:b/>
          <w:sz w:val="32"/>
          <w:szCs w:val="32"/>
        </w:rPr>
      </w:pPr>
      <w:r>
        <w:rPr>
          <w:rFonts w:hint="eastAsia" w:ascii="仿宋_GB2312" w:eastAsia="仿宋_GB2312"/>
          <w:b/>
          <w:sz w:val="32"/>
          <w:szCs w:val="32"/>
        </w:rPr>
        <w:t>（二）住宿费限额标准和发生无住宿发票情况。</w:t>
      </w:r>
    </w:p>
    <w:p w14:paraId="0A38A26D">
      <w:pPr>
        <w:spacing w:line="560" w:lineRule="exact"/>
        <w:ind w:firstLine="640" w:firstLineChars="200"/>
        <w:rPr>
          <w:rFonts w:ascii="仿宋_GB2312" w:eastAsia="仿宋_GB2312"/>
          <w:sz w:val="32"/>
          <w:szCs w:val="32"/>
        </w:rPr>
      </w:pPr>
      <w:r>
        <w:rPr>
          <w:rFonts w:hint="eastAsia" w:ascii="仿宋_GB2312" w:eastAsia="仿宋_GB2312"/>
          <w:sz w:val="32"/>
          <w:szCs w:val="32"/>
        </w:rPr>
        <w:t>1、出差人员应当在职务级别对应的住宿费标准限额内住宿（见表1和表2），</w:t>
      </w:r>
      <w:r>
        <w:rPr>
          <w:rFonts w:hint="eastAsia" w:ascii="仿宋_GB2312" w:hAnsi="宋体" w:eastAsia="仿宋_GB2312" w:cs="宋体"/>
          <w:color w:val="000000"/>
          <w:kern w:val="0"/>
          <w:sz w:val="32"/>
          <w:szCs w:val="32"/>
        </w:rPr>
        <w:t>住宿用房为标准间。</w:t>
      </w:r>
      <w:r>
        <w:rPr>
          <w:rFonts w:hint="eastAsia" w:ascii="仿宋_GB2312" w:eastAsia="仿宋_GB2312"/>
          <w:sz w:val="32"/>
          <w:szCs w:val="32"/>
        </w:rPr>
        <w:t>出差人员住宿费标准按照省财政厅发布的标准执行,在标准限额内拒实报销,严禁虚列住宿天数,虚增实际住宿标准。</w:t>
      </w:r>
    </w:p>
    <w:p w14:paraId="656E022D">
      <w:pPr>
        <w:tabs>
          <w:tab w:val="left" w:pos="900"/>
        </w:tabs>
        <w:spacing w:line="560" w:lineRule="exact"/>
        <w:ind w:firstLine="640" w:firstLineChars="200"/>
        <w:rPr>
          <w:rFonts w:ascii="仿宋_GB2312" w:eastAsia="仿宋_GB2312"/>
          <w:sz w:val="32"/>
          <w:szCs w:val="32"/>
        </w:rPr>
      </w:pPr>
      <w:r>
        <w:rPr>
          <w:rFonts w:hint="eastAsia" w:ascii="仿宋_GB2312" w:eastAsia="仿宋_GB2312"/>
          <w:sz w:val="32"/>
          <w:szCs w:val="32"/>
        </w:rPr>
        <w:t>2、出差人员实际发生住宿而无住宿发票的，如果是住在自己家里的，或到边远地区出差，无法取得住宿费发票的，由出差人员说明情况并经所在部门领导批准，可以报销城市间交通费、伙食补助费和市内交通费，其他情况一般不予报销差旅费。</w:t>
      </w:r>
    </w:p>
    <w:p w14:paraId="4666BA3E">
      <w:pPr>
        <w:spacing w:line="560" w:lineRule="exact"/>
        <w:ind w:firstLine="482" w:firstLineChars="150"/>
        <w:rPr>
          <w:rFonts w:ascii="仿宋_GB2312" w:eastAsia="仿宋_GB2312"/>
          <w:sz w:val="32"/>
          <w:szCs w:val="32"/>
        </w:rPr>
      </w:pPr>
      <w:r>
        <w:rPr>
          <w:rFonts w:hint="eastAsia" w:ascii="仿宋_GB2312" w:eastAsia="仿宋_GB2312"/>
          <w:b/>
          <w:sz w:val="32"/>
          <w:szCs w:val="32"/>
        </w:rPr>
        <w:t>（三）伙食补助费标准。</w:t>
      </w:r>
      <w:r>
        <w:rPr>
          <w:rFonts w:hint="eastAsia" w:ascii="仿宋_GB2312" w:eastAsia="仿宋_GB2312"/>
          <w:sz w:val="32"/>
          <w:szCs w:val="32"/>
        </w:rPr>
        <w:t>出差人员应当自行用餐，伙食补助费按出差自然天数计算，按每人每天100元包干使用。对公务活动主办单位有明确规定包含住宿和用餐的，公务活动期间内不计发伙食补助费。</w:t>
      </w:r>
    </w:p>
    <w:p w14:paraId="3CEAE21C">
      <w:pPr>
        <w:spacing w:line="560" w:lineRule="exact"/>
        <w:ind w:firstLine="482" w:firstLineChars="150"/>
        <w:rPr>
          <w:rFonts w:ascii="仿宋_GB2312" w:eastAsia="仿宋_GB2312"/>
          <w:sz w:val="32"/>
          <w:szCs w:val="32"/>
        </w:rPr>
      </w:pPr>
      <w:r>
        <w:rPr>
          <w:rFonts w:hint="eastAsia" w:ascii="仿宋_GB2312" w:eastAsia="仿宋_GB2312"/>
          <w:b/>
          <w:sz w:val="32"/>
          <w:szCs w:val="32"/>
        </w:rPr>
        <w:t>（四）市内交通费标准、无城市间交通票据的情况</w:t>
      </w:r>
    </w:p>
    <w:p w14:paraId="719E754B">
      <w:pPr>
        <w:spacing w:line="560" w:lineRule="exact"/>
        <w:ind w:firstLine="640" w:firstLineChars="200"/>
        <w:rPr>
          <w:rFonts w:ascii="仿宋_GB2312" w:eastAsia="仿宋_GB2312"/>
          <w:sz w:val="32"/>
          <w:szCs w:val="32"/>
        </w:rPr>
      </w:pPr>
      <w:r>
        <w:rPr>
          <w:rFonts w:hint="eastAsia" w:ascii="仿宋_GB2312" w:eastAsia="仿宋_GB2312"/>
          <w:sz w:val="32"/>
          <w:szCs w:val="32"/>
        </w:rPr>
        <w:t>1、市内交通费按出差自然天数计算，按每人每天80元包干使用。赴外省公务活动，不得配公车出行。省内配公车出行的，不计发市内交通费。</w:t>
      </w:r>
    </w:p>
    <w:p w14:paraId="4B05F557">
      <w:pPr>
        <w:tabs>
          <w:tab w:val="left" w:pos="720"/>
          <w:tab w:val="left" w:pos="900"/>
        </w:tabs>
        <w:spacing w:line="560" w:lineRule="exact"/>
        <w:ind w:firstLine="640" w:firstLineChars="200"/>
        <w:rPr>
          <w:rFonts w:ascii="仿宋_GB2312" w:eastAsia="仿宋_GB2312"/>
          <w:sz w:val="32"/>
          <w:szCs w:val="32"/>
        </w:rPr>
      </w:pPr>
      <w:r>
        <w:rPr>
          <w:rFonts w:hint="eastAsia" w:ascii="仿宋_GB2312" w:eastAsia="仿宋_GB2312"/>
          <w:sz w:val="32"/>
          <w:szCs w:val="32"/>
        </w:rPr>
        <w:t>2、对于无城市间交通票据的情况</w:t>
      </w:r>
    </w:p>
    <w:p w14:paraId="716C14A6">
      <w:pPr>
        <w:spacing w:line="560" w:lineRule="exact"/>
        <w:ind w:firstLine="640" w:firstLineChars="200"/>
        <w:rPr>
          <w:rFonts w:ascii="仿宋_GB2312" w:eastAsia="仿宋_GB2312"/>
          <w:sz w:val="32"/>
          <w:szCs w:val="32"/>
        </w:rPr>
      </w:pPr>
      <w:r>
        <w:rPr>
          <w:rFonts w:hint="eastAsia" w:ascii="仿宋_GB2312" w:eastAsia="仿宋_GB2312"/>
          <w:sz w:val="32"/>
          <w:szCs w:val="32"/>
        </w:rPr>
        <w:t>出差人员应乘坐公共交通工具前往出差目的地，凭城市间交通费票据报销市内交通费。工作人员乘坐单位公务车辆出差，市内交通费不予报销。出于安全考虑，不提倡工作人员驾驶私家车或搭乘便车出差。如驾驶私家车或搭乘便车出差，发生的加油费、过路天桥通行费、停车费等不予报销，但可作为城市间交通费依据，报销市内交通费</w:t>
      </w:r>
    </w:p>
    <w:p w14:paraId="6514E799">
      <w:pPr>
        <w:tabs>
          <w:tab w:val="left" w:pos="720"/>
        </w:tabs>
        <w:spacing w:line="560" w:lineRule="exact"/>
        <w:ind w:firstLine="640" w:firstLineChars="200"/>
        <w:rPr>
          <w:rFonts w:ascii="仿宋_GB2312" w:eastAsia="仿宋_GB2312"/>
          <w:sz w:val="32"/>
          <w:szCs w:val="32"/>
        </w:rPr>
      </w:pPr>
      <w:r>
        <w:rPr>
          <w:rFonts w:hint="eastAsia" w:ascii="仿宋_GB2312" w:eastAsia="仿宋_GB2312"/>
          <w:sz w:val="32"/>
          <w:szCs w:val="32"/>
        </w:rPr>
        <w:t>3、工作人员到常驻地外实习、支援、挂职锻炼及开展扶贫工作等相关费用报销的情况</w:t>
      </w:r>
    </w:p>
    <w:p w14:paraId="325CC071">
      <w:pPr>
        <w:tabs>
          <w:tab w:val="left" w:pos="720"/>
          <w:tab w:val="left" w:pos="900"/>
        </w:tabs>
        <w:spacing w:line="56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工作人员到常驻地外实习、支援（含扶贫，下同）和挂职锻炼的，实习、支援和挂职锻炼期间不执行《办法》规定。在实习、支援、挂职锻炼期间出差的，由派出单位按规定报销差旅费。因工作人员常驻地单位要求，在常驻地与实习、支援和挂职锻炼所在地之间往返的，由常驻地单位按《办法》规定报销差旅费。</w:t>
      </w:r>
    </w:p>
    <w:p w14:paraId="78605ED6">
      <w:pPr>
        <w:tabs>
          <w:tab w:val="left" w:pos="720"/>
          <w:tab w:val="left" w:pos="900"/>
        </w:tabs>
        <w:spacing w:line="56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单位派工作人员到常驻地外脱产学习的，派出单位可按照规定报销学习报到和学习结束返回发生的差旅费各一次，脱产学习期间不执行《办法》规定。因单位要求，在常驻地与脱产学习所在地之间往返的，由常驻地单位按照《办法》规定报销差旅费。</w:t>
      </w:r>
    </w:p>
    <w:p w14:paraId="7C1F15CB">
      <w:pPr>
        <w:tabs>
          <w:tab w:val="left" w:pos="720"/>
        </w:tabs>
        <w:spacing w:line="56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按照国家和省有关要求，统一组织开展扶贫工作的，扶贫人员在驻村扶贫工作期间，如自行承担住宿、伙食、交通等费用，可按每人每天</w:t>
      </w:r>
      <w:r>
        <w:rPr>
          <w:rFonts w:ascii="仿宋_GB2312" w:eastAsia="仿宋_GB2312"/>
          <w:sz w:val="32"/>
          <w:szCs w:val="32"/>
        </w:rPr>
        <w:t>100</w:t>
      </w:r>
      <w:r>
        <w:rPr>
          <w:rFonts w:hint="eastAsia" w:ascii="仿宋_GB2312" w:eastAsia="仿宋_GB2312"/>
          <w:sz w:val="32"/>
          <w:szCs w:val="32"/>
        </w:rPr>
        <w:t>元标准给予补助。根据市扶贫办领导小组文件，市司法局给予驻村扶贫第一书记伙食补助费标准为每人每天100元，往返交通费按实际发生包干使用每人每天80元，原则上按一个月8天计发（4周往返天数）。</w:t>
      </w:r>
    </w:p>
    <w:p w14:paraId="1A53BB28">
      <w:pPr>
        <w:spacing w:line="560" w:lineRule="exact"/>
        <w:ind w:firstLine="482" w:firstLineChars="150"/>
        <w:rPr>
          <w:rFonts w:ascii="仿宋_GB2312" w:eastAsia="仿宋_GB2312"/>
          <w:b/>
          <w:sz w:val="32"/>
          <w:szCs w:val="32"/>
        </w:rPr>
      </w:pPr>
      <w:r>
        <w:rPr>
          <w:rFonts w:hint="eastAsia" w:ascii="仿宋_GB2312" w:eastAsia="仿宋_GB2312"/>
          <w:b/>
          <w:sz w:val="32"/>
          <w:szCs w:val="32"/>
        </w:rPr>
        <w:t>（五）其他情况</w:t>
      </w:r>
    </w:p>
    <w:p w14:paraId="31B40919">
      <w:pPr>
        <w:spacing w:line="560" w:lineRule="exact"/>
        <w:ind w:firstLine="480" w:firstLineChars="150"/>
        <w:rPr>
          <w:rFonts w:ascii="仿宋_GB2312" w:eastAsia="仿宋_GB2312"/>
          <w:sz w:val="32"/>
          <w:szCs w:val="32"/>
        </w:rPr>
      </w:pPr>
      <w:r>
        <w:rPr>
          <w:rFonts w:hint="eastAsia" w:ascii="仿宋_GB2312" w:eastAsia="仿宋_GB2312"/>
          <w:sz w:val="32"/>
          <w:szCs w:val="32"/>
        </w:rPr>
        <w:t>到常住地以外参加会议、培训的，会议、培训期间执行会议和培训费的相关制度。往返会议、培训地点发生的城市间交通费、伙食补助费和市内交通费按照差旅费管理办法的规定报销，报销时需提供出差审批单，会议、培训通知。其中，伙食补助费和市内交通费按往返各</w:t>
      </w:r>
      <w:r>
        <w:rPr>
          <w:rFonts w:ascii="仿宋_GB2312" w:eastAsia="仿宋_GB2312"/>
          <w:sz w:val="32"/>
          <w:szCs w:val="32"/>
        </w:rPr>
        <w:t>1</w:t>
      </w:r>
      <w:r>
        <w:rPr>
          <w:rFonts w:hint="eastAsia" w:ascii="仿宋_GB2312" w:eastAsia="仿宋_GB2312"/>
          <w:sz w:val="32"/>
          <w:szCs w:val="32"/>
        </w:rPr>
        <w:t>天计发（如遇天气、交通等特殊情况，经单位领导批准，可按实际往返天数计发），当天往返的按</w:t>
      </w:r>
      <w:r>
        <w:rPr>
          <w:rFonts w:ascii="仿宋_GB2312" w:eastAsia="仿宋_GB2312"/>
          <w:sz w:val="32"/>
          <w:szCs w:val="32"/>
        </w:rPr>
        <w:t>1</w:t>
      </w:r>
      <w:r>
        <w:rPr>
          <w:rFonts w:hint="eastAsia" w:ascii="仿宋_GB2312" w:eastAsia="仿宋_GB2312"/>
          <w:sz w:val="32"/>
          <w:szCs w:val="32"/>
        </w:rPr>
        <w:t>天计发。</w:t>
      </w:r>
    </w:p>
    <w:p w14:paraId="566FDF8C">
      <w:pPr>
        <w:spacing w:line="560" w:lineRule="exact"/>
        <w:ind w:firstLine="643" w:firstLineChars="200"/>
        <w:rPr>
          <w:rFonts w:ascii="仿宋_GB2312" w:eastAsia="仿宋_GB2312"/>
          <w:sz w:val="32"/>
          <w:szCs w:val="32"/>
        </w:rPr>
      </w:pPr>
      <w:r>
        <w:rPr>
          <w:rFonts w:hint="eastAsia" w:ascii="楷体_GB2312" w:eastAsia="楷体_GB2312"/>
          <w:b/>
          <w:sz w:val="32"/>
          <w:szCs w:val="32"/>
        </w:rPr>
        <w:t xml:space="preserve">第六条 </w:t>
      </w:r>
      <w:r>
        <w:rPr>
          <w:rFonts w:hint="eastAsia" w:ascii="仿宋_GB2312" w:eastAsia="仿宋_GB2312"/>
          <w:sz w:val="32"/>
          <w:szCs w:val="32"/>
        </w:rPr>
        <w:t>报销管理。</w:t>
      </w:r>
    </w:p>
    <w:p w14:paraId="37DCC0B6">
      <w:pPr>
        <w:spacing w:line="560" w:lineRule="exact"/>
        <w:ind w:firstLine="480" w:firstLineChars="150"/>
        <w:rPr>
          <w:rFonts w:ascii="仿宋_GB2312" w:eastAsia="仿宋_GB2312"/>
          <w:sz w:val="32"/>
          <w:szCs w:val="32"/>
        </w:rPr>
      </w:pPr>
      <w:r>
        <w:rPr>
          <w:rFonts w:hint="eastAsia" w:ascii="仿宋_GB2312" w:eastAsia="仿宋_GB2312"/>
          <w:sz w:val="32"/>
          <w:szCs w:val="32"/>
        </w:rPr>
        <w:t>（一）实行出差事前审批制度。工作人员出差前须填写《白城市司法局公务出差审批单》（样表附后），注明事由、出差地点、出差天数、出差依据和预支出金额，经主管政治部领导和分管科室领导审批后，方可公出。</w:t>
      </w:r>
    </w:p>
    <w:p w14:paraId="0542829E">
      <w:pPr>
        <w:spacing w:line="560" w:lineRule="exact"/>
        <w:ind w:firstLine="480" w:firstLineChars="150"/>
        <w:rPr>
          <w:rFonts w:ascii="仿宋_GB2312" w:eastAsia="仿宋_GB2312"/>
          <w:sz w:val="32"/>
          <w:szCs w:val="32"/>
        </w:rPr>
      </w:pPr>
      <w:r>
        <w:rPr>
          <w:rFonts w:hint="eastAsia" w:ascii="仿宋_GB2312" w:eastAsia="仿宋_GB2312"/>
          <w:sz w:val="32"/>
          <w:szCs w:val="32"/>
        </w:rPr>
        <w:t>（二）出差人员应当严格按规定开支差旅费，费用由所在单位承担，不得向下级单位、企业或其他单位转嫁。</w:t>
      </w:r>
    </w:p>
    <w:p w14:paraId="0369750E">
      <w:pPr>
        <w:spacing w:line="560" w:lineRule="exact"/>
        <w:ind w:firstLine="480" w:firstLineChars="150"/>
        <w:rPr>
          <w:rFonts w:ascii="仿宋_GB2312" w:eastAsia="仿宋_GB2312"/>
          <w:sz w:val="32"/>
          <w:szCs w:val="32"/>
        </w:rPr>
      </w:pPr>
      <w:r>
        <w:rPr>
          <w:rFonts w:hint="eastAsia" w:ascii="仿宋_GB2312" w:eastAsia="仿宋_GB2312"/>
          <w:sz w:val="32"/>
          <w:szCs w:val="32"/>
        </w:rPr>
        <w:t>（三）工作人员出差结束后应当及时办理报销手续。</w:t>
      </w:r>
    </w:p>
    <w:p w14:paraId="7E626E3F">
      <w:pPr>
        <w:spacing w:line="560" w:lineRule="exact"/>
        <w:ind w:firstLine="640" w:firstLineChars="200"/>
        <w:rPr>
          <w:rFonts w:ascii="仿宋_GB2312" w:eastAsia="仿宋_GB2312"/>
          <w:sz w:val="32"/>
          <w:szCs w:val="32"/>
        </w:rPr>
      </w:pPr>
      <w:r>
        <w:rPr>
          <w:rFonts w:hint="eastAsia" w:ascii="仿宋_GB2312" w:eastAsia="仿宋_GB2312"/>
          <w:sz w:val="32"/>
          <w:szCs w:val="32"/>
        </w:rPr>
        <w:t>差旅费报销凭证：公出报告单、交通费票据、住宿费发票、财务四联单。</w:t>
      </w:r>
    </w:p>
    <w:p w14:paraId="75347CAD">
      <w:pPr>
        <w:spacing w:line="560" w:lineRule="exact"/>
        <w:ind w:firstLine="640" w:firstLineChars="200"/>
        <w:rPr>
          <w:rFonts w:ascii="仿宋_GB2312" w:eastAsia="仿宋_GB2312"/>
          <w:sz w:val="32"/>
          <w:szCs w:val="32"/>
        </w:rPr>
      </w:pPr>
      <w:r>
        <w:rPr>
          <w:rFonts w:hint="eastAsia" w:ascii="仿宋_GB2312" w:eastAsia="仿宋_GB2312"/>
          <w:sz w:val="32"/>
          <w:szCs w:val="32"/>
        </w:rPr>
        <w:t>住宿费、机票支出等按规定用公务卡方式结算。未按规定开支差旅费的，超支部分由个人自理。</w:t>
      </w:r>
    </w:p>
    <w:p w14:paraId="66ECD6A7">
      <w:pPr>
        <w:spacing w:line="560" w:lineRule="exact"/>
        <w:ind w:firstLine="480" w:firstLineChars="150"/>
        <w:rPr>
          <w:rFonts w:ascii="仿宋_GB2312" w:eastAsia="仿宋_GB2312"/>
          <w:sz w:val="32"/>
          <w:szCs w:val="32"/>
        </w:rPr>
      </w:pPr>
      <w:r>
        <w:rPr>
          <w:rFonts w:hint="eastAsia" w:ascii="仿宋_GB2312" w:eastAsia="仿宋_GB2312"/>
          <w:sz w:val="32"/>
          <w:szCs w:val="32"/>
        </w:rPr>
        <w:t>（四）财务部门要严格按规定审核差旅费开支，对未经批准，以及超范围、超标准开支的费用不予报销。实际发生住宿而无住宿费发票的，不得报销住宿费以及城市间交通费、伙食补助费和市内交通费。</w:t>
      </w:r>
    </w:p>
    <w:p w14:paraId="64F19AF0">
      <w:pPr>
        <w:spacing w:line="560" w:lineRule="exact"/>
        <w:ind w:firstLine="643" w:firstLineChars="200"/>
        <w:rPr>
          <w:rFonts w:ascii="仿宋_GB2312" w:eastAsia="仿宋_GB2312"/>
          <w:sz w:val="32"/>
          <w:szCs w:val="32"/>
        </w:rPr>
      </w:pPr>
      <w:r>
        <w:rPr>
          <w:rFonts w:hint="eastAsia" w:ascii="楷体_GB2312" w:eastAsia="楷体_GB2312"/>
          <w:b/>
          <w:sz w:val="32"/>
          <w:szCs w:val="32"/>
        </w:rPr>
        <w:t>第七条</w:t>
      </w:r>
      <w:r>
        <w:rPr>
          <w:rFonts w:hint="eastAsia" w:ascii="仿宋_GB2312" w:eastAsia="仿宋_GB2312"/>
          <w:sz w:val="32"/>
          <w:szCs w:val="32"/>
        </w:rPr>
        <w:t xml:space="preserve"> 监督问责</w:t>
      </w:r>
    </w:p>
    <w:p w14:paraId="5B801BC3">
      <w:pPr>
        <w:spacing w:line="560" w:lineRule="exact"/>
        <w:ind w:firstLine="480" w:firstLineChars="150"/>
        <w:rPr>
          <w:rFonts w:ascii="仿宋_GB2312" w:eastAsia="仿宋_GB2312"/>
          <w:sz w:val="32"/>
          <w:szCs w:val="32"/>
        </w:rPr>
      </w:pPr>
      <w:r>
        <w:rPr>
          <w:rFonts w:hint="eastAsia" w:ascii="仿宋_GB2312" w:eastAsia="仿宋_GB2312"/>
          <w:sz w:val="32"/>
          <w:szCs w:val="32"/>
        </w:rPr>
        <w:t xml:space="preserve"> 市局财务部门要加强对本单位和市戒毒所工作人员差旅活动和经费报销的内控管理，对本单位差旅审批制度、差旅费预算及规模控制负责，分管领导、财务人员等对差旅费报销进行审核把关，确保票据来源合法，内容真实完整、合规。</w:t>
      </w:r>
    </w:p>
    <w:p w14:paraId="7A238C22">
      <w:pPr>
        <w:spacing w:line="560" w:lineRule="exact"/>
        <w:ind w:firstLine="640" w:firstLineChars="200"/>
        <w:rPr>
          <w:rFonts w:ascii="仿宋_GB2312" w:eastAsia="仿宋_GB2312"/>
          <w:sz w:val="32"/>
          <w:szCs w:val="32"/>
        </w:rPr>
      </w:pPr>
      <w:r>
        <w:rPr>
          <w:rFonts w:hint="eastAsia" w:ascii="仿宋_GB2312" w:eastAsia="仿宋_GB2312"/>
          <w:sz w:val="32"/>
          <w:szCs w:val="32"/>
        </w:rPr>
        <w:t>市局纪委对市局机关、市局直属事业单位、市戒毒所工作人员未经批准擅自出差、不按规定开支和报销差旅费的人员要进行严肃处理。要强化对下监督检查，发现问题及时处理，重大问题向市局党委报告。</w:t>
      </w:r>
    </w:p>
    <w:p w14:paraId="7FAF4B3B">
      <w:pPr>
        <w:spacing w:line="560" w:lineRule="exact"/>
        <w:ind w:firstLine="643" w:firstLineChars="200"/>
        <w:rPr>
          <w:rFonts w:ascii="仿宋_GB2312" w:eastAsia="仿宋_GB2312"/>
          <w:b/>
          <w:sz w:val="32"/>
          <w:szCs w:val="32"/>
        </w:rPr>
      </w:pPr>
      <w:r>
        <w:rPr>
          <w:rFonts w:hint="eastAsia" w:ascii="仿宋_GB2312" w:eastAsia="仿宋_GB2312"/>
          <w:b/>
          <w:sz w:val="32"/>
          <w:szCs w:val="32"/>
        </w:rPr>
        <w:t>市局财务部门监督检查主要内容包括：</w:t>
      </w:r>
    </w:p>
    <w:p w14:paraId="75D8945D">
      <w:pPr>
        <w:spacing w:line="560" w:lineRule="exact"/>
        <w:ind w:firstLine="480" w:firstLineChars="150"/>
        <w:rPr>
          <w:rFonts w:ascii="仿宋_GB2312" w:eastAsia="仿宋_GB2312"/>
          <w:sz w:val="32"/>
          <w:szCs w:val="32"/>
        </w:rPr>
      </w:pPr>
      <w:r>
        <w:rPr>
          <w:rFonts w:hint="eastAsia" w:ascii="仿宋_GB2312" w:eastAsia="仿宋_GB2312"/>
          <w:sz w:val="32"/>
          <w:szCs w:val="32"/>
        </w:rPr>
        <w:t xml:space="preserve">（一）单位差旅审批制度是否健全，出差活动是否按规定履行审批手续； </w:t>
      </w:r>
    </w:p>
    <w:p w14:paraId="0534097C">
      <w:pPr>
        <w:spacing w:line="560" w:lineRule="exact"/>
        <w:ind w:firstLine="480" w:firstLineChars="150"/>
        <w:rPr>
          <w:rFonts w:ascii="仿宋_GB2312" w:eastAsia="仿宋_GB2312"/>
          <w:sz w:val="32"/>
          <w:szCs w:val="32"/>
        </w:rPr>
      </w:pPr>
      <w:r>
        <w:rPr>
          <w:rFonts w:hint="eastAsia" w:ascii="仿宋_GB2312" w:eastAsia="仿宋_GB2312"/>
          <w:sz w:val="32"/>
          <w:szCs w:val="32"/>
        </w:rPr>
        <w:t xml:space="preserve">（二）差旅费开支范围和标准是否符合规定； </w:t>
      </w:r>
    </w:p>
    <w:p w14:paraId="615AE415">
      <w:pPr>
        <w:spacing w:line="560" w:lineRule="exact"/>
        <w:ind w:firstLine="480" w:firstLineChars="150"/>
        <w:rPr>
          <w:rFonts w:ascii="仿宋_GB2312" w:eastAsia="仿宋_GB2312"/>
          <w:sz w:val="32"/>
          <w:szCs w:val="32"/>
        </w:rPr>
      </w:pPr>
      <w:r>
        <w:rPr>
          <w:rFonts w:hint="eastAsia" w:ascii="仿宋_GB2312" w:eastAsia="仿宋_GB2312"/>
          <w:sz w:val="32"/>
          <w:szCs w:val="32"/>
        </w:rPr>
        <w:t>（三）差旅费报销是否符合规定；</w:t>
      </w:r>
    </w:p>
    <w:p w14:paraId="6D788829">
      <w:pPr>
        <w:spacing w:line="560" w:lineRule="exact"/>
        <w:ind w:left="479" w:leftChars="228"/>
        <w:rPr>
          <w:rFonts w:ascii="仿宋_GB2312" w:eastAsia="仿宋_GB2312"/>
          <w:sz w:val="32"/>
          <w:szCs w:val="32"/>
        </w:rPr>
      </w:pPr>
      <w:r>
        <w:rPr>
          <w:rFonts w:hint="eastAsia" w:ascii="仿宋_GB2312" w:eastAsia="仿宋_GB2312"/>
          <w:sz w:val="32"/>
          <w:szCs w:val="32"/>
        </w:rPr>
        <w:t>（四）是否向下级单位、企业或其他单位转嫁差旅费；</w:t>
      </w:r>
    </w:p>
    <w:p w14:paraId="250BD247">
      <w:pPr>
        <w:spacing w:line="560" w:lineRule="exact"/>
        <w:ind w:left="479" w:leftChars="228"/>
        <w:rPr>
          <w:rFonts w:ascii="仿宋_GB2312" w:eastAsia="仿宋_GB2312"/>
          <w:sz w:val="32"/>
          <w:szCs w:val="32"/>
        </w:rPr>
      </w:pPr>
      <w:r>
        <w:rPr>
          <w:rFonts w:hint="eastAsia" w:ascii="仿宋_GB2312" w:eastAsia="仿宋_GB2312"/>
          <w:sz w:val="32"/>
          <w:szCs w:val="32"/>
        </w:rPr>
        <w:t>（五）差旅费管理和使用的其他情况。</w:t>
      </w:r>
    </w:p>
    <w:p w14:paraId="2D3BA396">
      <w:pPr>
        <w:spacing w:line="560" w:lineRule="exact"/>
        <w:ind w:firstLine="630" w:firstLineChars="196"/>
        <w:rPr>
          <w:rFonts w:ascii="仿宋_GB2312" w:eastAsia="仿宋_GB2312"/>
          <w:b/>
          <w:sz w:val="32"/>
          <w:szCs w:val="32"/>
        </w:rPr>
      </w:pPr>
      <w:r>
        <w:rPr>
          <w:rFonts w:hint="eastAsia" w:ascii="仿宋_GB2312" w:eastAsia="仿宋_GB2312"/>
          <w:b/>
          <w:sz w:val="32"/>
          <w:szCs w:val="32"/>
        </w:rPr>
        <w:t>市局纪委对违反本办法规定，有下列行为之一的，依法依规追究相关单位和人员的责任：</w:t>
      </w:r>
    </w:p>
    <w:p w14:paraId="57364016">
      <w:pPr>
        <w:spacing w:line="560" w:lineRule="exact"/>
        <w:ind w:left="479" w:leftChars="228"/>
        <w:rPr>
          <w:rFonts w:ascii="仿宋_GB2312" w:eastAsia="仿宋_GB2312"/>
          <w:sz w:val="32"/>
          <w:szCs w:val="32"/>
        </w:rPr>
      </w:pPr>
      <w:r>
        <w:rPr>
          <w:rFonts w:hint="eastAsia" w:ascii="仿宋_GB2312" w:eastAsia="仿宋_GB2312"/>
          <w:sz w:val="32"/>
          <w:szCs w:val="32"/>
        </w:rPr>
        <w:t>（一）单位无出差审批制度或出差审批控制不严的； （二）虚报冒领差旅费的；</w:t>
      </w:r>
    </w:p>
    <w:p w14:paraId="1A3B9F84">
      <w:pPr>
        <w:spacing w:line="560" w:lineRule="exact"/>
        <w:ind w:left="479" w:leftChars="228"/>
        <w:rPr>
          <w:rFonts w:ascii="仿宋_GB2312" w:eastAsia="仿宋_GB2312"/>
          <w:sz w:val="32"/>
          <w:szCs w:val="32"/>
        </w:rPr>
      </w:pPr>
      <w:r>
        <w:rPr>
          <w:rFonts w:hint="eastAsia" w:ascii="仿宋_GB2312" w:eastAsia="仿宋_GB2312"/>
          <w:sz w:val="32"/>
          <w:szCs w:val="32"/>
        </w:rPr>
        <w:t>（三）擅自扩大差旅费开支范围和提高开支标准的； （四）不按规定报销差旅费的；</w:t>
      </w:r>
    </w:p>
    <w:p w14:paraId="4E4DF0BC">
      <w:pPr>
        <w:spacing w:line="560" w:lineRule="exact"/>
        <w:ind w:firstLine="480" w:firstLineChars="150"/>
        <w:rPr>
          <w:rFonts w:ascii="仿宋_GB2312" w:eastAsia="仿宋_GB2312"/>
          <w:sz w:val="32"/>
          <w:szCs w:val="32"/>
        </w:rPr>
      </w:pPr>
      <w:r>
        <w:rPr>
          <w:rFonts w:hint="eastAsia" w:ascii="仿宋_GB2312" w:eastAsia="仿宋_GB2312"/>
          <w:sz w:val="32"/>
          <w:szCs w:val="32"/>
        </w:rPr>
        <w:t>（五）出差人员在出差期间接受违反规定用公款支付的宴请、游览和非工作需要参观的；接受礼品、礼金和土特产品的。</w:t>
      </w:r>
    </w:p>
    <w:p w14:paraId="36B460A1">
      <w:pPr>
        <w:spacing w:line="560" w:lineRule="exact"/>
        <w:ind w:left="479" w:leftChars="228"/>
        <w:rPr>
          <w:rFonts w:ascii="仿宋_GB2312" w:eastAsia="仿宋_GB2312"/>
          <w:sz w:val="32"/>
          <w:szCs w:val="32"/>
        </w:rPr>
      </w:pPr>
      <w:r>
        <w:rPr>
          <w:rFonts w:hint="eastAsia" w:ascii="仿宋_GB2312" w:eastAsia="仿宋_GB2312"/>
          <w:sz w:val="32"/>
          <w:szCs w:val="32"/>
        </w:rPr>
        <w:t>（六）转嫁差旅费的；</w:t>
      </w:r>
    </w:p>
    <w:p w14:paraId="3F8C9599">
      <w:pPr>
        <w:spacing w:line="560" w:lineRule="exact"/>
        <w:ind w:firstLine="480" w:firstLineChars="150"/>
        <w:rPr>
          <w:rFonts w:ascii="仿宋_GB2312" w:eastAsia="仿宋_GB2312"/>
          <w:sz w:val="32"/>
          <w:szCs w:val="32"/>
        </w:rPr>
      </w:pPr>
      <w:r>
        <w:rPr>
          <w:rFonts w:hint="eastAsia" w:ascii="仿宋_GB2312" w:eastAsia="仿宋_GB2312"/>
          <w:sz w:val="32"/>
          <w:szCs w:val="32"/>
        </w:rPr>
        <w:t>（七）其他违反本办法行为的。</w:t>
      </w:r>
    </w:p>
    <w:p w14:paraId="5ABF58F4">
      <w:pPr>
        <w:rPr>
          <w:rFonts w:ascii="仿宋_GB2312" w:eastAsia="仿宋_GB2312"/>
          <w:sz w:val="32"/>
          <w:szCs w:val="32"/>
        </w:rPr>
      </w:pPr>
      <w:r>
        <w:rPr>
          <w:rFonts w:hint="eastAsia" w:ascii="仿宋_GB2312" w:eastAsia="仿宋_GB2312"/>
          <w:sz w:val="32"/>
          <w:szCs w:val="32"/>
        </w:rPr>
        <w:br w:type="page"/>
      </w:r>
    </w:p>
    <w:tbl>
      <w:tblPr>
        <w:tblStyle w:val="9"/>
        <w:tblW w:w="0" w:type="auto"/>
        <w:tblInd w:w="-548" w:type="dxa"/>
        <w:tblLayout w:type="fixed"/>
        <w:tblCellMar>
          <w:top w:w="0" w:type="dxa"/>
          <w:left w:w="30" w:type="dxa"/>
          <w:bottom w:w="0" w:type="dxa"/>
          <w:right w:w="30" w:type="dxa"/>
        </w:tblCellMar>
      </w:tblPr>
      <w:tblGrid>
        <w:gridCol w:w="2040"/>
        <w:gridCol w:w="5080"/>
        <w:gridCol w:w="1760"/>
      </w:tblGrid>
      <w:tr w14:paraId="39EF97BD">
        <w:tblPrEx>
          <w:tblCellMar>
            <w:top w:w="0" w:type="dxa"/>
            <w:left w:w="30" w:type="dxa"/>
            <w:bottom w:w="0" w:type="dxa"/>
            <w:right w:w="30" w:type="dxa"/>
          </w:tblCellMar>
        </w:tblPrEx>
        <w:trPr>
          <w:trHeight w:val="774" w:hRule="atLeast"/>
        </w:trPr>
        <w:tc>
          <w:tcPr>
            <w:tcW w:w="8880" w:type="dxa"/>
            <w:gridSpan w:val="3"/>
            <w:tcBorders>
              <w:top w:val="nil"/>
              <w:left w:val="nil"/>
              <w:bottom w:val="single" w:color="auto" w:sz="6" w:space="0"/>
              <w:right w:val="nil"/>
            </w:tcBorders>
            <w:noWrap/>
          </w:tcPr>
          <w:p w14:paraId="50A13F9A">
            <w:pPr>
              <w:autoSpaceDE w:val="0"/>
              <w:autoSpaceDN w:val="0"/>
              <w:adjustRightInd w:val="0"/>
              <w:spacing w:line="560" w:lineRule="exact"/>
              <w:jc w:val="center"/>
              <w:rPr>
                <w:rFonts w:ascii="黑体" w:eastAsia="黑体" w:cs="黑体"/>
                <w:b/>
                <w:bCs/>
                <w:color w:val="000000"/>
                <w:kern w:val="0"/>
                <w:sz w:val="44"/>
                <w:szCs w:val="44"/>
              </w:rPr>
            </w:pPr>
            <w:r>
              <w:rPr>
                <w:rFonts w:hint="eastAsia" w:ascii="黑体" w:eastAsia="黑体" w:cs="黑体"/>
                <w:b/>
                <w:bCs/>
                <w:color w:val="000000"/>
                <w:kern w:val="0"/>
                <w:sz w:val="36"/>
                <w:szCs w:val="44"/>
              </w:rPr>
              <w:t>白城市司法局公务出差审批单</w:t>
            </w:r>
          </w:p>
        </w:tc>
      </w:tr>
      <w:tr w14:paraId="06FF29F4">
        <w:tblPrEx>
          <w:tblCellMar>
            <w:top w:w="0" w:type="dxa"/>
            <w:left w:w="30" w:type="dxa"/>
            <w:bottom w:w="0" w:type="dxa"/>
            <w:right w:w="30" w:type="dxa"/>
          </w:tblCellMar>
        </w:tblPrEx>
        <w:trPr>
          <w:trHeight w:val="652" w:hRule="atLeast"/>
        </w:trPr>
        <w:tc>
          <w:tcPr>
            <w:tcW w:w="2040" w:type="dxa"/>
            <w:tcBorders>
              <w:top w:val="single" w:color="auto" w:sz="6" w:space="0"/>
              <w:left w:val="single" w:color="auto" w:sz="6" w:space="0"/>
              <w:bottom w:val="single" w:color="auto" w:sz="6" w:space="0"/>
              <w:right w:val="single" w:color="auto" w:sz="6" w:space="0"/>
            </w:tcBorders>
            <w:noWrap/>
            <w:vAlign w:val="center"/>
          </w:tcPr>
          <w:p w14:paraId="53CD2E2A">
            <w:pPr>
              <w:autoSpaceDE w:val="0"/>
              <w:autoSpaceDN w:val="0"/>
              <w:adjustRightInd w:val="0"/>
              <w:spacing w:line="560" w:lineRule="exact"/>
              <w:rPr>
                <w:rFonts w:ascii="黑体" w:eastAsia="黑体" w:cs="黑体"/>
                <w:b/>
                <w:bCs/>
                <w:color w:val="000000"/>
                <w:kern w:val="0"/>
                <w:sz w:val="24"/>
              </w:rPr>
            </w:pPr>
            <w:r>
              <w:rPr>
                <w:rFonts w:hint="eastAsia" w:ascii="黑体" w:eastAsia="黑体" w:cs="黑体"/>
                <w:b/>
                <w:bCs/>
                <w:color w:val="000000"/>
                <w:kern w:val="0"/>
                <w:sz w:val="24"/>
              </w:rPr>
              <w:t>公出人姓名及部门</w:t>
            </w:r>
          </w:p>
        </w:tc>
        <w:tc>
          <w:tcPr>
            <w:tcW w:w="5080" w:type="dxa"/>
            <w:tcBorders>
              <w:top w:val="single" w:color="auto" w:sz="6" w:space="0"/>
              <w:left w:val="single" w:color="auto" w:sz="6" w:space="0"/>
              <w:bottom w:val="single" w:color="auto" w:sz="6" w:space="0"/>
              <w:right w:val="single" w:color="auto" w:sz="6" w:space="0"/>
            </w:tcBorders>
            <w:noWrap/>
            <w:vAlign w:val="center"/>
          </w:tcPr>
          <w:p w14:paraId="4DFACAF4">
            <w:pPr>
              <w:autoSpaceDE w:val="0"/>
              <w:autoSpaceDN w:val="0"/>
              <w:adjustRightInd w:val="0"/>
              <w:spacing w:line="560" w:lineRule="exact"/>
              <w:jc w:val="center"/>
              <w:rPr>
                <w:rFonts w:ascii="黑体" w:eastAsia="黑体" w:cs="黑体"/>
                <w:color w:val="000000"/>
                <w:kern w:val="0"/>
                <w:sz w:val="24"/>
              </w:rPr>
            </w:pPr>
            <w:r>
              <w:rPr>
                <w:rFonts w:hint="eastAsia" w:ascii="黑体" w:eastAsia="黑体" w:cs="黑体"/>
                <w:color w:val="000000"/>
                <w:kern w:val="0"/>
                <w:sz w:val="24"/>
              </w:rPr>
              <w:t xml:space="preserve">                                              </w:t>
            </w:r>
          </w:p>
        </w:tc>
        <w:tc>
          <w:tcPr>
            <w:tcW w:w="1760" w:type="dxa"/>
            <w:tcBorders>
              <w:top w:val="single" w:color="auto" w:sz="6" w:space="0"/>
              <w:left w:val="single" w:color="auto" w:sz="6" w:space="0"/>
              <w:bottom w:val="single" w:color="auto" w:sz="6" w:space="0"/>
              <w:right w:val="single" w:color="auto" w:sz="6" w:space="0"/>
            </w:tcBorders>
            <w:noWrap/>
            <w:vAlign w:val="center"/>
          </w:tcPr>
          <w:p w14:paraId="55A92D10">
            <w:pPr>
              <w:autoSpaceDE w:val="0"/>
              <w:autoSpaceDN w:val="0"/>
              <w:adjustRightInd w:val="0"/>
              <w:spacing w:line="560" w:lineRule="exact"/>
              <w:jc w:val="center"/>
              <w:rPr>
                <w:rFonts w:ascii="黑体" w:eastAsia="黑体" w:cs="黑体"/>
                <w:color w:val="000000"/>
                <w:kern w:val="0"/>
                <w:sz w:val="24"/>
              </w:rPr>
            </w:pPr>
            <w:r>
              <w:rPr>
                <w:rFonts w:hint="eastAsia" w:ascii="黑体" w:eastAsia="黑体" w:cs="黑体"/>
                <w:color w:val="000000"/>
                <w:kern w:val="0"/>
                <w:sz w:val="24"/>
              </w:rPr>
              <w:t>备  注</w:t>
            </w:r>
          </w:p>
        </w:tc>
      </w:tr>
      <w:tr w14:paraId="2114F2DE">
        <w:tblPrEx>
          <w:tblCellMar>
            <w:top w:w="0" w:type="dxa"/>
            <w:left w:w="30" w:type="dxa"/>
            <w:bottom w:w="0" w:type="dxa"/>
            <w:right w:w="30" w:type="dxa"/>
          </w:tblCellMar>
        </w:tblPrEx>
        <w:trPr>
          <w:trHeight w:val="632" w:hRule="atLeast"/>
        </w:trPr>
        <w:tc>
          <w:tcPr>
            <w:tcW w:w="2040" w:type="dxa"/>
            <w:tcBorders>
              <w:top w:val="single" w:color="auto" w:sz="6" w:space="0"/>
              <w:left w:val="single" w:color="auto" w:sz="6" w:space="0"/>
              <w:bottom w:val="single" w:color="auto" w:sz="6" w:space="0"/>
              <w:right w:val="single" w:color="auto" w:sz="6" w:space="0"/>
            </w:tcBorders>
            <w:noWrap/>
            <w:vAlign w:val="center"/>
          </w:tcPr>
          <w:p w14:paraId="69EF3BD8">
            <w:pPr>
              <w:autoSpaceDE w:val="0"/>
              <w:autoSpaceDN w:val="0"/>
              <w:adjustRightInd w:val="0"/>
              <w:spacing w:line="560" w:lineRule="exact"/>
              <w:rPr>
                <w:rFonts w:ascii="黑体" w:eastAsia="黑体" w:cs="黑体"/>
                <w:b/>
                <w:bCs/>
                <w:color w:val="000000"/>
                <w:kern w:val="0"/>
                <w:sz w:val="24"/>
              </w:rPr>
            </w:pPr>
            <w:r>
              <w:rPr>
                <w:rFonts w:hint="eastAsia" w:ascii="黑体" w:eastAsia="黑体" w:cs="黑体"/>
                <w:b/>
                <w:bCs/>
                <w:color w:val="000000"/>
                <w:kern w:val="0"/>
                <w:sz w:val="24"/>
              </w:rPr>
              <w:t>公出目的地及事由</w:t>
            </w:r>
          </w:p>
        </w:tc>
        <w:tc>
          <w:tcPr>
            <w:tcW w:w="5080" w:type="dxa"/>
            <w:tcBorders>
              <w:top w:val="single" w:color="auto" w:sz="6" w:space="0"/>
              <w:left w:val="single" w:color="auto" w:sz="6" w:space="0"/>
              <w:bottom w:val="single" w:color="auto" w:sz="6" w:space="0"/>
              <w:right w:val="single" w:color="auto" w:sz="6" w:space="0"/>
            </w:tcBorders>
            <w:noWrap/>
            <w:vAlign w:val="center"/>
          </w:tcPr>
          <w:p w14:paraId="3735421F">
            <w:pPr>
              <w:autoSpaceDE w:val="0"/>
              <w:autoSpaceDN w:val="0"/>
              <w:adjustRightInd w:val="0"/>
              <w:spacing w:line="560" w:lineRule="exact"/>
              <w:rPr>
                <w:rFonts w:ascii="黑体" w:eastAsia="黑体" w:cs="黑体"/>
                <w:color w:val="000000"/>
                <w:kern w:val="0"/>
                <w:sz w:val="24"/>
              </w:rPr>
            </w:pPr>
          </w:p>
        </w:tc>
        <w:tc>
          <w:tcPr>
            <w:tcW w:w="1760" w:type="dxa"/>
            <w:tcBorders>
              <w:top w:val="single" w:color="auto" w:sz="6" w:space="0"/>
              <w:left w:val="single" w:color="auto" w:sz="6" w:space="0"/>
              <w:bottom w:val="single" w:color="auto" w:sz="6" w:space="0"/>
              <w:right w:val="single" w:color="auto" w:sz="6" w:space="0"/>
            </w:tcBorders>
            <w:noWrap/>
            <w:vAlign w:val="center"/>
          </w:tcPr>
          <w:p w14:paraId="42A9348D">
            <w:pPr>
              <w:autoSpaceDE w:val="0"/>
              <w:autoSpaceDN w:val="0"/>
              <w:adjustRightInd w:val="0"/>
              <w:spacing w:line="560" w:lineRule="exact"/>
              <w:rPr>
                <w:rFonts w:ascii="黑体" w:eastAsia="黑体" w:cs="黑体"/>
                <w:color w:val="000000"/>
                <w:kern w:val="0"/>
                <w:sz w:val="24"/>
              </w:rPr>
            </w:pPr>
          </w:p>
        </w:tc>
      </w:tr>
      <w:tr w14:paraId="24668D2B">
        <w:tblPrEx>
          <w:tblCellMar>
            <w:top w:w="0" w:type="dxa"/>
            <w:left w:w="30" w:type="dxa"/>
            <w:bottom w:w="0" w:type="dxa"/>
            <w:right w:w="30" w:type="dxa"/>
          </w:tblCellMar>
        </w:tblPrEx>
        <w:trPr>
          <w:trHeight w:val="810" w:hRule="atLeast"/>
        </w:trPr>
        <w:tc>
          <w:tcPr>
            <w:tcW w:w="2040" w:type="dxa"/>
            <w:tcBorders>
              <w:top w:val="single" w:color="auto" w:sz="6" w:space="0"/>
              <w:left w:val="single" w:color="auto" w:sz="6" w:space="0"/>
              <w:bottom w:val="single" w:color="auto" w:sz="6" w:space="0"/>
              <w:right w:val="single" w:color="auto" w:sz="6" w:space="0"/>
            </w:tcBorders>
            <w:noWrap/>
            <w:vAlign w:val="center"/>
          </w:tcPr>
          <w:p w14:paraId="275D9936">
            <w:pPr>
              <w:autoSpaceDE w:val="0"/>
              <w:autoSpaceDN w:val="0"/>
              <w:adjustRightInd w:val="0"/>
              <w:spacing w:line="560" w:lineRule="exact"/>
              <w:rPr>
                <w:rFonts w:ascii="黑体" w:eastAsia="黑体" w:cs="黑体"/>
                <w:b/>
                <w:bCs/>
                <w:color w:val="000000"/>
                <w:kern w:val="0"/>
                <w:sz w:val="24"/>
              </w:rPr>
            </w:pPr>
            <w:r>
              <w:rPr>
                <w:rFonts w:hint="eastAsia" w:ascii="黑体" w:eastAsia="黑体" w:cs="黑体"/>
                <w:b/>
                <w:bCs/>
                <w:color w:val="000000"/>
                <w:kern w:val="0"/>
                <w:sz w:val="24"/>
              </w:rPr>
              <w:t>出行方式</w:t>
            </w:r>
          </w:p>
        </w:tc>
        <w:tc>
          <w:tcPr>
            <w:tcW w:w="5080" w:type="dxa"/>
            <w:tcBorders>
              <w:top w:val="single" w:color="auto" w:sz="6" w:space="0"/>
              <w:left w:val="single" w:color="auto" w:sz="6" w:space="0"/>
              <w:bottom w:val="single" w:color="000000" w:sz="2" w:space="0"/>
              <w:right w:val="single" w:color="auto" w:sz="6" w:space="0"/>
            </w:tcBorders>
            <w:noWrap/>
            <w:vAlign w:val="center"/>
          </w:tcPr>
          <w:p w14:paraId="47BF466E">
            <w:pPr>
              <w:autoSpaceDE w:val="0"/>
              <w:autoSpaceDN w:val="0"/>
              <w:adjustRightInd w:val="0"/>
              <w:spacing w:line="560" w:lineRule="exact"/>
              <w:rPr>
                <w:rFonts w:ascii="黑体" w:eastAsia="黑体" w:cs="黑体"/>
                <w:color w:val="000000"/>
                <w:kern w:val="0"/>
                <w:sz w:val="24"/>
              </w:rPr>
            </w:pPr>
            <w:r>
              <w:rPr>
                <w:rFonts w:hint="eastAsia" w:ascii="黑体" w:eastAsia="黑体" w:cs="黑体"/>
                <w:color w:val="000000"/>
                <w:kern w:val="0"/>
                <w:sz w:val="24"/>
              </w:rPr>
              <w:t xml:space="preserve"> 飞机</w:t>
            </w:r>
            <w:r>
              <w:rPr>
                <w:rFonts w:hint="eastAsia" w:ascii="黑体" w:hAnsi="黑体" w:eastAsia="黑体" w:cs="黑体"/>
                <w:color w:val="000000"/>
                <w:kern w:val="0"/>
                <w:sz w:val="24"/>
              </w:rPr>
              <w:t>□火车□轮船□客车□公车□自行安排□</w:t>
            </w:r>
          </w:p>
        </w:tc>
        <w:tc>
          <w:tcPr>
            <w:tcW w:w="1760" w:type="dxa"/>
            <w:tcBorders>
              <w:top w:val="single" w:color="auto" w:sz="6" w:space="0"/>
              <w:left w:val="single" w:color="auto" w:sz="6" w:space="0"/>
              <w:bottom w:val="single" w:color="auto" w:sz="6" w:space="0"/>
              <w:right w:val="single" w:color="auto" w:sz="6" w:space="0"/>
            </w:tcBorders>
            <w:noWrap/>
            <w:vAlign w:val="center"/>
          </w:tcPr>
          <w:p w14:paraId="1D380816">
            <w:pPr>
              <w:autoSpaceDE w:val="0"/>
              <w:autoSpaceDN w:val="0"/>
              <w:adjustRightInd w:val="0"/>
              <w:spacing w:line="560" w:lineRule="exact"/>
              <w:rPr>
                <w:rFonts w:ascii="黑体" w:eastAsia="黑体" w:cs="黑体"/>
                <w:color w:val="000000"/>
                <w:kern w:val="0"/>
                <w:sz w:val="24"/>
              </w:rPr>
            </w:pPr>
            <w:r>
              <w:rPr>
                <w:rFonts w:hint="eastAsia" w:ascii="黑体" w:eastAsia="黑体" w:cs="黑体"/>
                <w:color w:val="000000"/>
                <w:kern w:val="0"/>
                <w:sz w:val="24"/>
              </w:rPr>
              <w:t>在相应方格划</w:t>
            </w:r>
            <w:r>
              <w:rPr>
                <w:rFonts w:hint="eastAsia" w:ascii="黑体" w:hAnsi="黑体" w:eastAsia="黑体" w:cs="黑体"/>
                <w:color w:val="000000"/>
                <w:kern w:val="0"/>
                <w:sz w:val="24"/>
              </w:rPr>
              <w:t>√</w:t>
            </w:r>
          </w:p>
        </w:tc>
      </w:tr>
      <w:tr w14:paraId="7DED2A42">
        <w:tblPrEx>
          <w:tblCellMar>
            <w:top w:w="0" w:type="dxa"/>
            <w:left w:w="30" w:type="dxa"/>
            <w:bottom w:w="0" w:type="dxa"/>
            <w:right w:w="30" w:type="dxa"/>
          </w:tblCellMar>
        </w:tblPrEx>
        <w:trPr>
          <w:trHeight w:val="810" w:hRule="atLeast"/>
        </w:trPr>
        <w:tc>
          <w:tcPr>
            <w:tcW w:w="2040" w:type="dxa"/>
            <w:tcBorders>
              <w:top w:val="single" w:color="auto" w:sz="6" w:space="0"/>
              <w:left w:val="single" w:color="auto" w:sz="6" w:space="0"/>
              <w:bottom w:val="single" w:color="auto" w:sz="6" w:space="0"/>
              <w:right w:val="single" w:color="auto" w:sz="6" w:space="0"/>
            </w:tcBorders>
            <w:noWrap/>
            <w:vAlign w:val="center"/>
          </w:tcPr>
          <w:p w14:paraId="30FF7F66">
            <w:pPr>
              <w:autoSpaceDE w:val="0"/>
              <w:autoSpaceDN w:val="0"/>
              <w:adjustRightInd w:val="0"/>
              <w:spacing w:line="560" w:lineRule="exact"/>
              <w:rPr>
                <w:rFonts w:ascii="黑体" w:eastAsia="黑体" w:cs="黑体"/>
                <w:b/>
                <w:bCs/>
                <w:color w:val="000000"/>
                <w:kern w:val="0"/>
                <w:sz w:val="24"/>
              </w:rPr>
            </w:pPr>
            <w:r>
              <w:rPr>
                <w:rFonts w:hint="eastAsia" w:ascii="黑体" w:eastAsia="黑体" w:cs="黑体"/>
                <w:b/>
                <w:bCs/>
                <w:color w:val="000000"/>
                <w:kern w:val="0"/>
                <w:sz w:val="24"/>
              </w:rPr>
              <w:t>公出时间</w:t>
            </w:r>
          </w:p>
        </w:tc>
        <w:tc>
          <w:tcPr>
            <w:tcW w:w="5080" w:type="dxa"/>
            <w:tcBorders>
              <w:top w:val="single" w:color="auto" w:sz="6" w:space="0"/>
              <w:left w:val="single" w:color="auto" w:sz="6" w:space="0"/>
              <w:bottom w:val="single" w:color="auto" w:sz="6" w:space="0"/>
              <w:right w:val="single" w:color="auto" w:sz="6" w:space="0"/>
            </w:tcBorders>
            <w:noWrap/>
            <w:vAlign w:val="center"/>
          </w:tcPr>
          <w:p w14:paraId="15DF0460">
            <w:pPr>
              <w:autoSpaceDE w:val="0"/>
              <w:autoSpaceDN w:val="0"/>
              <w:adjustRightInd w:val="0"/>
              <w:spacing w:line="560" w:lineRule="exact"/>
              <w:rPr>
                <w:rFonts w:ascii="黑体" w:eastAsia="黑体" w:cs="黑体"/>
                <w:color w:val="000000"/>
                <w:kern w:val="0"/>
                <w:sz w:val="24"/>
              </w:rPr>
            </w:pPr>
            <w:r>
              <w:rPr>
                <w:rFonts w:hint="eastAsia" w:ascii="黑体" w:eastAsia="黑体" w:cs="黑体"/>
                <w:color w:val="000000"/>
                <w:kern w:val="0"/>
                <w:sz w:val="24"/>
              </w:rPr>
              <w:t xml:space="preserve">    年  月  日至    年  月  日，共   天。</w:t>
            </w:r>
          </w:p>
        </w:tc>
        <w:tc>
          <w:tcPr>
            <w:tcW w:w="1760" w:type="dxa"/>
            <w:tcBorders>
              <w:top w:val="single" w:color="auto" w:sz="6" w:space="0"/>
              <w:left w:val="single" w:color="auto" w:sz="6" w:space="0"/>
              <w:bottom w:val="single" w:color="auto" w:sz="6" w:space="0"/>
              <w:right w:val="single" w:color="auto" w:sz="6" w:space="0"/>
            </w:tcBorders>
            <w:noWrap/>
            <w:vAlign w:val="center"/>
          </w:tcPr>
          <w:p w14:paraId="3EAA717D">
            <w:pPr>
              <w:autoSpaceDE w:val="0"/>
              <w:autoSpaceDN w:val="0"/>
              <w:adjustRightInd w:val="0"/>
              <w:spacing w:line="560" w:lineRule="exact"/>
              <w:rPr>
                <w:rFonts w:ascii="黑体" w:eastAsia="黑体" w:cs="黑体"/>
                <w:color w:val="000000"/>
                <w:kern w:val="0"/>
                <w:sz w:val="24"/>
              </w:rPr>
            </w:pPr>
          </w:p>
        </w:tc>
      </w:tr>
      <w:tr w14:paraId="34F9B928">
        <w:tblPrEx>
          <w:tblCellMar>
            <w:top w:w="0" w:type="dxa"/>
            <w:left w:w="30" w:type="dxa"/>
            <w:bottom w:w="0" w:type="dxa"/>
            <w:right w:w="30" w:type="dxa"/>
          </w:tblCellMar>
        </w:tblPrEx>
        <w:trPr>
          <w:trHeight w:val="810" w:hRule="atLeast"/>
        </w:trPr>
        <w:tc>
          <w:tcPr>
            <w:tcW w:w="2040" w:type="dxa"/>
            <w:vMerge w:val="restart"/>
            <w:tcBorders>
              <w:top w:val="single" w:color="auto" w:sz="6" w:space="0"/>
              <w:left w:val="single" w:color="auto" w:sz="6" w:space="0"/>
              <w:bottom w:val="single" w:color="auto" w:sz="6" w:space="0"/>
              <w:right w:val="single" w:color="auto" w:sz="6" w:space="0"/>
            </w:tcBorders>
            <w:noWrap/>
            <w:vAlign w:val="center"/>
          </w:tcPr>
          <w:p w14:paraId="600DF6CD">
            <w:pPr>
              <w:autoSpaceDE w:val="0"/>
              <w:autoSpaceDN w:val="0"/>
              <w:adjustRightInd w:val="0"/>
              <w:spacing w:line="560" w:lineRule="exact"/>
              <w:rPr>
                <w:rFonts w:ascii="黑体" w:eastAsia="黑体" w:cs="黑体"/>
                <w:b/>
                <w:bCs/>
                <w:color w:val="000000"/>
                <w:kern w:val="0"/>
                <w:sz w:val="24"/>
              </w:rPr>
            </w:pPr>
            <w:r>
              <w:rPr>
                <w:rFonts w:hint="eastAsia" w:ascii="黑体" w:eastAsia="黑体" w:cs="黑体"/>
                <w:b/>
                <w:bCs/>
                <w:color w:val="000000"/>
                <w:kern w:val="0"/>
                <w:sz w:val="24"/>
              </w:rPr>
              <w:t>预算差旅费金额</w:t>
            </w:r>
          </w:p>
        </w:tc>
        <w:tc>
          <w:tcPr>
            <w:tcW w:w="5080" w:type="dxa"/>
            <w:tcBorders>
              <w:top w:val="single" w:color="auto" w:sz="6" w:space="0"/>
              <w:left w:val="single" w:color="auto" w:sz="6" w:space="0"/>
              <w:bottom w:val="single" w:color="auto" w:sz="6" w:space="0"/>
              <w:right w:val="single" w:color="auto" w:sz="6" w:space="0"/>
            </w:tcBorders>
            <w:noWrap/>
            <w:vAlign w:val="center"/>
          </w:tcPr>
          <w:p w14:paraId="69FA0828">
            <w:pPr>
              <w:autoSpaceDE w:val="0"/>
              <w:autoSpaceDN w:val="0"/>
              <w:adjustRightInd w:val="0"/>
              <w:spacing w:line="560" w:lineRule="exact"/>
              <w:rPr>
                <w:rFonts w:ascii="黑体" w:eastAsia="黑体" w:cs="黑体"/>
                <w:color w:val="000000"/>
                <w:kern w:val="0"/>
                <w:sz w:val="24"/>
              </w:rPr>
            </w:pPr>
            <w:r>
              <w:rPr>
                <w:rFonts w:hint="eastAsia" w:ascii="黑体" w:eastAsia="黑体" w:cs="黑体"/>
                <w:color w:val="000000"/>
                <w:kern w:val="0"/>
                <w:sz w:val="24"/>
              </w:rPr>
              <w:t>城市间交通费：                          元</w:t>
            </w:r>
          </w:p>
        </w:tc>
        <w:tc>
          <w:tcPr>
            <w:tcW w:w="1760" w:type="dxa"/>
            <w:vMerge w:val="restart"/>
            <w:tcBorders>
              <w:top w:val="single" w:color="auto" w:sz="6" w:space="0"/>
              <w:left w:val="single" w:color="auto" w:sz="6" w:space="0"/>
              <w:right w:val="single" w:color="auto" w:sz="6" w:space="0"/>
            </w:tcBorders>
            <w:noWrap/>
            <w:vAlign w:val="center"/>
          </w:tcPr>
          <w:p w14:paraId="243796FE">
            <w:pPr>
              <w:autoSpaceDE w:val="0"/>
              <w:autoSpaceDN w:val="0"/>
              <w:adjustRightInd w:val="0"/>
              <w:spacing w:line="560" w:lineRule="exact"/>
              <w:rPr>
                <w:rFonts w:ascii="黑体" w:eastAsia="黑体" w:cs="黑体"/>
                <w:color w:val="000000"/>
                <w:kern w:val="0"/>
                <w:sz w:val="24"/>
              </w:rPr>
            </w:pPr>
            <w:r>
              <w:rPr>
                <w:rFonts w:hint="eastAsia" w:ascii="黑体" w:eastAsia="黑体" w:cs="黑体"/>
                <w:color w:val="000000"/>
                <w:kern w:val="0"/>
                <w:sz w:val="24"/>
              </w:rPr>
              <w:t>合计：       元</w:t>
            </w:r>
          </w:p>
        </w:tc>
      </w:tr>
      <w:tr w14:paraId="01C89FA9">
        <w:tblPrEx>
          <w:tblCellMar>
            <w:top w:w="0" w:type="dxa"/>
            <w:left w:w="30" w:type="dxa"/>
            <w:bottom w:w="0" w:type="dxa"/>
            <w:right w:w="30" w:type="dxa"/>
          </w:tblCellMar>
        </w:tblPrEx>
        <w:trPr>
          <w:trHeight w:val="810" w:hRule="atLeast"/>
        </w:trPr>
        <w:tc>
          <w:tcPr>
            <w:tcW w:w="2040" w:type="dxa"/>
            <w:vMerge w:val="continue"/>
            <w:tcBorders>
              <w:top w:val="single" w:color="auto" w:sz="6" w:space="0"/>
              <w:left w:val="single" w:color="auto" w:sz="6" w:space="0"/>
              <w:bottom w:val="single" w:color="auto" w:sz="6" w:space="0"/>
              <w:right w:val="single" w:color="auto" w:sz="6" w:space="0"/>
            </w:tcBorders>
            <w:noWrap/>
            <w:vAlign w:val="center"/>
          </w:tcPr>
          <w:p w14:paraId="35629B52">
            <w:pPr>
              <w:autoSpaceDE w:val="0"/>
              <w:autoSpaceDN w:val="0"/>
              <w:adjustRightInd w:val="0"/>
              <w:spacing w:line="560" w:lineRule="exact"/>
              <w:rPr>
                <w:rFonts w:ascii="黑体" w:eastAsia="黑体" w:cs="黑体"/>
                <w:b/>
                <w:bCs/>
                <w:color w:val="000000"/>
                <w:kern w:val="0"/>
                <w:sz w:val="24"/>
              </w:rPr>
            </w:pPr>
          </w:p>
        </w:tc>
        <w:tc>
          <w:tcPr>
            <w:tcW w:w="5080" w:type="dxa"/>
            <w:tcBorders>
              <w:top w:val="single" w:color="auto" w:sz="6" w:space="0"/>
              <w:left w:val="single" w:color="auto" w:sz="6" w:space="0"/>
              <w:bottom w:val="single" w:color="auto" w:sz="6" w:space="0"/>
              <w:right w:val="single" w:color="auto" w:sz="6" w:space="0"/>
            </w:tcBorders>
            <w:noWrap/>
            <w:vAlign w:val="center"/>
          </w:tcPr>
          <w:p w14:paraId="3C6CBFB4">
            <w:pPr>
              <w:autoSpaceDE w:val="0"/>
              <w:autoSpaceDN w:val="0"/>
              <w:adjustRightInd w:val="0"/>
              <w:spacing w:line="560" w:lineRule="exact"/>
              <w:rPr>
                <w:rFonts w:ascii="黑体" w:eastAsia="黑体" w:cs="黑体"/>
                <w:color w:val="000000"/>
                <w:kern w:val="0"/>
                <w:sz w:val="24"/>
              </w:rPr>
            </w:pPr>
            <w:r>
              <w:rPr>
                <w:rFonts w:hint="eastAsia" w:ascii="黑体" w:eastAsia="黑体" w:cs="黑体"/>
                <w:color w:val="000000"/>
                <w:kern w:val="0"/>
                <w:sz w:val="24"/>
              </w:rPr>
              <w:t>住宿费：      人</w:t>
            </w:r>
            <w:r>
              <w:rPr>
                <w:rFonts w:hint="eastAsia" w:ascii="黑体" w:hAnsi="黑体" w:eastAsia="黑体" w:cs="黑体"/>
                <w:color w:val="000000"/>
                <w:kern w:val="0"/>
                <w:sz w:val="24"/>
              </w:rPr>
              <w:t xml:space="preserve">× 天× 元       小计： 元 </w:t>
            </w:r>
          </w:p>
        </w:tc>
        <w:tc>
          <w:tcPr>
            <w:tcW w:w="1760" w:type="dxa"/>
            <w:vMerge w:val="continue"/>
            <w:tcBorders>
              <w:left w:val="single" w:color="auto" w:sz="6" w:space="0"/>
              <w:right w:val="single" w:color="auto" w:sz="6" w:space="0"/>
            </w:tcBorders>
            <w:noWrap/>
            <w:vAlign w:val="center"/>
          </w:tcPr>
          <w:p w14:paraId="058511AF">
            <w:pPr>
              <w:autoSpaceDE w:val="0"/>
              <w:autoSpaceDN w:val="0"/>
              <w:adjustRightInd w:val="0"/>
              <w:spacing w:line="560" w:lineRule="exact"/>
              <w:rPr>
                <w:rFonts w:ascii="黑体" w:eastAsia="黑体" w:cs="黑体"/>
                <w:color w:val="000000"/>
                <w:kern w:val="0"/>
                <w:sz w:val="24"/>
              </w:rPr>
            </w:pPr>
          </w:p>
        </w:tc>
      </w:tr>
      <w:tr w14:paraId="218D9517">
        <w:tblPrEx>
          <w:tblCellMar>
            <w:top w:w="0" w:type="dxa"/>
            <w:left w:w="30" w:type="dxa"/>
            <w:bottom w:w="0" w:type="dxa"/>
            <w:right w:w="30" w:type="dxa"/>
          </w:tblCellMar>
        </w:tblPrEx>
        <w:trPr>
          <w:trHeight w:val="810" w:hRule="atLeast"/>
        </w:trPr>
        <w:tc>
          <w:tcPr>
            <w:tcW w:w="2040" w:type="dxa"/>
            <w:vMerge w:val="continue"/>
            <w:tcBorders>
              <w:top w:val="single" w:color="auto" w:sz="6" w:space="0"/>
              <w:left w:val="single" w:color="auto" w:sz="6" w:space="0"/>
              <w:bottom w:val="single" w:color="auto" w:sz="6" w:space="0"/>
              <w:right w:val="single" w:color="auto" w:sz="6" w:space="0"/>
            </w:tcBorders>
            <w:noWrap/>
            <w:vAlign w:val="center"/>
          </w:tcPr>
          <w:p w14:paraId="1F2E45B8">
            <w:pPr>
              <w:autoSpaceDE w:val="0"/>
              <w:autoSpaceDN w:val="0"/>
              <w:adjustRightInd w:val="0"/>
              <w:spacing w:line="560" w:lineRule="exact"/>
              <w:rPr>
                <w:rFonts w:ascii="黑体" w:eastAsia="黑体" w:cs="黑体"/>
                <w:b/>
                <w:bCs/>
                <w:color w:val="000000"/>
                <w:kern w:val="0"/>
                <w:sz w:val="24"/>
              </w:rPr>
            </w:pPr>
          </w:p>
        </w:tc>
        <w:tc>
          <w:tcPr>
            <w:tcW w:w="5080" w:type="dxa"/>
            <w:tcBorders>
              <w:top w:val="single" w:color="auto" w:sz="6" w:space="0"/>
              <w:left w:val="single" w:color="auto" w:sz="6" w:space="0"/>
              <w:bottom w:val="single" w:color="auto" w:sz="6" w:space="0"/>
              <w:right w:val="single" w:color="auto" w:sz="6" w:space="0"/>
            </w:tcBorders>
            <w:noWrap/>
            <w:vAlign w:val="center"/>
          </w:tcPr>
          <w:p w14:paraId="64F071D8">
            <w:pPr>
              <w:autoSpaceDE w:val="0"/>
              <w:autoSpaceDN w:val="0"/>
              <w:adjustRightInd w:val="0"/>
              <w:spacing w:line="560" w:lineRule="exact"/>
              <w:rPr>
                <w:rFonts w:ascii="黑体" w:eastAsia="黑体" w:cs="黑体"/>
                <w:color w:val="000000"/>
                <w:kern w:val="0"/>
                <w:sz w:val="24"/>
              </w:rPr>
            </w:pPr>
            <w:r>
              <w:rPr>
                <w:rFonts w:hint="eastAsia" w:ascii="黑体" w:eastAsia="黑体" w:cs="黑体"/>
                <w:color w:val="000000"/>
                <w:kern w:val="0"/>
                <w:sz w:val="24"/>
              </w:rPr>
              <w:t>伙食补助费：  人</w:t>
            </w:r>
            <w:r>
              <w:rPr>
                <w:rFonts w:hint="eastAsia" w:ascii="黑体" w:hAnsi="黑体" w:eastAsia="黑体" w:cs="黑体"/>
                <w:color w:val="000000"/>
                <w:kern w:val="0"/>
                <w:sz w:val="24"/>
              </w:rPr>
              <w:t>× 天×100 元    小计： 元</w:t>
            </w:r>
          </w:p>
        </w:tc>
        <w:tc>
          <w:tcPr>
            <w:tcW w:w="1760" w:type="dxa"/>
            <w:vMerge w:val="continue"/>
            <w:tcBorders>
              <w:left w:val="single" w:color="auto" w:sz="6" w:space="0"/>
              <w:right w:val="single" w:color="auto" w:sz="6" w:space="0"/>
            </w:tcBorders>
            <w:noWrap/>
            <w:vAlign w:val="center"/>
          </w:tcPr>
          <w:p w14:paraId="145571DA">
            <w:pPr>
              <w:autoSpaceDE w:val="0"/>
              <w:autoSpaceDN w:val="0"/>
              <w:adjustRightInd w:val="0"/>
              <w:spacing w:line="560" w:lineRule="exact"/>
              <w:jc w:val="center"/>
              <w:rPr>
                <w:rFonts w:ascii="黑体" w:eastAsia="黑体" w:cs="黑体"/>
                <w:color w:val="000000"/>
                <w:kern w:val="0"/>
                <w:sz w:val="24"/>
              </w:rPr>
            </w:pPr>
          </w:p>
        </w:tc>
      </w:tr>
      <w:tr w14:paraId="1F59B4BB">
        <w:tblPrEx>
          <w:tblCellMar>
            <w:top w:w="0" w:type="dxa"/>
            <w:left w:w="30" w:type="dxa"/>
            <w:bottom w:w="0" w:type="dxa"/>
            <w:right w:w="30" w:type="dxa"/>
          </w:tblCellMar>
        </w:tblPrEx>
        <w:trPr>
          <w:trHeight w:val="810" w:hRule="atLeast"/>
        </w:trPr>
        <w:tc>
          <w:tcPr>
            <w:tcW w:w="2040" w:type="dxa"/>
            <w:vMerge w:val="continue"/>
            <w:tcBorders>
              <w:top w:val="single" w:color="auto" w:sz="6" w:space="0"/>
              <w:left w:val="single" w:color="auto" w:sz="6" w:space="0"/>
              <w:bottom w:val="single" w:color="auto" w:sz="6" w:space="0"/>
              <w:right w:val="single" w:color="auto" w:sz="6" w:space="0"/>
            </w:tcBorders>
            <w:noWrap/>
            <w:vAlign w:val="center"/>
          </w:tcPr>
          <w:p w14:paraId="2B6C4FA8">
            <w:pPr>
              <w:autoSpaceDE w:val="0"/>
              <w:autoSpaceDN w:val="0"/>
              <w:adjustRightInd w:val="0"/>
              <w:spacing w:line="560" w:lineRule="exact"/>
              <w:rPr>
                <w:rFonts w:ascii="黑体" w:eastAsia="黑体" w:cs="黑体"/>
                <w:b/>
                <w:bCs/>
                <w:color w:val="000000"/>
                <w:kern w:val="0"/>
                <w:sz w:val="24"/>
              </w:rPr>
            </w:pPr>
          </w:p>
        </w:tc>
        <w:tc>
          <w:tcPr>
            <w:tcW w:w="5080" w:type="dxa"/>
            <w:tcBorders>
              <w:top w:val="single" w:color="auto" w:sz="6" w:space="0"/>
              <w:left w:val="single" w:color="auto" w:sz="6" w:space="0"/>
              <w:bottom w:val="single" w:color="auto" w:sz="6" w:space="0"/>
              <w:right w:val="single" w:color="auto" w:sz="6" w:space="0"/>
            </w:tcBorders>
            <w:noWrap/>
            <w:vAlign w:val="center"/>
          </w:tcPr>
          <w:p w14:paraId="3D3831FB">
            <w:pPr>
              <w:autoSpaceDE w:val="0"/>
              <w:autoSpaceDN w:val="0"/>
              <w:adjustRightInd w:val="0"/>
              <w:spacing w:line="560" w:lineRule="exact"/>
              <w:rPr>
                <w:rFonts w:ascii="黑体" w:eastAsia="黑体" w:cs="黑体"/>
                <w:color w:val="000000"/>
                <w:kern w:val="0"/>
                <w:sz w:val="24"/>
              </w:rPr>
            </w:pPr>
            <w:r>
              <w:rPr>
                <w:rFonts w:hint="eastAsia" w:ascii="黑体" w:eastAsia="黑体" w:cs="黑体"/>
                <w:color w:val="000000"/>
                <w:kern w:val="0"/>
                <w:sz w:val="24"/>
              </w:rPr>
              <w:t>市内交通补助费：人</w:t>
            </w:r>
            <w:r>
              <w:rPr>
                <w:rFonts w:hint="eastAsia" w:ascii="黑体" w:hAnsi="黑体" w:eastAsia="黑体" w:cs="黑体"/>
                <w:color w:val="000000"/>
                <w:kern w:val="0"/>
                <w:sz w:val="24"/>
              </w:rPr>
              <w:t>× 天×8 0 元  小计： 元</w:t>
            </w:r>
          </w:p>
        </w:tc>
        <w:tc>
          <w:tcPr>
            <w:tcW w:w="1760" w:type="dxa"/>
            <w:vMerge w:val="continue"/>
            <w:tcBorders>
              <w:left w:val="single" w:color="auto" w:sz="6" w:space="0"/>
              <w:bottom w:val="single" w:color="auto" w:sz="6" w:space="0"/>
              <w:right w:val="single" w:color="auto" w:sz="6" w:space="0"/>
            </w:tcBorders>
            <w:noWrap/>
            <w:vAlign w:val="center"/>
          </w:tcPr>
          <w:p w14:paraId="544F2A18">
            <w:pPr>
              <w:autoSpaceDE w:val="0"/>
              <w:autoSpaceDN w:val="0"/>
              <w:adjustRightInd w:val="0"/>
              <w:spacing w:line="560" w:lineRule="exact"/>
              <w:rPr>
                <w:rFonts w:ascii="黑体" w:eastAsia="黑体" w:cs="黑体"/>
                <w:color w:val="000000"/>
                <w:kern w:val="0"/>
                <w:sz w:val="24"/>
              </w:rPr>
            </w:pPr>
          </w:p>
        </w:tc>
      </w:tr>
      <w:tr w14:paraId="5EA0A3B1">
        <w:tblPrEx>
          <w:tblCellMar>
            <w:top w:w="0" w:type="dxa"/>
            <w:left w:w="30" w:type="dxa"/>
            <w:bottom w:w="0" w:type="dxa"/>
            <w:right w:w="30" w:type="dxa"/>
          </w:tblCellMar>
        </w:tblPrEx>
        <w:trPr>
          <w:trHeight w:val="793" w:hRule="atLeast"/>
        </w:trPr>
        <w:tc>
          <w:tcPr>
            <w:tcW w:w="8880" w:type="dxa"/>
            <w:gridSpan w:val="3"/>
            <w:tcBorders>
              <w:top w:val="single" w:color="auto" w:sz="6" w:space="0"/>
              <w:left w:val="nil"/>
              <w:bottom w:val="nil"/>
              <w:right w:val="nil"/>
            </w:tcBorders>
            <w:noWrap/>
            <w:vAlign w:val="center"/>
          </w:tcPr>
          <w:p w14:paraId="18541584">
            <w:pPr>
              <w:autoSpaceDE w:val="0"/>
              <w:autoSpaceDN w:val="0"/>
              <w:adjustRightInd w:val="0"/>
              <w:spacing w:line="560" w:lineRule="exact"/>
              <w:rPr>
                <w:rFonts w:ascii="黑体" w:eastAsia="黑体" w:cs="黑体"/>
                <w:b/>
                <w:bCs/>
                <w:color w:val="000000"/>
                <w:kern w:val="0"/>
                <w:sz w:val="24"/>
              </w:rPr>
            </w:pPr>
            <w:r>
              <w:rPr>
                <w:rFonts w:hint="eastAsia" w:ascii="黑体" w:eastAsia="黑体" w:cs="黑体"/>
                <w:b/>
                <w:bCs/>
                <w:color w:val="000000"/>
                <w:kern w:val="0"/>
                <w:sz w:val="24"/>
              </w:rPr>
              <w:t xml:space="preserve">经手人：           公出人所在科室负责人：            办公室主任：                                                          </w:t>
            </w:r>
          </w:p>
        </w:tc>
      </w:tr>
      <w:tr w14:paraId="02B85A0B">
        <w:tblPrEx>
          <w:tblCellMar>
            <w:top w:w="0" w:type="dxa"/>
            <w:left w:w="30" w:type="dxa"/>
            <w:bottom w:w="0" w:type="dxa"/>
            <w:right w:w="30" w:type="dxa"/>
          </w:tblCellMar>
        </w:tblPrEx>
        <w:trPr>
          <w:trHeight w:val="834" w:hRule="atLeast"/>
        </w:trPr>
        <w:tc>
          <w:tcPr>
            <w:tcW w:w="8880" w:type="dxa"/>
            <w:gridSpan w:val="3"/>
            <w:tcBorders>
              <w:top w:val="nil"/>
              <w:left w:val="nil"/>
              <w:bottom w:val="nil"/>
              <w:right w:val="nil"/>
            </w:tcBorders>
            <w:noWrap/>
            <w:vAlign w:val="center"/>
          </w:tcPr>
          <w:p w14:paraId="0DE1FCF1">
            <w:pPr>
              <w:autoSpaceDE w:val="0"/>
              <w:autoSpaceDN w:val="0"/>
              <w:adjustRightInd w:val="0"/>
              <w:spacing w:line="560" w:lineRule="exact"/>
              <w:rPr>
                <w:rFonts w:ascii="黑体" w:eastAsia="黑体" w:cs="黑体"/>
                <w:b/>
                <w:bCs/>
                <w:color w:val="000000"/>
                <w:kern w:val="0"/>
                <w:sz w:val="24"/>
              </w:rPr>
            </w:pPr>
            <w:r>
              <w:rPr>
                <w:rFonts w:hint="eastAsia" w:ascii="黑体" w:eastAsia="黑体" w:cs="黑体"/>
                <w:b/>
                <w:bCs/>
                <w:color w:val="000000"/>
                <w:kern w:val="0"/>
                <w:sz w:val="24"/>
              </w:rPr>
              <w:t xml:space="preserve">分管财务领导：      分管科室领导：      分管政治部领导：     局长：           </w:t>
            </w:r>
          </w:p>
        </w:tc>
      </w:tr>
    </w:tbl>
    <w:p w14:paraId="72CF8A0A">
      <w:pPr>
        <w:spacing w:line="560" w:lineRule="exact"/>
      </w:pPr>
    </w:p>
    <w:p w14:paraId="44418937">
      <w:pPr>
        <w:spacing w:line="560" w:lineRule="exact"/>
        <w:rPr>
          <w:sz w:val="28"/>
        </w:rPr>
      </w:pPr>
      <w:r>
        <w:rPr>
          <w:rFonts w:hint="eastAsia"/>
        </w:rPr>
        <w:t xml:space="preserve"> </w:t>
      </w:r>
      <w:r>
        <w:rPr>
          <w:rFonts w:hint="eastAsia"/>
          <w:sz w:val="28"/>
        </w:rPr>
        <w:t>注：1、此审批单为报销差旅费的必备附件。</w:t>
      </w:r>
    </w:p>
    <w:p w14:paraId="340DCF00">
      <w:pPr>
        <w:spacing w:line="560" w:lineRule="exact"/>
        <w:rPr>
          <w:rFonts w:ascii="方正小标宋简体" w:eastAsia="方正小标宋简体"/>
          <w:sz w:val="28"/>
          <w:szCs w:val="44"/>
        </w:rPr>
      </w:pPr>
      <w:r>
        <w:rPr>
          <w:rFonts w:hint="eastAsia"/>
          <w:sz w:val="28"/>
        </w:rPr>
        <w:t xml:space="preserve">     2、五千元以上预算支出上报局长签批。</w:t>
      </w:r>
    </w:p>
    <w:p w14:paraId="2507F375">
      <w:pPr>
        <w:spacing w:line="560" w:lineRule="exact"/>
        <w:rPr>
          <w:rFonts w:ascii="方正小标宋简体" w:eastAsia="方正小标宋简体"/>
          <w:sz w:val="44"/>
          <w:szCs w:val="44"/>
        </w:rPr>
      </w:pPr>
    </w:p>
    <w:p w14:paraId="3AF17CEE">
      <w:pPr>
        <w:rPr>
          <w:rFonts w:ascii="方正小标宋简体" w:eastAsia="方正小标宋简体"/>
          <w:sz w:val="44"/>
          <w:szCs w:val="44"/>
        </w:rPr>
      </w:pPr>
      <w:r>
        <w:rPr>
          <w:rFonts w:hint="eastAsia" w:ascii="方正小标宋简体" w:eastAsia="方正小标宋简体"/>
          <w:sz w:val="44"/>
          <w:szCs w:val="44"/>
        </w:rPr>
        <w:br w:type="page"/>
      </w:r>
    </w:p>
    <w:p w14:paraId="52974CE6">
      <w:pPr>
        <w:spacing w:line="560" w:lineRule="exact"/>
        <w:jc w:val="center"/>
        <w:rPr>
          <w:sz w:val="32"/>
          <w:u w:val="single"/>
        </w:rPr>
      </w:pPr>
      <w:r>
        <w:rPr>
          <w:rFonts w:hint="eastAsia"/>
          <w:b/>
          <w:bCs/>
          <w:sz w:val="32"/>
          <w:u w:val="single"/>
        </w:rPr>
        <w:t xml:space="preserve"> 公出差旅费报销单 </w:t>
      </w:r>
    </w:p>
    <w:p w14:paraId="42F9B3D8">
      <w:pPr>
        <w:spacing w:line="560" w:lineRule="exact"/>
      </w:pPr>
      <w:r>
        <w:rPr>
          <w:rFonts w:hint="eastAsia"/>
        </w:rPr>
        <w:t>所属科（室）：       报销时间：   年   月   日      附单据  张           单位：元</w:t>
      </w:r>
    </w:p>
    <w:tbl>
      <w:tblPr>
        <w:tblStyle w:val="9"/>
        <w:tblW w:w="0" w:type="auto"/>
        <w:tblInd w:w="-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
        <w:gridCol w:w="289"/>
        <w:gridCol w:w="307"/>
        <w:gridCol w:w="307"/>
        <w:gridCol w:w="826"/>
        <w:gridCol w:w="800"/>
        <w:gridCol w:w="600"/>
        <w:gridCol w:w="400"/>
        <w:gridCol w:w="186"/>
        <w:gridCol w:w="634"/>
        <w:gridCol w:w="640"/>
        <w:gridCol w:w="580"/>
        <w:gridCol w:w="620"/>
        <w:gridCol w:w="600"/>
        <w:gridCol w:w="640"/>
        <w:gridCol w:w="620"/>
        <w:gridCol w:w="580"/>
        <w:gridCol w:w="600"/>
      </w:tblGrid>
      <w:tr w14:paraId="1CEA9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174" w:type="dxa"/>
            <w:gridSpan w:val="4"/>
            <w:noWrap/>
            <w:vAlign w:val="center"/>
          </w:tcPr>
          <w:p w14:paraId="71EA2A1D">
            <w:pPr>
              <w:spacing w:line="560" w:lineRule="exact"/>
              <w:jc w:val="center"/>
            </w:pPr>
            <w:r>
              <w:rPr>
                <w:rFonts w:hint="eastAsia"/>
              </w:rPr>
              <w:t>姓名</w:t>
            </w:r>
          </w:p>
        </w:tc>
        <w:tc>
          <w:tcPr>
            <w:tcW w:w="1626" w:type="dxa"/>
            <w:gridSpan w:val="2"/>
            <w:noWrap/>
            <w:vAlign w:val="center"/>
          </w:tcPr>
          <w:p w14:paraId="121CB4CD">
            <w:pPr>
              <w:spacing w:line="560" w:lineRule="exact"/>
              <w:jc w:val="center"/>
            </w:pPr>
          </w:p>
        </w:tc>
        <w:tc>
          <w:tcPr>
            <w:tcW w:w="1000" w:type="dxa"/>
            <w:gridSpan w:val="2"/>
            <w:noWrap/>
            <w:vAlign w:val="center"/>
          </w:tcPr>
          <w:p w14:paraId="37F548CF">
            <w:pPr>
              <w:spacing w:line="560" w:lineRule="exact"/>
              <w:jc w:val="center"/>
              <w:rPr>
                <w:rFonts w:eastAsia="宋体"/>
              </w:rPr>
            </w:pPr>
            <w:r>
              <w:rPr>
                <w:rFonts w:hint="eastAsia"/>
                <w:sz w:val="18"/>
              </w:rPr>
              <w:t>出差事由</w:t>
            </w:r>
          </w:p>
        </w:tc>
        <w:tc>
          <w:tcPr>
            <w:tcW w:w="820" w:type="dxa"/>
            <w:gridSpan w:val="2"/>
            <w:noWrap/>
            <w:vAlign w:val="center"/>
          </w:tcPr>
          <w:p w14:paraId="1E2B9E4E">
            <w:pPr>
              <w:spacing w:line="560" w:lineRule="exact"/>
              <w:jc w:val="center"/>
            </w:pPr>
          </w:p>
        </w:tc>
        <w:tc>
          <w:tcPr>
            <w:tcW w:w="4880" w:type="dxa"/>
            <w:gridSpan w:val="8"/>
            <w:noWrap/>
            <w:vAlign w:val="center"/>
          </w:tcPr>
          <w:p w14:paraId="710339BC">
            <w:pPr>
              <w:spacing w:line="560" w:lineRule="exact"/>
              <w:rPr>
                <w:rFonts w:eastAsia="宋体"/>
              </w:rPr>
            </w:pPr>
            <w:r>
              <w:rPr>
                <w:rFonts w:hint="eastAsia"/>
              </w:rPr>
              <w:t>出差日期： 年  月  日至  年  月  日  共   天</w:t>
            </w:r>
          </w:p>
        </w:tc>
      </w:tr>
      <w:tr w14:paraId="678DC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174" w:type="dxa"/>
            <w:gridSpan w:val="4"/>
            <w:noWrap/>
            <w:vAlign w:val="center"/>
          </w:tcPr>
          <w:p w14:paraId="3C706DEF">
            <w:pPr>
              <w:spacing w:line="560" w:lineRule="exact"/>
              <w:jc w:val="center"/>
              <w:rPr>
                <w:rFonts w:eastAsia="宋体"/>
                <w:sz w:val="18"/>
              </w:rPr>
            </w:pPr>
            <w:r>
              <w:rPr>
                <w:rFonts w:hint="eastAsia"/>
                <w:sz w:val="18"/>
              </w:rPr>
              <w:t>起讫</w:t>
            </w:r>
          </w:p>
        </w:tc>
        <w:tc>
          <w:tcPr>
            <w:tcW w:w="826" w:type="dxa"/>
            <w:noWrap/>
            <w:vAlign w:val="center"/>
          </w:tcPr>
          <w:p w14:paraId="782F3517">
            <w:pPr>
              <w:spacing w:line="560" w:lineRule="exact"/>
              <w:jc w:val="center"/>
              <w:rPr>
                <w:rFonts w:eastAsia="宋体"/>
                <w:sz w:val="18"/>
              </w:rPr>
            </w:pPr>
            <w:r>
              <w:rPr>
                <w:rFonts w:hint="eastAsia"/>
                <w:sz w:val="18"/>
              </w:rPr>
              <w:t>出发地</w:t>
            </w:r>
          </w:p>
        </w:tc>
        <w:tc>
          <w:tcPr>
            <w:tcW w:w="800" w:type="dxa"/>
            <w:noWrap/>
            <w:vAlign w:val="center"/>
          </w:tcPr>
          <w:p w14:paraId="69DE89EC">
            <w:pPr>
              <w:spacing w:line="560" w:lineRule="exact"/>
              <w:jc w:val="center"/>
              <w:rPr>
                <w:rFonts w:eastAsia="宋体"/>
                <w:sz w:val="18"/>
              </w:rPr>
            </w:pPr>
            <w:r>
              <w:rPr>
                <w:rFonts w:hint="eastAsia"/>
                <w:sz w:val="18"/>
              </w:rPr>
              <w:t>达到地</w:t>
            </w:r>
          </w:p>
        </w:tc>
        <w:tc>
          <w:tcPr>
            <w:tcW w:w="1820" w:type="dxa"/>
            <w:gridSpan w:val="4"/>
            <w:noWrap/>
            <w:vAlign w:val="center"/>
          </w:tcPr>
          <w:p w14:paraId="6D5800A8">
            <w:pPr>
              <w:spacing w:line="560" w:lineRule="exact"/>
              <w:jc w:val="center"/>
              <w:rPr>
                <w:rFonts w:eastAsia="宋体"/>
                <w:sz w:val="18"/>
              </w:rPr>
            </w:pPr>
            <w:r>
              <w:rPr>
                <w:rFonts w:hint="eastAsia"/>
                <w:sz w:val="18"/>
              </w:rPr>
              <w:t>城市间交通费</w:t>
            </w:r>
          </w:p>
        </w:tc>
        <w:tc>
          <w:tcPr>
            <w:tcW w:w="640" w:type="dxa"/>
            <w:noWrap/>
            <w:vAlign w:val="center"/>
          </w:tcPr>
          <w:p w14:paraId="65B12A9F">
            <w:pPr>
              <w:spacing w:line="560" w:lineRule="exact"/>
              <w:jc w:val="center"/>
              <w:rPr>
                <w:rFonts w:eastAsia="宋体"/>
                <w:sz w:val="18"/>
              </w:rPr>
            </w:pPr>
            <w:r>
              <w:rPr>
                <w:rFonts w:hint="eastAsia"/>
                <w:sz w:val="18"/>
              </w:rPr>
              <w:t>宿费</w:t>
            </w:r>
          </w:p>
        </w:tc>
        <w:tc>
          <w:tcPr>
            <w:tcW w:w="1800" w:type="dxa"/>
            <w:gridSpan w:val="3"/>
            <w:noWrap/>
            <w:vAlign w:val="center"/>
          </w:tcPr>
          <w:p w14:paraId="4DC518B3">
            <w:pPr>
              <w:spacing w:line="560" w:lineRule="exact"/>
              <w:jc w:val="center"/>
              <w:rPr>
                <w:sz w:val="18"/>
              </w:rPr>
            </w:pPr>
            <w:r>
              <w:rPr>
                <w:rFonts w:hint="eastAsia"/>
                <w:sz w:val="18"/>
              </w:rPr>
              <w:t>市内交通费补助</w:t>
            </w:r>
          </w:p>
          <w:p w14:paraId="7634CD5D">
            <w:pPr>
              <w:spacing w:line="560" w:lineRule="exact"/>
              <w:jc w:val="center"/>
              <w:rPr>
                <w:rFonts w:eastAsia="宋体"/>
                <w:sz w:val="18"/>
              </w:rPr>
            </w:pPr>
            <w:r>
              <w:rPr>
                <w:rFonts w:hint="eastAsia"/>
                <w:sz w:val="18"/>
              </w:rPr>
              <w:t>（80元/人、天）</w:t>
            </w:r>
          </w:p>
        </w:tc>
        <w:tc>
          <w:tcPr>
            <w:tcW w:w="1840" w:type="dxa"/>
            <w:gridSpan w:val="3"/>
            <w:noWrap/>
            <w:vAlign w:val="center"/>
          </w:tcPr>
          <w:p w14:paraId="1C31299E">
            <w:pPr>
              <w:spacing w:line="560" w:lineRule="exact"/>
              <w:jc w:val="center"/>
              <w:rPr>
                <w:sz w:val="18"/>
              </w:rPr>
            </w:pPr>
            <w:r>
              <w:rPr>
                <w:rFonts w:hint="eastAsia"/>
                <w:sz w:val="18"/>
              </w:rPr>
              <w:t>伙食费补助</w:t>
            </w:r>
          </w:p>
          <w:p w14:paraId="6CF3B3BF">
            <w:pPr>
              <w:spacing w:line="560" w:lineRule="exact"/>
              <w:jc w:val="center"/>
              <w:rPr>
                <w:rFonts w:eastAsia="宋体"/>
                <w:sz w:val="18"/>
              </w:rPr>
            </w:pPr>
            <w:r>
              <w:rPr>
                <w:rFonts w:hint="eastAsia"/>
                <w:sz w:val="18"/>
              </w:rPr>
              <w:t>（100元/人、天）</w:t>
            </w:r>
          </w:p>
        </w:tc>
        <w:tc>
          <w:tcPr>
            <w:tcW w:w="600" w:type="dxa"/>
            <w:noWrap/>
            <w:vAlign w:val="center"/>
          </w:tcPr>
          <w:p w14:paraId="66053804">
            <w:pPr>
              <w:spacing w:line="560" w:lineRule="exact"/>
              <w:jc w:val="center"/>
              <w:rPr>
                <w:rFonts w:eastAsia="宋体"/>
                <w:sz w:val="18"/>
              </w:rPr>
            </w:pPr>
            <w:r>
              <w:rPr>
                <w:rFonts w:hint="eastAsia"/>
                <w:sz w:val="18"/>
              </w:rPr>
              <w:t>合计</w:t>
            </w:r>
          </w:p>
        </w:tc>
      </w:tr>
      <w:tr w14:paraId="10CF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71" w:type="dxa"/>
            <w:noWrap/>
            <w:vAlign w:val="center"/>
          </w:tcPr>
          <w:p w14:paraId="3AA3A841">
            <w:pPr>
              <w:spacing w:line="560" w:lineRule="exact"/>
              <w:jc w:val="center"/>
              <w:rPr>
                <w:rFonts w:eastAsia="宋体"/>
                <w:sz w:val="18"/>
              </w:rPr>
            </w:pPr>
            <w:r>
              <w:rPr>
                <w:rFonts w:hint="eastAsia"/>
                <w:sz w:val="18"/>
              </w:rPr>
              <w:t>月</w:t>
            </w:r>
          </w:p>
        </w:tc>
        <w:tc>
          <w:tcPr>
            <w:tcW w:w="289" w:type="dxa"/>
            <w:noWrap/>
            <w:vAlign w:val="center"/>
          </w:tcPr>
          <w:p w14:paraId="05B4B9C4">
            <w:pPr>
              <w:spacing w:line="560" w:lineRule="exact"/>
              <w:jc w:val="center"/>
              <w:rPr>
                <w:rFonts w:eastAsia="宋体"/>
                <w:sz w:val="18"/>
              </w:rPr>
            </w:pPr>
            <w:r>
              <w:rPr>
                <w:rFonts w:hint="eastAsia"/>
                <w:sz w:val="18"/>
              </w:rPr>
              <w:t>日</w:t>
            </w:r>
          </w:p>
        </w:tc>
        <w:tc>
          <w:tcPr>
            <w:tcW w:w="307" w:type="dxa"/>
            <w:noWrap/>
            <w:vAlign w:val="center"/>
          </w:tcPr>
          <w:p w14:paraId="1DBD6191">
            <w:pPr>
              <w:spacing w:line="560" w:lineRule="exact"/>
              <w:jc w:val="center"/>
              <w:rPr>
                <w:rFonts w:eastAsia="宋体"/>
                <w:sz w:val="18"/>
              </w:rPr>
            </w:pPr>
            <w:r>
              <w:rPr>
                <w:rFonts w:hint="eastAsia"/>
                <w:sz w:val="18"/>
              </w:rPr>
              <w:t>月</w:t>
            </w:r>
          </w:p>
        </w:tc>
        <w:tc>
          <w:tcPr>
            <w:tcW w:w="307" w:type="dxa"/>
            <w:noWrap/>
            <w:vAlign w:val="center"/>
          </w:tcPr>
          <w:p w14:paraId="444DD60A">
            <w:pPr>
              <w:spacing w:line="560" w:lineRule="exact"/>
              <w:jc w:val="center"/>
              <w:rPr>
                <w:rFonts w:eastAsia="宋体"/>
                <w:sz w:val="18"/>
              </w:rPr>
            </w:pPr>
            <w:r>
              <w:rPr>
                <w:rFonts w:hint="eastAsia"/>
                <w:sz w:val="18"/>
              </w:rPr>
              <w:t>日</w:t>
            </w:r>
          </w:p>
        </w:tc>
        <w:tc>
          <w:tcPr>
            <w:tcW w:w="826" w:type="dxa"/>
            <w:noWrap/>
            <w:vAlign w:val="center"/>
          </w:tcPr>
          <w:p w14:paraId="1298CF2C">
            <w:pPr>
              <w:spacing w:line="560" w:lineRule="exact"/>
              <w:jc w:val="center"/>
              <w:rPr>
                <w:sz w:val="18"/>
              </w:rPr>
            </w:pPr>
          </w:p>
        </w:tc>
        <w:tc>
          <w:tcPr>
            <w:tcW w:w="800" w:type="dxa"/>
            <w:noWrap/>
            <w:vAlign w:val="center"/>
          </w:tcPr>
          <w:p w14:paraId="7F87D18C">
            <w:pPr>
              <w:spacing w:line="560" w:lineRule="exact"/>
              <w:jc w:val="center"/>
              <w:rPr>
                <w:sz w:val="18"/>
              </w:rPr>
            </w:pPr>
          </w:p>
        </w:tc>
        <w:tc>
          <w:tcPr>
            <w:tcW w:w="600" w:type="dxa"/>
            <w:noWrap/>
            <w:vAlign w:val="center"/>
          </w:tcPr>
          <w:p w14:paraId="7CFDC429">
            <w:pPr>
              <w:spacing w:line="560" w:lineRule="exact"/>
              <w:jc w:val="center"/>
              <w:rPr>
                <w:rFonts w:eastAsia="宋体"/>
                <w:sz w:val="18"/>
              </w:rPr>
            </w:pPr>
            <w:r>
              <w:rPr>
                <w:rFonts w:hint="eastAsia"/>
                <w:sz w:val="18"/>
              </w:rPr>
              <w:t>火车</w:t>
            </w:r>
          </w:p>
        </w:tc>
        <w:tc>
          <w:tcPr>
            <w:tcW w:w="586" w:type="dxa"/>
            <w:gridSpan w:val="2"/>
            <w:noWrap/>
            <w:vAlign w:val="center"/>
          </w:tcPr>
          <w:p w14:paraId="6E0D1AD9">
            <w:pPr>
              <w:spacing w:line="560" w:lineRule="exact"/>
              <w:jc w:val="center"/>
              <w:rPr>
                <w:rFonts w:eastAsia="宋体"/>
                <w:sz w:val="18"/>
              </w:rPr>
            </w:pPr>
            <w:r>
              <w:rPr>
                <w:rFonts w:hint="eastAsia"/>
                <w:sz w:val="18"/>
              </w:rPr>
              <w:t>飞机</w:t>
            </w:r>
          </w:p>
        </w:tc>
        <w:tc>
          <w:tcPr>
            <w:tcW w:w="634" w:type="dxa"/>
            <w:noWrap/>
            <w:vAlign w:val="center"/>
          </w:tcPr>
          <w:p w14:paraId="08D73893">
            <w:pPr>
              <w:spacing w:line="560" w:lineRule="exact"/>
              <w:jc w:val="center"/>
              <w:rPr>
                <w:rFonts w:eastAsia="宋体"/>
                <w:sz w:val="18"/>
              </w:rPr>
            </w:pPr>
            <w:r>
              <w:rPr>
                <w:rFonts w:hint="eastAsia"/>
                <w:sz w:val="18"/>
              </w:rPr>
              <w:t>汽车</w:t>
            </w:r>
          </w:p>
        </w:tc>
        <w:tc>
          <w:tcPr>
            <w:tcW w:w="640" w:type="dxa"/>
            <w:noWrap/>
            <w:vAlign w:val="center"/>
          </w:tcPr>
          <w:p w14:paraId="20D252AE">
            <w:pPr>
              <w:spacing w:line="560" w:lineRule="exact"/>
              <w:jc w:val="center"/>
              <w:rPr>
                <w:sz w:val="18"/>
              </w:rPr>
            </w:pPr>
          </w:p>
        </w:tc>
        <w:tc>
          <w:tcPr>
            <w:tcW w:w="580" w:type="dxa"/>
            <w:noWrap/>
            <w:vAlign w:val="center"/>
          </w:tcPr>
          <w:p w14:paraId="0CF0C78B">
            <w:pPr>
              <w:spacing w:line="560" w:lineRule="exact"/>
              <w:jc w:val="center"/>
              <w:rPr>
                <w:rFonts w:eastAsia="宋体"/>
                <w:sz w:val="18"/>
              </w:rPr>
            </w:pPr>
            <w:r>
              <w:rPr>
                <w:rFonts w:hint="eastAsia"/>
                <w:sz w:val="18"/>
              </w:rPr>
              <w:t>人数</w:t>
            </w:r>
          </w:p>
        </w:tc>
        <w:tc>
          <w:tcPr>
            <w:tcW w:w="620" w:type="dxa"/>
            <w:noWrap/>
            <w:vAlign w:val="center"/>
          </w:tcPr>
          <w:p w14:paraId="59B470C9">
            <w:pPr>
              <w:spacing w:line="560" w:lineRule="exact"/>
              <w:jc w:val="center"/>
              <w:rPr>
                <w:rFonts w:eastAsia="宋体"/>
                <w:sz w:val="18"/>
              </w:rPr>
            </w:pPr>
            <w:r>
              <w:rPr>
                <w:rFonts w:hint="eastAsia"/>
                <w:sz w:val="18"/>
              </w:rPr>
              <w:t>天数</w:t>
            </w:r>
          </w:p>
        </w:tc>
        <w:tc>
          <w:tcPr>
            <w:tcW w:w="600" w:type="dxa"/>
            <w:noWrap/>
            <w:vAlign w:val="center"/>
          </w:tcPr>
          <w:p w14:paraId="2815C3D6">
            <w:pPr>
              <w:spacing w:line="560" w:lineRule="exact"/>
              <w:jc w:val="center"/>
              <w:rPr>
                <w:rFonts w:eastAsia="宋体"/>
                <w:sz w:val="18"/>
              </w:rPr>
            </w:pPr>
            <w:r>
              <w:rPr>
                <w:rFonts w:hint="eastAsia"/>
                <w:sz w:val="18"/>
              </w:rPr>
              <w:t>小计</w:t>
            </w:r>
          </w:p>
        </w:tc>
        <w:tc>
          <w:tcPr>
            <w:tcW w:w="640" w:type="dxa"/>
            <w:noWrap/>
            <w:vAlign w:val="center"/>
          </w:tcPr>
          <w:p w14:paraId="011C0F4F">
            <w:pPr>
              <w:spacing w:line="560" w:lineRule="exact"/>
              <w:jc w:val="center"/>
              <w:rPr>
                <w:rFonts w:eastAsia="宋体"/>
                <w:sz w:val="18"/>
              </w:rPr>
            </w:pPr>
            <w:r>
              <w:rPr>
                <w:rFonts w:hint="eastAsia"/>
                <w:sz w:val="18"/>
              </w:rPr>
              <w:t>人数</w:t>
            </w:r>
          </w:p>
        </w:tc>
        <w:tc>
          <w:tcPr>
            <w:tcW w:w="620" w:type="dxa"/>
            <w:noWrap/>
            <w:vAlign w:val="center"/>
          </w:tcPr>
          <w:p w14:paraId="4468BDEF">
            <w:pPr>
              <w:spacing w:line="560" w:lineRule="exact"/>
              <w:jc w:val="center"/>
              <w:rPr>
                <w:rFonts w:eastAsia="宋体"/>
                <w:sz w:val="18"/>
              </w:rPr>
            </w:pPr>
            <w:r>
              <w:rPr>
                <w:rFonts w:hint="eastAsia"/>
                <w:sz w:val="18"/>
              </w:rPr>
              <w:t>天数</w:t>
            </w:r>
          </w:p>
        </w:tc>
        <w:tc>
          <w:tcPr>
            <w:tcW w:w="580" w:type="dxa"/>
            <w:noWrap/>
            <w:vAlign w:val="center"/>
          </w:tcPr>
          <w:p w14:paraId="0548676D">
            <w:pPr>
              <w:spacing w:line="560" w:lineRule="exact"/>
              <w:jc w:val="center"/>
              <w:rPr>
                <w:rFonts w:eastAsia="宋体"/>
                <w:sz w:val="18"/>
              </w:rPr>
            </w:pPr>
            <w:r>
              <w:rPr>
                <w:rFonts w:hint="eastAsia"/>
                <w:sz w:val="18"/>
              </w:rPr>
              <w:t>小计</w:t>
            </w:r>
          </w:p>
        </w:tc>
        <w:tc>
          <w:tcPr>
            <w:tcW w:w="600" w:type="dxa"/>
            <w:noWrap/>
            <w:vAlign w:val="center"/>
          </w:tcPr>
          <w:p w14:paraId="1ED3194A">
            <w:pPr>
              <w:spacing w:line="560" w:lineRule="exact"/>
              <w:jc w:val="center"/>
              <w:rPr>
                <w:sz w:val="18"/>
              </w:rPr>
            </w:pPr>
          </w:p>
        </w:tc>
      </w:tr>
      <w:tr w14:paraId="76CF9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71" w:type="dxa"/>
            <w:noWrap/>
            <w:vAlign w:val="center"/>
          </w:tcPr>
          <w:p w14:paraId="2B73F0A1">
            <w:pPr>
              <w:spacing w:line="560" w:lineRule="exact"/>
              <w:jc w:val="center"/>
            </w:pPr>
          </w:p>
        </w:tc>
        <w:tc>
          <w:tcPr>
            <w:tcW w:w="289" w:type="dxa"/>
            <w:noWrap/>
            <w:vAlign w:val="center"/>
          </w:tcPr>
          <w:p w14:paraId="6523F205">
            <w:pPr>
              <w:spacing w:line="560" w:lineRule="exact"/>
              <w:jc w:val="center"/>
            </w:pPr>
          </w:p>
        </w:tc>
        <w:tc>
          <w:tcPr>
            <w:tcW w:w="307" w:type="dxa"/>
            <w:noWrap/>
            <w:vAlign w:val="center"/>
          </w:tcPr>
          <w:p w14:paraId="6A125F52">
            <w:pPr>
              <w:spacing w:line="560" w:lineRule="exact"/>
              <w:jc w:val="center"/>
            </w:pPr>
          </w:p>
        </w:tc>
        <w:tc>
          <w:tcPr>
            <w:tcW w:w="307" w:type="dxa"/>
            <w:noWrap/>
            <w:vAlign w:val="center"/>
          </w:tcPr>
          <w:p w14:paraId="69D1209E">
            <w:pPr>
              <w:spacing w:line="560" w:lineRule="exact"/>
              <w:jc w:val="center"/>
            </w:pPr>
          </w:p>
        </w:tc>
        <w:tc>
          <w:tcPr>
            <w:tcW w:w="826" w:type="dxa"/>
            <w:noWrap/>
            <w:vAlign w:val="center"/>
          </w:tcPr>
          <w:p w14:paraId="79AB31F1">
            <w:pPr>
              <w:spacing w:line="560" w:lineRule="exact"/>
              <w:jc w:val="center"/>
            </w:pPr>
          </w:p>
        </w:tc>
        <w:tc>
          <w:tcPr>
            <w:tcW w:w="800" w:type="dxa"/>
            <w:noWrap/>
            <w:vAlign w:val="center"/>
          </w:tcPr>
          <w:p w14:paraId="1CCBC49F">
            <w:pPr>
              <w:spacing w:line="560" w:lineRule="exact"/>
              <w:jc w:val="center"/>
            </w:pPr>
          </w:p>
        </w:tc>
        <w:tc>
          <w:tcPr>
            <w:tcW w:w="600" w:type="dxa"/>
            <w:noWrap/>
            <w:vAlign w:val="center"/>
          </w:tcPr>
          <w:p w14:paraId="4B5F8177">
            <w:pPr>
              <w:spacing w:line="560" w:lineRule="exact"/>
              <w:jc w:val="center"/>
            </w:pPr>
          </w:p>
        </w:tc>
        <w:tc>
          <w:tcPr>
            <w:tcW w:w="586" w:type="dxa"/>
            <w:gridSpan w:val="2"/>
            <w:noWrap/>
            <w:vAlign w:val="center"/>
          </w:tcPr>
          <w:p w14:paraId="0767E929">
            <w:pPr>
              <w:spacing w:line="560" w:lineRule="exact"/>
              <w:jc w:val="center"/>
            </w:pPr>
          </w:p>
        </w:tc>
        <w:tc>
          <w:tcPr>
            <w:tcW w:w="634" w:type="dxa"/>
            <w:noWrap/>
            <w:vAlign w:val="center"/>
          </w:tcPr>
          <w:p w14:paraId="7A50DCF5">
            <w:pPr>
              <w:spacing w:line="560" w:lineRule="exact"/>
              <w:jc w:val="center"/>
            </w:pPr>
          </w:p>
        </w:tc>
        <w:tc>
          <w:tcPr>
            <w:tcW w:w="640" w:type="dxa"/>
            <w:noWrap/>
            <w:vAlign w:val="center"/>
          </w:tcPr>
          <w:p w14:paraId="091D513D">
            <w:pPr>
              <w:spacing w:line="560" w:lineRule="exact"/>
              <w:jc w:val="center"/>
            </w:pPr>
          </w:p>
        </w:tc>
        <w:tc>
          <w:tcPr>
            <w:tcW w:w="580" w:type="dxa"/>
            <w:noWrap/>
            <w:vAlign w:val="center"/>
          </w:tcPr>
          <w:p w14:paraId="53C56146">
            <w:pPr>
              <w:spacing w:line="560" w:lineRule="exact"/>
              <w:jc w:val="center"/>
            </w:pPr>
          </w:p>
        </w:tc>
        <w:tc>
          <w:tcPr>
            <w:tcW w:w="620" w:type="dxa"/>
            <w:noWrap/>
            <w:vAlign w:val="center"/>
          </w:tcPr>
          <w:p w14:paraId="226065D7">
            <w:pPr>
              <w:spacing w:line="560" w:lineRule="exact"/>
              <w:jc w:val="center"/>
            </w:pPr>
          </w:p>
        </w:tc>
        <w:tc>
          <w:tcPr>
            <w:tcW w:w="600" w:type="dxa"/>
            <w:noWrap/>
            <w:vAlign w:val="center"/>
          </w:tcPr>
          <w:p w14:paraId="1164BCBA">
            <w:pPr>
              <w:spacing w:line="560" w:lineRule="exact"/>
              <w:jc w:val="center"/>
            </w:pPr>
          </w:p>
        </w:tc>
        <w:tc>
          <w:tcPr>
            <w:tcW w:w="640" w:type="dxa"/>
            <w:noWrap/>
            <w:vAlign w:val="center"/>
          </w:tcPr>
          <w:p w14:paraId="350D2DD9">
            <w:pPr>
              <w:spacing w:line="560" w:lineRule="exact"/>
              <w:jc w:val="center"/>
            </w:pPr>
          </w:p>
        </w:tc>
        <w:tc>
          <w:tcPr>
            <w:tcW w:w="620" w:type="dxa"/>
            <w:noWrap/>
            <w:vAlign w:val="center"/>
          </w:tcPr>
          <w:p w14:paraId="1C3F27AD">
            <w:pPr>
              <w:spacing w:line="560" w:lineRule="exact"/>
              <w:jc w:val="center"/>
            </w:pPr>
          </w:p>
        </w:tc>
        <w:tc>
          <w:tcPr>
            <w:tcW w:w="580" w:type="dxa"/>
            <w:noWrap/>
            <w:vAlign w:val="center"/>
          </w:tcPr>
          <w:p w14:paraId="527D1E75">
            <w:pPr>
              <w:spacing w:line="560" w:lineRule="exact"/>
              <w:jc w:val="center"/>
            </w:pPr>
          </w:p>
        </w:tc>
        <w:tc>
          <w:tcPr>
            <w:tcW w:w="600" w:type="dxa"/>
            <w:noWrap/>
            <w:vAlign w:val="center"/>
          </w:tcPr>
          <w:p w14:paraId="64D97737">
            <w:pPr>
              <w:spacing w:line="560" w:lineRule="exact"/>
              <w:jc w:val="center"/>
            </w:pPr>
          </w:p>
        </w:tc>
      </w:tr>
      <w:tr w14:paraId="46775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71" w:type="dxa"/>
            <w:noWrap/>
            <w:vAlign w:val="center"/>
          </w:tcPr>
          <w:p w14:paraId="598D1DC6">
            <w:pPr>
              <w:spacing w:line="560" w:lineRule="exact"/>
              <w:jc w:val="center"/>
            </w:pPr>
          </w:p>
        </w:tc>
        <w:tc>
          <w:tcPr>
            <w:tcW w:w="289" w:type="dxa"/>
            <w:noWrap/>
            <w:vAlign w:val="center"/>
          </w:tcPr>
          <w:p w14:paraId="20385F58">
            <w:pPr>
              <w:spacing w:line="560" w:lineRule="exact"/>
              <w:jc w:val="center"/>
            </w:pPr>
          </w:p>
        </w:tc>
        <w:tc>
          <w:tcPr>
            <w:tcW w:w="307" w:type="dxa"/>
            <w:noWrap/>
            <w:vAlign w:val="center"/>
          </w:tcPr>
          <w:p w14:paraId="1F1B02CC">
            <w:pPr>
              <w:spacing w:line="560" w:lineRule="exact"/>
              <w:jc w:val="center"/>
            </w:pPr>
          </w:p>
        </w:tc>
        <w:tc>
          <w:tcPr>
            <w:tcW w:w="307" w:type="dxa"/>
            <w:noWrap/>
            <w:vAlign w:val="center"/>
          </w:tcPr>
          <w:p w14:paraId="59D5209C">
            <w:pPr>
              <w:spacing w:line="560" w:lineRule="exact"/>
              <w:jc w:val="center"/>
            </w:pPr>
          </w:p>
        </w:tc>
        <w:tc>
          <w:tcPr>
            <w:tcW w:w="826" w:type="dxa"/>
            <w:noWrap/>
            <w:vAlign w:val="center"/>
          </w:tcPr>
          <w:p w14:paraId="5AD7D89D">
            <w:pPr>
              <w:spacing w:line="560" w:lineRule="exact"/>
              <w:jc w:val="center"/>
            </w:pPr>
          </w:p>
        </w:tc>
        <w:tc>
          <w:tcPr>
            <w:tcW w:w="800" w:type="dxa"/>
            <w:noWrap/>
            <w:vAlign w:val="center"/>
          </w:tcPr>
          <w:p w14:paraId="7091AF61">
            <w:pPr>
              <w:spacing w:line="560" w:lineRule="exact"/>
              <w:jc w:val="center"/>
            </w:pPr>
          </w:p>
        </w:tc>
        <w:tc>
          <w:tcPr>
            <w:tcW w:w="600" w:type="dxa"/>
            <w:noWrap/>
            <w:vAlign w:val="center"/>
          </w:tcPr>
          <w:p w14:paraId="0AEE5B00">
            <w:pPr>
              <w:spacing w:line="560" w:lineRule="exact"/>
              <w:jc w:val="center"/>
            </w:pPr>
          </w:p>
        </w:tc>
        <w:tc>
          <w:tcPr>
            <w:tcW w:w="586" w:type="dxa"/>
            <w:gridSpan w:val="2"/>
            <w:noWrap/>
            <w:vAlign w:val="center"/>
          </w:tcPr>
          <w:p w14:paraId="22F00725">
            <w:pPr>
              <w:spacing w:line="560" w:lineRule="exact"/>
              <w:jc w:val="center"/>
            </w:pPr>
          </w:p>
        </w:tc>
        <w:tc>
          <w:tcPr>
            <w:tcW w:w="634" w:type="dxa"/>
            <w:noWrap/>
            <w:vAlign w:val="center"/>
          </w:tcPr>
          <w:p w14:paraId="5DCFB51F">
            <w:pPr>
              <w:spacing w:line="560" w:lineRule="exact"/>
              <w:jc w:val="center"/>
            </w:pPr>
          </w:p>
        </w:tc>
        <w:tc>
          <w:tcPr>
            <w:tcW w:w="640" w:type="dxa"/>
            <w:noWrap/>
            <w:vAlign w:val="center"/>
          </w:tcPr>
          <w:p w14:paraId="001D933C">
            <w:pPr>
              <w:spacing w:line="560" w:lineRule="exact"/>
              <w:jc w:val="center"/>
            </w:pPr>
          </w:p>
        </w:tc>
        <w:tc>
          <w:tcPr>
            <w:tcW w:w="580" w:type="dxa"/>
            <w:noWrap/>
            <w:vAlign w:val="center"/>
          </w:tcPr>
          <w:p w14:paraId="2FB4E26D">
            <w:pPr>
              <w:spacing w:line="560" w:lineRule="exact"/>
              <w:jc w:val="center"/>
            </w:pPr>
          </w:p>
        </w:tc>
        <w:tc>
          <w:tcPr>
            <w:tcW w:w="620" w:type="dxa"/>
            <w:noWrap/>
            <w:vAlign w:val="center"/>
          </w:tcPr>
          <w:p w14:paraId="4E8D2FFA">
            <w:pPr>
              <w:spacing w:line="560" w:lineRule="exact"/>
              <w:jc w:val="center"/>
            </w:pPr>
          </w:p>
        </w:tc>
        <w:tc>
          <w:tcPr>
            <w:tcW w:w="600" w:type="dxa"/>
            <w:noWrap/>
            <w:vAlign w:val="center"/>
          </w:tcPr>
          <w:p w14:paraId="4B8A33C1">
            <w:pPr>
              <w:spacing w:line="560" w:lineRule="exact"/>
              <w:jc w:val="center"/>
            </w:pPr>
          </w:p>
        </w:tc>
        <w:tc>
          <w:tcPr>
            <w:tcW w:w="640" w:type="dxa"/>
            <w:noWrap/>
            <w:vAlign w:val="center"/>
          </w:tcPr>
          <w:p w14:paraId="36EF181E">
            <w:pPr>
              <w:spacing w:line="560" w:lineRule="exact"/>
              <w:jc w:val="center"/>
            </w:pPr>
          </w:p>
        </w:tc>
        <w:tc>
          <w:tcPr>
            <w:tcW w:w="620" w:type="dxa"/>
            <w:noWrap/>
            <w:vAlign w:val="center"/>
          </w:tcPr>
          <w:p w14:paraId="15DFD50B">
            <w:pPr>
              <w:spacing w:line="560" w:lineRule="exact"/>
              <w:jc w:val="center"/>
            </w:pPr>
          </w:p>
        </w:tc>
        <w:tc>
          <w:tcPr>
            <w:tcW w:w="580" w:type="dxa"/>
            <w:noWrap/>
            <w:vAlign w:val="center"/>
          </w:tcPr>
          <w:p w14:paraId="52D30444">
            <w:pPr>
              <w:spacing w:line="560" w:lineRule="exact"/>
              <w:jc w:val="center"/>
            </w:pPr>
          </w:p>
        </w:tc>
        <w:tc>
          <w:tcPr>
            <w:tcW w:w="600" w:type="dxa"/>
            <w:noWrap/>
            <w:vAlign w:val="center"/>
          </w:tcPr>
          <w:p w14:paraId="37CCB487">
            <w:pPr>
              <w:spacing w:line="560" w:lineRule="exact"/>
              <w:jc w:val="center"/>
            </w:pPr>
          </w:p>
        </w:tc>
      </w:tr>
      <w:tr w14:paraId="20817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71" w:type="dxa"/>
            <w:noWrap/>
            <w:vAlign w:val="center"/>
          </w:tcPr>
          <w:p w14:paraId="39C85B4C">
            <w:pPr>
              <w:spacing w:line="560" w:lineRule="exact"/>
              <w:jc w:val="center"/>
            </w:pPr>
          </w:p>
        </w:tc>
        <w:tc>
          <w:tcPr>
            <w:tcW w:w="289" w:type="dxa"/>
            <w:noWrap/>
            <w:vAlign w:val="center"/>
          </w:tcPr>
          <w:p w14:paraId="77F3CFCC">
            <w:pPr>
              <w:spacing w:line="560" w:lineRule="exact"/>
              <w:jc w:val="center"/>
            </w:pPr>
          </w:p>
        </w:tc>
        <w:tc>
          <w:tcPr>
            <w:tcW w:w="307" w:type="dxa"/>
            <w:noWrap/>
            <w:vAlign w:val="center"/>
          </w:tcPr>
          <w:p w14:paraId="0A5F1124">
            <w:pPr>
              <w:spacing w:line="560" w:lineRule="exact"/>
              <w:jc w:val="center"/>
            </w:pPr>
          </w:p>
        </w:tc>
        <w:tc>
          <w:tcPr>
            <w:tcW w:w="307" w:type="dxa"/>
            <w:noWrap/>
            <w:vAlign w:val="center"/>
          </w:tcPr>
          <w:p w14:paraId="0757FF9D">
            <w:pPr>
              <w:spacing w:line="560" w:lineRule="exact"/>
              <w:jc w:val="center"/>
            </w:pPr>
          </w:p>
        </w:tc>
        <w:tc>
          <w:tcPr>
            <w:tcW w:w="826" w:type="dxa"/>
            <w:noWrap/>
            <w:vAlign w:val="center"/>
          </w:tcPr>
          <w:p w14:paraId="3E02AC53">
            <w:pPr>
              <w:spacing w:line="560" w:lineRule="exact"/>
              <w:jc w:val="center"/>
            </w:pPr>
          </w:p>
        </w:tc>
        <w:tc>
          <w:tcPr>
            <w:tcW w:w="800" w:type="dxa"/>
            <w:noWrap/>
            <w:vAlign w:val="center"/>
          </w:tcPr>
          <w:p w14:paraId="04C8A493">
            <w:pPr>
              <w:spacing w:line="560" w:lineRule="exact"/>
              <w:jc w:val="center"/>
            </w:pPr>
          </w:p>
        </w:tc>
        <w:tc>
          <w:tcPr>
            <w:tcW w:w="600" w:type="dxa"/>
            <w:noWrap/>
            <w:vAlign w:val="center"/>
          </w:tcPr>
          <w:p w14:paraId="43E7A28D">
            <w:pPr>
              <w:spacing w:line="560" w:lineRule="exact"/>
              <w:jc w:val="center"/>
            </w:pPr>
          </w:p>
        </w:tc>
        <w:tc>
          <w:tcPr>
            <w:tcW w:w="586" w:type="dxa"/>
            <w:gridSpan w:val="2"/>
            <w:noWrap/>
            <w:vAlign w:val="center"/>
          </w:tcPr>
          <w:p w14:paraId="6570D901">
            <w:pPr>
              <w:spacing w:line="560" w:lineRule="exact"/>
              <w:jc w:val="center"/>
            </w:pPr>
          </w:p>
        </w:tc>
        <w:tc>
          <w:tcPr>
            <w:tcW w:w="634" w:type="dxa"/>
            <w:noWrap/>
            <w:vAlign w:val="center"/>
          </w:tcPr>
          <w:p w14:paraId="49753561">
            <w:pPr>
              <w:spacing w:line="560" w:lineRule="exact"/>
              <w:jc w:val="center"/>
            </w:pPr>
          </w:p>
        </w:tc>
        <w:tc>
          <w:tcPr>
            <w:tcW w:w="640" w:type="dxa"/>
            <w:noWrap/>
            <w:vAlign w:val="center"/>
          </w:tcPr>
          <w:p w14:paraId="4FF6B48E">
            <w:pPr>
              <w:spacing w:line="560" w:lineRule="exact"/>
              <w:jc w:val="center"/>
            </w:pPr>
          </w:p>
        </w:tc>
        <w:tc>
          <w:tcPr>
            <w:tcW w:w="580" w:type="dxa"/>
            <w:noWrap/>
            <w:vAlign w:val="center"/>
          </w:tcPr>
          <w:p w14:paraId="1342F234">
            <w:pPr>
              <w:spacing w:line="560" w:lineRule="exact"/>
              <w:jc w:val="center"/>
            </w:pPr>
          </w:p>
        </w:tc>
        <w:tc>
          <w:tcPr>
            <w:tcW w:w="620" w:type="dxa"/>
            <w:noWrap/>
            <w:vAlign w:val="center"/>
          </w:tcPr>
          <w:p w14:paraId="77EB59FC">
            <w:pPr>
              <w:spacing w:line="560" w:lineRule="exact"/>
              <w:jc w:val="center"/>
            </w:pPr>
          </w:p>
        </w:tc>
        <w:tc>
          <w:tcPr>
            <w:tcW w:w="600" w:type="dxa"/>
            <w:noWrap/>
            <w:vAlign w:val="center"/>
          </w:tcPr>
          <w:p w14:paraId="64469A4D">
            <w:pPr>
              <w:spacing w:line="560" w:lineRule="exact"/>
              <w:jc w:val="center"/>
            </w:pPr>
          </w:p>
        </w:tc>
        <w:tc>
          <w:tcPr>
            <w:tcW w:w="640" w:type="dxa"/>
            <w:noWrap/>
            <w:vAlign w:val="center"/>
          </w:tcPr>
          <w:p w14:paraId="7909E6AE">
            <w:pPr>
              <w:spacing w:line="560" w:lineRule="exact"/>
              <w:jc w:val="center"/>
            </w:pPr>
          </w:p>
        </w:tc>
        <w:tc>
          <w:tcPr>
            <w:tcW w:w="620" w:type="dxa"/>
            <w:noWrap/>
            <w:vAlign w:val="center"/>
          </w:tcPr>
          <w:p w14:paraId="18578C9A">
            <w:pPr>
              <w:spacing w:line="560" w:lineRule="exact"/>
              <w:jc w:val="center"/>
            </w:pPr>
          </w:p>
        </w:tc>
        <w:tc>
          <w:tcPr>
            <w:tcW w:w="580" w:type="dxa"/>
            <w:noWrap/>
            <w:vAlign w:val="center"/>
          </w:tcPr>
          <w:p w14:paraId="4CF64361">
            <w:pPr>
              <w:spacing w:line="560" w:lineRule="exact"/>
              <w:jc w:val="center"/>
            </w:pPr>
          </w:p>
        </w:tc>
        <w:tc>
          <w:tcPr>
            <w:tcW w:w="600" w:type="dxa"/>
            <w:noWrap/>
            <w:vAlign w:val="center"/>
          </w:tcPr>
          <w:p w14:paraId="78D3C80D">
            <w:pPr>
              <w:spacing w:line="560" w:lineRule="exact"/>
              <w:jc w:val="center"/>
            </w:pPr>
          </w:p>
        </w:tc>
      </w:tr>
      <w:tr w14:paraId="75C45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71" w:type="dxa"/>
            <w:noWrap/>
            <w:vAlign w:val="center"/>
          </w:tcPr>
          <w:p w14:paraId="5DAB6E4F">
            <w:pPr>
              <w:spacing w:line="560" w:lineRule="exact"/>
              <w:jc w:val="center"/>
            </w:pPr>
          </w:p>
        </w:tc>
        <w:tc>
          <w:tcPr>
            <w:tcW w:w="289" w:type="dxa"/>
            <w:noWrap/>
            <w:vAlign w:val="center"/>
          </w:tcPr>
          <w:p w14:paraId="51EC9822">
            <w:pPr>
              <w:spacing w:line="560" w:lineRule="exact"/>
              <w:jc w:val="center"/>
            </w:pPr>
          </w:p>
        </w:tc>
        <w:tc>
          <w:tcPr>
            <w:tcW w:w="307" w:type="dxa"/>
            <w:noWrap/>
            <w:vAlign w:val="center"/>
          </w:tcPr>
          <w:p w14:paraId="3A132005">
            <w:pPr>
              <w:spacing w:line="560" w:lineRule="exact"/>
              <w:jc w:val="center"/>
            </w:pPr>
          </w:p>
        </w:tc>
        <w:tc>
          <w:tcPr>
            <w:tcW w:w="307" w:type="dxa"/>
            <w:noWrap/>
            <w:vAlign w:val="center"/>
          </w:tcPr>
          <w:p w14:paraId="2AE03F05">
            <w:pPr>
              <w:spacing w:line="560" w:lineRule="exact"/>
              <w:jc w:val="center"/>
            </w:pPr>
          </w:p>
        </w:tc>
        <w:tc>
          <w:tcPr>
            <w:tcW w:w="826" w:type="dxa"/>
            <w:noWrap/>
            <w:vAlign w:val="center"/>
          </w:tcPr>
          <w:p w14:paraId="41D03C15">
            <w:pPr>
              <w:spacing w:line="560" w:lineRule="exact"/>
              <w:jc w:val="center"/>
            </w:pPr>
          </w:p>
        </w:tc>
        <w:tc>
          <w:tcPr>
            <w:tcW w:w="800" w:type="dxa"/>
            <w:noWrap/>
            <w:vAlign w:val="center"/>
          </w:tcPr>
          <w:p w14:paraId="6181F014">
            <w:pPr>
              <w:spacing w:line="560" w:lineRule="exact"/>
              <w:jc w:val="center"/>
            </w:pPr>
          </w:p>
        </w:tc>
        <w:tc>
          <w:tcPr>
            <w:tcW w:w="600" w:type="dxa"/>
            <w:noWrap/>
            <w:vAlign w:val="center"/>
          </w:tcPr>
          <w:p w14:paraId="3C775DF3">
            <w:pPr>
              <w:spacing w:line="560" w:lineRule="exact"/>
              <w:jc w:val="center"/>
            </w:pPr>
          </w:p>
        </w:tc>
        <w:tc>
          <w:tcPr>
            <w:tcW w:w="586" w:type="dxa"/>
            <w:gridSpan w:val="2"/>
            <w:noWrap/>
            <w:vAlign w:val="center"/>
          </w:tcPr>
          <w:p w14:paraId="0E48C7D4">
            <w:pPr>
              <w:spacing w:line="560" w:lineRule="exact"/>
              <w:jc w:val="center"/>
            </w:pPr>
          </w:p>
        </w:tc>
        <w:tc>
          <w:tcPr>
            <w:tcW w:w="634" w:type="dxa"/>
            <w:noWrap/>
            <w:vAlign w:val="center"/>
          </w:tcPr>
          <w:p w14:paraId="211BCD61">
            <w:pPr>
              <w:spacing w:line="560" w:lineRule="exact"/>
              <w:jc w:val="center"/>
            </w:pPr>
          </w:p>
        </w:tc>
        <w:tc>
          <w:tcPr>
            <w:tcW w:w="640" w:type="dxa"/>
            <w:noWrap/>
            <w:vAlign w:val="center"/>
          </w:tcPr>
          <w:p w14:paraId="77C1D71E">
            <w:pPr>
              <w:spacing w:line="560" w:lineRule="exact"/>
              <w:jc w:val="center"/>
            </w:pPr>
          </w:p>
        </w:tc>
        <w:tc>
          <w:tcPr>
            <w:tcW w:w="580" w:type="dxa"/>
            <w:noWrap/>
            <w:vAlign w:val="center"/>
          </w:tcPr>
          <w:p w14:paraId="6E4BDFF4">
            <w:pPr>
              <w:spacing w:line="560" w:lineRule="exact"/>
              <w:jc w:val="center"/>
            </w:pPr>
          </w:p>
        </w:tc>
        <w:tc>
          <w:tcPr>
            <w:tcW w:w="620" w:type="dxa"/>
            <w:noWrap/>
            <w:vAlign w:val="center"/>
          </w:tcPr>
          <w:p w14:paraId="70FAA736">
            <w:pPr>
              <w:spacing w:line="560" w:lineRule="exact"/>
              <w:jc w:val="center"/>
            </w:pPr>
          </w:p>
        </w:tc>
        <w:tc>
          <w:tcPr>
            <w:tcW w:w="600" w:type="dxa"/>
            <w:noWrap/>
            <w:vAlign w:val="center"/>
          </w:tcPr>
          <w:p w14:paraId="0B51458A">
            <w:pPr>
              <w:spacing w:line="560" w:lineRule="exact"/>
              <w:jc w:val="center"/>
            </w:pPr>
          </w:p>
        </w:tc>
        <w:tc>
          <w:tcPr>
            <w:tcW w:w="640" w:type="dxa"/>
            <w:noWrap/>
            <w:vAlign w:val="center"/>
          </w:tcPr>
          <w:p w14:paraId="2DCFDC0A">
            <w:pPr>
              <w:spacing w:line="560" w:lineRule="exact"/>
              <w:jc w:val="center"/>
            </w:pPr>
          </w:p>
        </w:tc>
        <w:tc>
          <w:tcPr>
            <w:tcW w:w="620" w:type="dxa"/>
            <w:noWrap/>
            <w:vAlign w:val="center"/>
          </w:tcPr>
          <w:p w14:paraId="279E1676">
            <w:pPr>
              <w:spacing w:line="560" w:lineRule="exact"/>
              <w:jc w:val="center"/>
            </w:pPr>
          </w:p>
        </w:tc>
        <w:tc>
          <w:tcPr>
            <w:tcW w:w="580" w:type="dxa"/>
            <w:noWrap/>
            <w:vAlign w:val="center"/>
          </w:tcPr>
          <w:p w14:paraId="35AF0B18">
            <w:pPr>
              <w:spacing w:line="560" w:lineRule="exact"/>
              <w:jc w:val="center"/>
            </w:pPr>
          </w:p>
        </w:tc>
        <w:tc>
          <w:tcPr>
            <w:tcW w:w="600" w:type="dxa"/>
            <w:noWrap/>
            <w:vAlign w:val="center"/>
          </w:tcPr>
          <w:p w14:paraId="0207485F">
            <w:pPr>
              <w:spacing w:line="560" w:lineRule="exact"/>
              <w:jc w:val="center"/>
            </w:pPr>
          </w:p>
        </w:tc>
      </w:tr>
      <w:tr w14:paraId="17191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71" w:type="dxa"/>
            <w:noWrap/>
            <w:vAlign w:val="center"/>
          </w:tcPr>
          <w:p w14:paraId="072D6840">
            <w:pPr>
              <w:spacing w:line="560" w:lineRule="exact"/>
              <w:jc w:val="center"/>
            </w:pPr>
          </w:p>
        </w:tc>
        <w:tc>
          <w:tcPr>
            <w:tcW w:w="289" w:type="dxa"/>
            <w:noWrap/>
            <w:vAlign w:val="center"/>
          </w:tcPr>
          <w:p w14:paraId="15226DC5">
            <w:pPr>
              <w:spacing w:line="560" w:lineRule="exact"/>
              <w:jc w:val="center"/>
            </w:pPr>
          </w:p>
        </w:tc>
        <w:tc>
          <w:tcPr>
            <w:tcW w:w="307" w:type="dxa"/>
            <w:noWrap/>
            <w:vAlign w:val="center"/>
          </w:tcPr>
          <w:p w14:paraId="199A1AC8">
            <w:pPr>
              <w:spacing w:line="560" w:lineRule="exact"/>
              <w:jc w:val="center"/>
            </w:pPr>
          </w:p>
        </w:tc>
        <w:tc>
          <w:tcPr>
            <w:tcW w:w="307" w:type="dxa"/>
            <w:noWrap/>
            <w:vAlign w:val="center"/>
          </w:tcPr>
          <w:p w14:paraId="22A8B3F6">
            <w:pPr>
              <w:spacing w:line="560" w:lineRule="exact"/>
              <w:jc w:val="center"/>
            </w:pPr>
          </w:p>
        </w:tc>
        <w:tc>
          <w:tcPr>
            <w:tcW w:w="826" w:type="dxa"/>
            <w:noWrap/>
            <w:vAlign w:val="center"/>
          </w:tcPr>
          <w:p w14:paraId="3A38B497">
            <w:pPr>
              <w:spacing w:line="560" w:lineRule="exact"/>
              <w:jc w:val="center"/>
            </w:pPr>
          </w:p>
        </w:tc>
        <w:tc>
          <w:tcPr>
            <w:tcW w:w="800" w:type="dxa"/>
            <w:noWrap/>
            <w:vAlign w:val="center"/>
          </w:tcPr>
          <w:p w14:paraId="262869E6">
            <w:pPr>
              <w:spacing w:line="560" w:lineRule="exact"/>
              <w:jc w:val="center"/>
            </w:pPr>
          </w:p>
        </w:tc>
        <w:tc>
          <w:tcPr>
            <w:tcW w:w="600" w:type="dxa"/>
            <w:noWrap/>
            <w:vAlign w:val="center"/>
          </w:tcPr>
          <w:p w14:paraId="495918A9">
            <w:pPr>
              <w:spacing w:line="560" w:lineRule="exact"/>
              <w:jc w:val="center"/>
            </w:pPr>
          </w:p>
        </w:tc>
        <w:tc>
          <w:tcPr>
            <w:tcW w:w="586" w:type="dxa"/>
            <w:gridSpan w:val="2"/>
            <w:noWrap/>
            <w:vAlign w:val="center"/>
          </w:tcPr>
          <w:p w14:paraId="236ABA41">
            <w:pPr>
              <w:spacing w:line="560" w:lineRule="exact"/>
              <w:jc w:val="center"/>
            </w:pPr>
          </w:p>
        </w:tc>
        <w:tc>
          <w:tcPr>
            <w:tcW w:w="634" w:type="dxa"/>
            <w:noWrap/>
            <w:vAlign w:val="center"/>
          </w:tcPr>
          <w:p w14:paraId="75557FFE">
            <w:pPr>
              <w:spacing w:line="560" w:lineRule="exact"/>
              <w:jc w:val="center"/>
            </w:pPr>
          </w:p>
        </w:tc>
        <w:tc>
          <w:tcPr>
            <w:tcW w:w="640" w:type="dxa"/>
            <w:noWrap/>
            <w:vAlign w:val="center"/>
          </w:tcPr>
          <w:p w14:paraId="56AF444E">
            <w:pPr>
              <w:spacing w:line="560" w:lineRule="exact"/>
              <w:jc w:val="center"/>
            </w:pPr>
          </w:p>
        </w:tc>
        <w:tc>
          <w:tcPr>
            <w:tcW w:w="580" w:type="dxa"/>
            <w:noWrap/>
            <w:vAlign w:val="center"/>
          </w:tcPr>
          <w:p w14:paraId="428CEAFF">
            <w:pPr>
              <w:spacing w:line="560" w:lineRule="exact"/>
              <w:jc w:val="center"/>
            </w:pPr>
          </w:p>
        </w:tc>
        <w:tc>
          <w:tcPr>
            <w:tcW w:w="620" w:type="dxa"/>
            <w:noWrap/>
            <w:vAlign w:val="center"/>
          </w:tcPr>
          <w:p w14:paraId="535B78CE">
            <w:pPr>
              <w:spacing w:line="560" w:lineRule="exact"/>
              <w:jc w:val="center"/>
            </w:pPr>
          </w:p>
        </w:tc>
        <w:tc>
          <w:tcPr>
            <w:tcW w:w="600" w:type="dxa"/>
            <w:noWrap/>
            <w:vAlign w:val="center"/>
          </w:tcPr>
          <w:p w14:paraId="27DA61FA">
            <w:pPr>
              <w:spacing w:line="560" w:lineRule="exact"/>
              <w:jc w:val="center"/>
            </w:pPr>
          </w:p>
        </w:tc>
        <w:tc>
          <w:tcPr>
            <w:tcW w:w="640" w:type="dxa"/>
            <w:noWrap/>
            <w:vAlign w:val="center"/>
          </w:tcPr>
          <w:p w14:paraId="36FD1231">
            <w:pPr>
              <w:spacing w:line="560" w:lineRule="exact"/>
              <w:jc w:val="center"/>
            </w:pPr>
          </w:p>
        </w:tc>
        <w:tc>
          <w:tcPr>
            <w:tcW w:w="620" w:type="dxa"/>
            <w:noWrap/>
            <w:vAlign w:val="center"/>
          </w:tcPr>
          <w:p w14:paraId="757AA968">
            <w:pPr>
              <w:spacing w:line="560" w:lineRule="exact"/>
              <w:jc w:val="center"/>
            </w:pPr>
          </w:p>
        </w:tc>
        <w:tc>
          <w:tcPr>
            <w:tcW w:w="580" w:type="dxa"/>
            <w:noWrap/>
            <w:vAlign w:val="center"/>
          </w:tcPr>
          <w:p w14:paraId="270EDD87">
            <w:pPr>
              <w:spacing w:line="560" w:lineRule="exact"/>
              <w:jc w:val="center"/>
            </w:pPr>
          </w:p>
        </w:tc>
        <w:tc>
          <w:tcPr>
            <w:tcW w:w="600" w:type="dxa"/>
            <w:noWrap/>
            <w:vAlign w:val="center"/>
          </w:tcPr>
          <w:p w14:paraId="6BE4BF2D">
            <w:pPr>
              <w:spacing w:line="560" w:lineRule="exact"/>
              <w:jc w:val="center"/>
            </w:pPr>
          </w:p>
        </w:tc>
      </w:tr>
      <w:tr w14:paraId="5A34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71" w:type="dxa"/>
            <w:noWrap/>
            <w:vAlign w:val="center"/>
          </w:tcPr>
          <w:p w14:paraId="0020D4C7">
            <w:pPr>
              <w:spacing w:line="560" w:lineRule="exact"/>
              <w:jc w:val="center"/>
            </w:pPr>
          </w:p>
        </w:tc>
        <w:tc>
          <w:tcPr>
            <w:tcW w:w="289" w:type="dxa"/>
            <w:noWrap/>
            <w:vAlign w:val="center"/>
          </w:tcPr>
          <w:p w14:paraId="680816E8">
            <w:pPr>
              <w:spacing w:line="560" w:lineRule="exact"/>
              <w:jc w:val="center"/>
            </w:pPr>
          </w:p>
        </w:tc>
        <w:tc>
          <w:tcPr>
            <w:tcW w:w="307" w:type="dxa"/>
            <w:noWrap/>
            <w:vAlign w:val="center"/>
          </w:tcPr>
          <w:p w14:paraId="3DAE59A8">
            <w:pPr>
              <w:spacing w:line="560" w:lineRule="exact"/>
              <w:jc w:val="center"/>
            </w:pPr>
          </w:p>
        </w:tc>
        <w:tc>
          <w:tcPr>
            <w:tcW w:w="307" w:type="dxa"/>
            <w:noWrap/>
            <w:vAlign w:val="center"/>
          </w:tcPr>
          <w:p w14:paraId="426D6C2B">
            <w:pPr>
              <w:spacing w:line="560" w:lineRule="exact"/>
              <w:jc w:val="center"/>
            </w:pPr>
          </w:p>
        </w:tc>
        <w:tc>
          <w:tcPr>
            <w:tcW w:w="826" w:type="dxa"/>
            <w:noWrap/>
            <w:vAlign w:val="center"/>
          </w:tcPr>
          <w:p w14:paraId="50C47C1C">
            <w:pPr>
              <w:spacing w:line="560" w:lineRule="exact"/>
              <w:jc w:val="center"/>
            </w:pPr>
          </w:p>
        </w:tc>
        <w:tc>
          <w:tcPr>
            <w:tcW w:w="800" w:type="dxa"/>
            <w:noWrap/>
            <w:vAlign w:val="center"/>
          </w:tcPr>
          <w:p w14:paraId="6E94ECD0">
            <w:pPr>
              <w:spacing w:line="560" w:lineRule="exact"/>
              <w:jc w:val="center"/>
            </w:pPr>
          </w:p>
        </w:tc>
        <w:tc>
          <w:tcPr>
            <w:tcW w:w="600" w:type="dxa"/>
            <w:noWrap/>
            <w:vAlign w:val="center"/>
          </w:tcPr>
          <w:p w14:paraId="3F319C56">
            <w:pPr>
              <w:spacing w:line="560" w:lineRule="exact"/>
              <w:jc w:val="center"/>
            </w:pPr>
          </w:p>
        </w:tc>
        <w:tc>
          <w:tcPr>
            <w:tcW w:w="586" w:type="dxa"/>
            <w:gridSpan w:val="2"/>
            <w:noWrap/>
            <w:vAlign w:val="center"/>
          </w:tcPr>
          <w:p w14:paraId="2AA85E60">
            <w:pPr>
              <w:spacing w:line="560" w:lineRule="exact"/>
              <w:jc w:val="center"/>
            </w:pPr>
          </w:p>
        </w:tc>
        <w:tc>
          <w:tcPr>
            <w:tcW w:w="634" w:type="dxa"/>
            <w:noWrap/>
            <w:vAlign w:val="center"/>
          </w:tcPr>
          <w:p w14:paraId="5B469539">
            <w:pPr>
              <w:spacing w:line="560" w:lineRule="exact"/>
              <w:jc w:val="center"/>
            </w:pPr>
          </w:p>
        </w:tc>
        <w:tc>
          <w:tcPr>
            <w:tcW w:w="640" w:type="dxa"/>
            <w:noWrap/>
            <w:vAlign w:val="center"/>
          </w:tcPr>
          <w:p w14:paraId="47658762">
            <w:pPr>
              <w:spacing w:line="560" w:lineRule="exact"/>
              <w:jc w:val="center"/>
            </w:pPr>
          </w:p>
        </w:tc>
        <w:tc>
          <w:tcPr>
            <w:tcW w:w="580" w:type="dxa"/>
            <w:noWrap/>
            <w:vAlign w:val="center"/>
          </w:tcPr>
          <w:p w14:paraId="2879A4A8">
            <w:pPr>
              <w:spacing w:line="560" w:lineRule="exact"/>
              <w:jc w:val="center"/>
            </w:pPr>
          </w:p>
        </w:tc>
        <w:tc>
          <w:tcPr>
            <w:tcW w:w="620" w:type="dxa"/>
            <w:noWrap/>
            <w:vAlign w:val="center"/>
          </w:tcPr>
          <w:p w14:paraId="6C9C6DC0">
            <w:pPr>
              <w:spacing w:line="560" w:lineRule="exact"/>
              <w:jc w:val="center"/>
            </w:pPr>
          </w:p>
        </w:tc>
        <w:tc>
          <w:tcPr>
            <w:tcW w:w="600" w:type="dxa"/>
            <w:noWrap/>
            <w:vAlign w:val="center"/>
          </w:tcPr>
          <w:p w14:paraId="6BCABE13">
            <w:pPr>
              <w:spacing w:line="560" w:lineRule="exact"/>
              <w:jc w:val="center"/>
            </w:pPr>
          </w:p>
        </w:tc>
        <w:tc>
          <w:tcPr>
            <w:tcW w:w="640" w:type="dxa"/>
            <w:noWrap/>
            <w:vAlign w:val="center"/>
          </w:tcPr>
          <w:p w14:paraId="1D2032EC">
            <w:pPr>
              <w:spacing w:line="560" w:lineRule="exact"/>
              <w:jc w:val="center"/>
            </w:pPr>
          </w:p>
        </w:tc>
        <w:tc>
          <w:tcPr>
            <w:tcW w:w="620" w:type="dxa"/>
            <w:noWrap/>
            <w:vAlign w:val="center"/>
          </w:tcPr>
          <w:p w14:paraId="30C0A4E7">
            <w:pPr>
              <w:spacing w:line="560" w:lineRule="exact"/>
              <w:jc w:val="center"/>
            </w:pPr>
          </w:p>
        </w:tc>
        <w:tc>
          <w:tcPr>
            <w:tcW w:w="580" w:type="dxa"/>
            <w:noWrap/>
            <w:vAlign w:val="center"/>
          </w:tcPr>
          <w:p w14:paraId="33EEBB65">
            <w:pPr>
              <w:spacing w:line="560" w:lineRule="exact"/>
              <w:jc w:val="center"/>
            </w:pPr>
          </w:p>
        </w:tc>
        <w:tc>
          <w:tcPr>
            <w:tcW w:w="600" w:type="dxa"/>
            <w:noWrap/>
            <w:vAlign w:val="center"/>
          </w:tcPr>
          <w:p w14:paraId="389A9598">
            <w:pPr>
              <w:spacing w:line="560" w:lineRule="exact"/>
              <w:jc w:val="center"/>
            </w:pPr>
          </w:p>
        </w:tc>
      </w:tr>
      <w:tr w14:paraId="1AE52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800" w:type="dxa"/>
            <w:gridSpan w:val="6"/>
            <w:noWrap/>
            <w:vAlign w:val="center"/>
          </w:tcPr>
          <w:p w14:paraId="7D42C541">
            <w:pPr>
              <w:spacing w:line="560" w:lineRule="exact"/>
              <w:jc w:val="center"/>
              <w:rPr>
                <w:rFonts w:eastAsia="宋体"/>
              </w:rPr>
            </w:pPr>
            <w:r>
              <w:rPr>
                <w:rFonts w:hint="eastAsia"/>
              </w:rPr>
              <w:t>合计</w:t>
            </w:r>
          </w:p>
        </w:tc>
        <w:tc>
          <w:tcPr>
            <w:tcW w:w="600" w:type="dxa"/>
            <w:noWrap/>
            <w:vAlign w:val="center"/>
          </w:tcPr>
          <w:p w14:paraId="71E7E050">
            <w:pPr>
              <w:spacing w:line="560" w:lineRule="exact"/>
              <w:jc w:val="center"/>
            </w:pPr>
          </w:p>
        </w:tc>
        <w:tc>
          <w:tcPr>
            <w:tcW w:w="586" w:type="dxa"/>
            <w:gridSpan w:val="2"/>
            <w:noWrap/>
            <w:vAlign w:val="center"/>
          </w:tcPr>
          <w:p w14:paraId="515BD324">
            <w:pPr>
              <w:spacing w:line="560" w:lineRule="exact"/>
              <w:jc w:val="center"/>
            </w:pPr>
          </w:p>
        </w:tc>
        <w:tc>
          <w:tcPr>
            <w:tcW w:w="634" w:type="dxa"/>
            <w:noWrap/>
            <w:vAlign w:val="center"/>
          </w:tcPr>
          <w:p w14:paraId="4C1818E2">
            <w:pPr>
              <w:spacing w:line="560" w:lineRule="exact"/>
              <w:jc w:val="center"/>
            </w:pPr>
          </w:p>
        </w:tc>
        <w:tc>
          <w:tcPr>
            <w:tcW w:w="640" w:type="dxa"/>
            <w:noWrap/>
            <w:vAlign w:val="center"/>
          </w:tcPr>
          <w:p w14:paraId="3A97C37C">
            <w:pPr>
              <w:spacing w:line="560" w:lineRule="exact"/>
              <w:jc w:val="center"/>
            </w:pPr>
          </w:p>
        </w:tc>
        <w:tc>
          <w:tcPr>
            <w:tcW w:w="580" w:type="dxa"/>
            <w:noWrap/>
            <w:vAlign w:val="center"/>
          </w:tcPr>
          <w:p w14:paraId="4A925367">
            <w:pPr>
              <w:spacing w:line="560" w:lineRule="exact"/>
              <w:jc w:val="center"/>
            </w:pPr>
          </w:p>
        </w:tc>
        <w:tc>
          <w:tcPr>
            <w:tcW w:w="620" w:type="dxa"/>
            <w:noWrap/>
            <w:vAlign w:val="center"/>
          </w:tcPr>
          <w:p w14:paraId="013BB2BE">
            <w:pPr>
              <w:spacing w:line="560" w:lineRule="exact"/>
              <w:jc w:val="center"/>
            </w:pPr>
          </w:p>
        </w:tc>
        <w:tc>
          <w:tcPr>
            <w:tcW w:w="600" w:type="dxa"/>
            <w:noWrap/>
            <w:vAlign w:val="center"/>
          </w:tcPr>
          <w:p w14:paraId="4FD89078">
            <w:pPr>
              <w:spacing w:line="560" w:lineRule="exact"/>
              <w:jc w:val="center"/>
            </w:pPr>
          </w:p>
        </w:tc>
        <w:tc>
          <w:tcPr>
            <w:tcW w:w="640" w:type="dxa"/>
            <w:noWrap/>
            <w:vAlign w:val="center"/>
          </w:tcPr>
          <w:p w14:paraId="41060C32">
            <w:pPr>
              <w:spacing w:line="560" w:lineRule="exact"/>
              <w:jc w:val="center"/>
            </w:pPr>
          </w:p>
        </w:tc>
        <w:tc>
          <w:tcPr>
            <w:tcW w:w="620" w:type="dxa"/>
            <w:noWrap/>
            <w:vAlign w:val="center"/>
          </w:tcPr>
          <w:p w14:paraId="5311791B">
            <w:pPr>
              <w:spacing w:line="560" w:lineRule="exact"/>
              <w:jc w:val="center"/>
            </w:pPr>
          </w:p>
        </w:tc>
        <w:tc>
          <w:tcPr>
            <w:tcW w:w="580" w:type="dxa"/>
            <w:noWrap/>
            <w:vAlign w:val="center"/>
          </w:tcPr>
          <w:p w14:paraId="1C86B203">
            <w:pPr>
              <w:spacing w:line="560" w:lineRule="exact"/>
              <w:jc w:val="center"/>
            </w:pPr>
          </w:p>
        </w:tc>
        <w:tc>
          <w:tcPr>
            <w:tcW w:w="600" w:type="dxa"/>
            <w:noWrap/>
            <w:vAlign w:val="center"/>
          </w:tcPr>
          <w:p w14:paraId="208C2C58">
            <w:pPr>
              <w:spacing w:line="560" w:lineRule="exact"/>
              <w:jc w:val="center"/>
            </w:pPr>
          </w:p>
        </w:tc>
      </w:tr>
      <w:tr w14:paraId="56FBC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060" w:type="dxa"/>
            <w:gridSpan w:val="14"/>
            <w:noWrap/>
            <w:vAlign w:val="center"/>
          </w:tcPr>
          <w:p w14:paraId="7BCA867D">
            <w:pPr>
              <w:spacing w:line="560" w:lineRule="exact"/>
              <w:rPr>
                <w:rFonts w:eastAsia="宋体"/>
              </w:rPr>
            </w:pPr>
            <w:r>
              <w:rPr>
                <w:rFonts w:hint="eastAsia"/>
              </w:rPr>
              <w:t>报销总金额：人民币（大写）</w:t>
            </w:r>
          </w:p>
        </w:tc>
        <w:tc>
          <w:tcPr>
            <w:tcW w:w="2440" w:type="dxa"/>
            <w:gridSpan w:val="4"/>
            <w:noWrap/>
            <w:vAlign w:val="bottom"/>
          </w:tcPr>
          <w:p w14:paraId="2B9C119D">
            <w:pPr>
              <w:spacing w:line="560" w:lineRule="exact"/>
            </w:pPr>
            <w:r>
              <w:rPr>
                <w:rFonts w:hint="eastAsia" w:ascii="Arial" w:hAnsi="Arial" w:cs="Arial"/>
                <w:u w:val="single"/>
              </w:rPr>
              <w:t xml:space="preserve"> </w:t>
            </w:r>
            <w:r>
              <w:rPr>
                <w:rFonts w:ascii="Arial" w:hAnsi="Arial" w:cs="Arial"/>
                <w:u w:val="single"/>
              </w:rPr>
              <w:t>¥</w:t>
            </w:r>
            <w:r>
              <w:rPr>
                <w:rFonts w:hint="eastAsia" w:ascii="Arial" w:hAnsi="Arial" w:cs="Arial"/>
                <w:u w:val="single"/>
              </w:rPr>
              <w:t xml:space="preserve">：                </w:t>
            </w:r>
          </w:p>
        </w:tc>
      </w:tr>
    </w:tbl>
    <w:p w14:paraId="138451F6">
      <w:pPr>
        <w:spacing w:line="560" w:lineRule="exact"/>
      </w:pPr>
    </w:p>
    <w:p w14:paraId="6387A9B5">
      <w:pPr>
        <w:spacing w:line="560" w:lineRule="exact"/>
        <w:rPr>
          <w:rFonts w:eastAsia="宋体"/>
        </w:rPr>
      </w:pPr>
      <w:r>
        <w:rPr>
          <w:rFonts w:hint="eastAsia"/>
        </w:rPr>
        <w:t>分管财务领导：            办公室主任：            财务人员：            出差人：</w:t>
      </w:r>
    </w:p>
    <w:p w14:paraId="34CCD65C">
      <w:pPr>
        <w:spacing w:line="560" w:lineRule="exact"/>
        <w:jc w:val="center"/>
        <w:rPr>
          <w:rFonts w:ascii="方正小标宋简体" w:eastAsia="方正小标宋简体"/>
          <w:sz w:val="44"/>
          <w:szCs w:val="44"/>
        </w:rPr>
      </w:pPr>
    </w:p>
    <w:p w14:paraId="3DCC9688">
      <w:pPr>
        <w:spacing w:line="560" w:lineRule="exact"/>
        <w:jc w:val="center"/>
        <w:rPr>
          <w:rFonts w:ascii="方正小标宋简体" w:eastAsia="方正小标宋简体"/>
          <w:sz w:val="44"/>
          <w:szCs w:val="44"/>
        </w:rPr>
      </w:pPr>
    </w:p>
    <w:p w14:paraId="3BE61D8C">
      <w:pPr>
        <w:spacing w:line="560" w:lineRule="exact"/>
        <w:jc w:val="center"/>
        <w:rPr>
          <w:rFonts w:ascii="方正小标宋简体" w:eastAsia="方正小标宋简体"/>
          <w:sz w:val="44"/>
          <w:szCs w:val="44"/>
        </w:rPr>
      </w:pPr>
    </w:p>
    <w:p w14:paraId="49ED4FB5">
      <w:pPr>
        <w:rPr>
          <w:rFonts w:ascii="方正小标宋简体" w:eastAsia="方正小标宋简体"/>
          <w:sz w:val="44"/>
          <w:szCs w:val="44"/>
        </w:rPr>
      </w:pPr>
      <w:r>
        <w:rPr>
          <w:rFonts w:hint="eastAsia" w:ascii="方正小标宋简体" w:eastAsia="方正小标宋简体"/>
          <w:sz w:val="44"/>
          <w:szCs w:val="44"/>
        </w:rPr>
        <w:br w:type="page"/>
      </w:r>
    </w:p>
    <w:p w14:paraId="62A0EC2A">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部分地区差旅住宿费执行标准(</w:t>
      </w:r>
      <w:r>
        <w:rPr>
          <w:rFonts w:hint="eastAsia" w:ascii="方正小标宋简体" w:eastAsia="方正小标宋简体"/>
          <w:b/>
          <w:bCs/>
          <w:sz w:val="32"/>
          <w:szCs w:val="32"/>
        </w:rPr>
        <w:t>表1</w:t>
      </w:r>
      <w:r>
        <w:rPr>
          <w:rFonts w:hint="eastAsia" w:ascii="方正小标宋简体" w:eastAsia="方正小标宋简体"/>
          <w:sz w:val="44"/>
          <w:szCs w:val="44"/>
        </w:rPr>
        <w:t>)</w:t>
      </w:r>
    </w:p>
    <w:p w14:paraId="4F5DDDBA">
      <w:pPr>
        <w:rPr>
          <w:rFonts w:ascii="方正小标宋简体" w:eastAsia="方正小标宋简体"/>
          <w:sz w:val="44"/>
          <w:szCs w:val="44"/>
        </w:rPr>
      </w:pPr>
      <w:r>
        <w:rPr>
          <w:rFonts w:hint="eastAsia" w:ascii="黑体" w:eastAsia="黑体"/>
          <w:b/>
          <w:sz w:val="36"/>
          <w:szCs w:val="36"/>
        </w:rPr>
        <w:t>吉林省城市差旅住</w:t>
      </w:r>
    </w:p>
    <w:tbl>
      <w:tblPr>
        <w:tblStyle w:val="9"/>
        <w:tblpPr w:leftFromText="180" w:rightFromText="180" w:vertAnchor="page" w:horzAnchor="page" w:tblpX="1499" w:tblpY="4213"/>
        <w:tblW w:w="0" w:type="auto"/>
        <w:tblInd w:w="0" w:type="dxa"/>
        <w:shd w:val="clear" w:color="auto" w:fill="FFFFFF"/>
        <w:tblLayout w:type="fixed"/>
        <w:tblCellMar>
          <w:top w:w="0" w:type="dxa"/>
          <w:left w:w="0" w:type="dxa"/>
          <w:bottom w:w="0" w:type="dxa"/>
          <w:right w:w="0" w:type="dxa"/>
        </w:tblCellMar>
      </w:tblPr>
      <w:tblGrid>
        <w:gridCol w:w="4597"/>
        <w:gridCol w:w="3960"/>
      </w:tblGrid>
      <w:tr w14:paraId="7FB48C71">
        <w:tblPrEx>
          <w:shd w:val="clear" w:color="auto" w:fill="FFFFFF"/>
          <w:tblCellMar>
            <w:top w:w="0" w:type="dxa"/>
            <w:left w:w="0" w:type="dxa"/>
            <w:bottom w:w="0" w:type="dxa"/>
            <w:right w:w="0" w:type="dxa"/>
          </w:tblCellMar>
        </w:tblPrEx>
        <w:trPr>
          <w:trHeight w:val="312" w:hRule="atLeast"/>
        </w:trPr>
        <w:tc>
          <w:tcPr>
            <w:tcW w:w="4597" w:type="dxa"/>
            <w:vMerge w:val="restart"/>
            <w:tcBorders>
              <w:top w:val="single" w:color="auto" w:sz="8" w:space="0"/>
              <w:left w:val="single" w:color="auto" w:sz="8" w:space="0"/>
              <w:bottom w:val="single" w:color="auto" w:sz="8" w:space="0"/>
              <w:right w:val="single" w:color="auto" w:sz="8" w:space="0"/>
            </w:tcBorders>
            <w:shd w:val="clear" w:color="auto" w:fill="FFFFFF"/>
            <w:noWrap/>
            <w:tcMar>
              <w:top w:w="0" w:type="dxa"/>
              <w:left w:w="57" w:type="dxa"/>
              <w:bottom w:w="0" w:type="dxa"/>
              <w:right w:w="57" w:type="dxa"/>
            </w:tcMar>
            <w:vAlign w:val="center"/>
          </w:tcPr>
          <w:p w14:paraId="08A28747">
            <w:pPr>
              <w:widowControl/>
              <w:spacing w:line="560" w:lineRule="exact"/>
              <w:jc w:val="center"/>
              <w:rPr>
                <w:rFonts w:hAnsi="宋体" w:cs="宋体"/>
                <w:color w:val="000000"/>
                <w:kern w:val="0"/>
              </w:rPr>
            </w:pPr>
            <w:r>
              <w:rPr>
                <w:rFonts w:hint="eastAsia" w:hAnsi="宋体" w:cs="宋体"/>
                <w:b/>
                <w:bCs/>
                <w:color w:val="000000"/>
                <w:kern w:val="0"/>
              </w:rPr>
              <w:t>省份</w:t>
            </w:r>
          </w:p>
        </w:tc>
        <w:tc>
          <w:tcPr>
            <w:tcW w:w="3960" w:type="dxa"/>
            <w:tcBorders>
              <w:top w:val="single" w:color="auto" w:sz="4" w:space="0"/>
              <w:left w:val="nil"/>
              <w:bottom w:val="single" w:color="auto" w:sz="8" w:space="0"/>
              <w:right w:val="single" w:color="auto" w:sz="8" w:space="0"/>
            </w:tcBorders>
            <w:shd w:val="clear" w:color="auto" w:fill="FFFFFF"/>
            <w:noWrap/>
            <w:tcMar>
              <w:top w:w="0" w:type="dxa"/>
              <w:left w:w="57" w:type="dxa"/>
              <w:bottom w:w="0" w:type="dxa"/>
              <w:right w:w="57" w:type="dxa"/>
            </w:tcMar>
            <w:vAlign w:val="center"/>
          </w:tcPr>
          <w:p w14:paraId="32BC7348">
            <w:pPr>
              <w:widowControl/>
              <w:wordWrap w:val="0"/>
              <w:spacing w:line="560" w:lineRule="exact"/>
              <w:ind w:firstLine="1033" w:firstLineChars="490"/>
              <w:jc w:val="center"/>
              <w:rPr>
                <w:rFonts w:hAnsi="宋体" w:cs="宋体"/>
                <w:b/>
                <w:bCs/>
                <w:color w:val="000000"/>
                <w:kern w:val="0"/>
              </w:rPr>
            </w:pPr>
            <w:r>
              <w:rPr>
                <w:rFonts w:hint="eastAsia" w:hAnsi="宋体" w:cs="宋体"/>
                <w:b/>
                <w:bCs/>
                <w:color w:val="000000"/>
                <w:kern w:val="0"/>
              </w:rPr>
              <w:t>其他人员（厅局级以下）    住宿费限额标准</w:t>
            </w:r>
          </w:p>
        </w:tc>
      </w:tr>
      <w:tr w14:paraId="5A790BF7">
        <w:tblPrEx>
          <w:tblCellMar>
            <w:top w:w="0" w:type="dxa"/>
            <w:left w:w="0" w:type="dxa"/>
            <w:bottom w:w="0" w:type="dxa"/>
            <w:right w:w="0" w:type="dxa"/>
          </w:tblCellMar>
        </w:tblPrEx>
        <w:trPr>
          <w:trHeight w:val="312" w:hRule="atLeast"/>
        </w:trPr>
        <w:tc>
          <w:tcPr>
            <w:tcW w:w="4597" w:type="dxa"/>
            <w:vMerge w:val="continue"/>
            <w:tcBorders>
              <w:top w:val="single" w:color="auto" w:sz="8" w:space="0"/>
              <w:left w:val="single" w:color="auto" w:sz="8" w:space="0"/>
              <w:bottom w:val="single" w:color="auto" w:sz="8" w:space="0"/>
              <w:right w:val="single" w:color="auto" w:sz="8" w:space="0"/>
            </w:tcBorders>
            <w:shd w:val="clear" w:color="auto" w:fill="FFFFFF"/>
            <w:noWrap/>
            <w:vAlign w:val="center"/>
          </w:tcPr>
          <w:p w14:paraId="372C1784">
            <w:pPr>
              <w:widowControl/>
              <w:spacing w:line="560" w:lineRule="exact"/>
              <w:rPr>
                <w:rFonts w:hAnsi="宋体" w:cs="宋体"/>
                <w:color w:val="000000"/>
                <w:kern w:val="0"/>
              </w:rPr>
            </w:pPr>
          </w:p>
        </w:tc>
        <w:tc>
          <w:tcPr>
            <w:tcW w:w="3960" w:type="dxa"/>
            <w:tcBorders>
              <w:top w:val="nil"/>
              <w:left w:val="nil"/>
              <w:bottom w:val="single" w:color="auto" w:sz="8" w:space="0"/>
              <w:right w:val="single" w:color="auto" w:sz="8" w:space="0"/>
            </w:tcBorders>
            <w:shd w:val="clear" w:color="auto" w:fill="FFFFFF"/>
            <w:noWrap/>
            <w:tcMar>
              <w:top w:w="0" w:type="dxa"/>
              <w:left w:w="57" w:type="dxa"/>
              <w:bottom w:w="0" w:type="dxa"/>
              <w:right w:w="57" w:type="dxa"/>
            </w:tcMar>
            <w:vAlign w:val="center"/>
          </w:tcPr>
          <w:p w14:paraId="6C57F05B">
            <w:pPr>
              <w:widowControl/>
              <w:wordWrap w:val="0"/>
              <w:spacing w:line="560" w:lineRule="exact"/>
              <w:jc w:val="center"/>
              <w:rPr>
                <w:rFonts w:hAnsi="宋体" w:cs="宋体"/>
                <w:color w:val="000000"/>
                <w:kern w:val="0"/>
              </w:rPr>
            </w:pPr>
            <w:r>
              <w:rPr>
                <w:rFonts w:hint="eastAsia" w:hAnsi="宋体" w:cs="宋体"/>
                <w:b/>
                <w:bCs/>
                <w:color w:val="000000"/>
                <w:kern w:val="0"/>
              </w:rPr>
              <w:t>（标准间）</w:t>
            </w:r>
          </w:p>
        </w:tc>
      </w:tr>
      <w:tr w14:paraId="074AB81D">
        <w:tblPrEx>
          <w:tblCellMar>
            <w:top w:w="0" w:type="dxa"/>
            <w:left w:w="0" w:type="dxa"/>
            <w:bottom w:w="0" w:type="dxa"/>
            <w:right w:w="0" w:type="dxa"/>
          </w:tblCellMar>
        </w:tblPrEx>
        <w:trPr>
          <w:trHeight w:val="312" w:hRule="atLeast"/>
        </w:trPr>
        <w:tc>
          <w:tcPr>
            <w:tcW w:w="4597" w:type="dxa"/>
            <w:tcBorders>
              <w:top w:val="nil"/>
              <w:left w:val="single" w:color="auto" w:sz="8" w:space="0"/>
              <w:bottom w:val="single" w:color="auto" w:sz="8" w:space="0"/>
              <w:right w:val="single" w:color="auto" w:sz="8" w:space="0"/>
            </w:tcBorders>
            <w:shd w:val="clear" w:color="auto" w:fill="FFFFFF"/>
            <w:noWrap/>
            <w:tcMar>
              <w:top w:w="0" w:type="dxa"/>
              <w:left w:w="57" w:type="dxa"/>
              <w:bottom w:w="0" w:type="dxa"/>
              <w:right w:w="57" w:type="dxa"/>
            </w:tcMar>
            <w:vAlign w:val="center"/>
          </w:tcPr>
          <w:p w14:paraId="4766430D">
            <w:pPr>
              <w:widowControl/>
              <w:wordWrap w:val="0"/>
              <w:spacing w:line="560" w:lineRule="exact"/>
              <w:jc w:val="center"/>
              <w:rPr>
                <w:rFonts w:hAnsi="宋体" w:cs="宋体"/>
                <w:color w:val="000000"/>
                <w:kern w:val="0"/>
              </w:rPr>
            </w:pPr>
            <w:r>
              <w:rPr>
                <w:rFonts w:hint="eastAsia" w:hAnsi="宋体" w:cs="宋体"/>
                <w:color w:val="000000"/>
                <w:kern w:val="0"/>
              </w:rPr>
              <w:t>北京</w:t>
            </w:r>
          </w:p>
        </w:tc>
        <w:tc>
          <w:tcPr>
            <w:tcW w:w="3960" w:type="dxa"/>
            <w:tcBorders>
              <w:top w:val="nil"/>
              <w:left w:val="nil"/>
              <w:bottom w:val="single" w:color="auto" w:sz="8" w:space="0"/>
              <w:right w:val="single" w:color="auto" w:sz="8" w:space="0"/>
            </w:tcBorders>
            <w:shd w:val="clear" w:color="auto" w:fill="FFFFFF"/>
            <w:noWrap/>
            <w:tcMar>
              <w:top w:w="0" w:type="dxa"/>
              <w:left w:w="57" w:type="dxa"/>
              <w:bottom w:w="0" w:type="dxa"/>
              <w:right w:w="57" w:type="dxa"/>
            </w:tcMar>
            <w:vAlign w:val="center"/>
          </w:tcPr>
          <w:p w14:paraId="3EC428E2">
            <w:pPr>
              <w:widowControl/>
              <w:wordWrap w:val="0"/>
              <w:spacing w:line="560" w:lineRule="exact"/>
              <w:jc w:val="center"/>
              <w:rPr>
                <w:rFonts w:hAnsi="宋体" w:cs="宋体"/>
                <w:color w:val="000000"/>
                <w:kern w:val="0"/>
              </w:rPr>
            </w:pPr>
            <w:r>
              <w:rPr>
                <w:rFonts w:ascii="Calibri" w:hAnsi="Calibri" w:cs="宋体"/>
                <w:color w:val="000000"/>
                <w:kern w:val="0"/>
              </w:rPr>
              <w:t>5</w:t>
            </w:r>
            <w:r>
              <w:rPr>
                <w:rFonts w:hint="eastAsia" w:ascii="Calibri" w:hAnsi="Calibri" w:cs="宋体"/>
                <w:color w:val="000000"/>
                <w:kern w:val="0"/>
              </w:rPr>
              <w:t>0</w:t>
            </w:r>
            <w:r>
              <w:rPr>
                <w:rFonts w:ascii="Calibri" w:hAnsi="Calibri" w:cs="宋体"/>
                <w:color w:val="000000"/>
                <w:kern w:val="0"/>
              </w:rPr>
              <w:t>0</w:t>
            </w:r>
          </w:p>
        </w:tc>
      </w:tr>
      <w:tr w14:paraId="1BFE573A">
        <w:tblPrEx>
          <w:tblCellMar>
            <w:top w:w="0" w:type="dxa"/>
            <w:left w:w="0" w:type="dxa"/>
            <w:bottom w:w="0" w:type="dxa"/>
            <w:right w:w="0" w:type="dxa"/>
          </w:tblCellMar>
        </w:tblPrEx>
        <w:trPr>
          <w:trHeight w:val="312" w:hRule="atLeast"/>
        </w:trPr>
        <w:tc>
          <w:tcPr>
            <w:tcW w:w="4597" w:type="dxa"/>
            <w:tcBorders>
              <w:top w:val="nil"/>
              <w:left w:val="single" w:color="auto" w:sz="8" w:space="0"/>
              <w:bottom w:val="single" w:color="auto" w:sz="8" w:space="0"/>
              <w:right w:val="single" w:color="auto" w:sz="8" w:space="0"/>
            </w:tcBorders>
            <w:shd w:val="clear" w:color="auto" w:fill="FFFFFF"/>
            <w:noWrap/>
            <w:tcMar>
              <w:top w:w="0" w:type="dxa"/>
              <w:left w:w="57" w:type="dxa"/>
              <w:bottom w:w="0" w:type="dxa"/>
              <w:right w:w="57" w:type="dxa"/>
            </w:tcMar>
            <w:vAlign w:val="center"/>
          </w:tcPr>
          <w:p w14:paraId="1D7221EF">
            <w:pPr>
              <w:widowControl/>
              <w:wordWrap w:val="0"/>
              <w:spacing w:line="560" w:lineRule="exact"/>
              <w:jc w:val="center"/>
              <w:rPr>
                <w:rFonts w:hAnsi="宋体" w:cs="宋体"/>
                <w:color w:val="000000"/>
                <w:kern w:val="0"/>
              </w:rPr>
            </w:pPr>
            <w:r>
              <w:rPr>
                <w:rFonts w:hint="eastAsia" w:hAnsi="宋体" w:cs="宋体"/>
                <w:color w:val="000000"/>
                <w:kern w:val="0"/>
              </w:rPr>
              <w:t>天津</w:t>
            </w:r>
          </w:p>
        </w:tc>
        <w:tc>
          <w:tcPr>
            <w:tcW w:w="3960" w:type="dxa"/>
            <w:tcBorders>
              <w:top w:val="nil"/>
              <w:left w:val="nil"/>
              <w:bottom w:val="single" w:color="auto" w:sz="8" w:space="0"/>
              <w:right w:val="single" w:color="auto" w:sz="8" w:space="0"/>
            </w:tcBorders>
            <w:shd w:val="clear" w:color="auto" w:fill="FFFFFF"/>
            <w:noWrap/>
            <w:tcMar>
              <w:top w:w="0" w:type="dxa"/>
              <w:left w:w="57" w:type="dxa"/>
              <w:bottom w:w="0" w:type="dxa"/>
              <w:right w:w="57" w:type="dxa"/>
            </w:tcMar>
            <w:vAlign w:val="center"/>
          </w:tcPr>
          <w:p w14:paraId="3468435C">
            <w:pPr>
              <w:widowControl/>
              <w:wordWrap w:val="0"/>
              <w:spacing w:line="560" w:lineRule="exact"/>
              <w:jc w:val="center"/>
              <w:rPr>
                <w:rFonts w:hAnsi="宋体" w:cs="宋体"/>
                <w:color w:val="000000"/>
                <w:kern w:val="0"/>
              </w:rPr>
            </w:pPr>
            <w:r>
              <w:rPr>
                <w:rFonts w:hint="eastAsia" w:ascii="Calibri" w:hAnsi="Calibri" w:cs="宋体"/>
                <w:color w:val="000000"/>
                <w:kern w:val="0"/>
              </w:rPr>
              <w:t>38</w:t>
            </w:r>
            <w:r>
              <w:rPr>
                <w:rFonts w:ascii="Calibri" w:hAnsi="Calibri" w:cs="宋体"/>
                <w:color w:val="000000"/>
                <w:kern w:val="0"/>
              </w:rPr>
              <w:t>0</w:t>
            </w:r>
          </w:p>
        </w:tc>
      </w:tr>
      <w:tr w14:paraId="7844A697">
        <w:tblPrEx>
          <w:tblCellMar>
            <w:top w:w="0" w:type="dxa"/>
            <w:left w:w="0" w:type="dxa"/>
            <w:bottom w:w="0" w:type="dxa"/>
            <w:right w:w="0" w:type="dxa"/>
          </w:tblCellMar>
        </w:tblPrEx>
        <w:trPr>
          <w:trHeight w:val="312" w:hRule="atLeast"/>
        </w:trPr>
        <w:tc>
          <w:tcPr>
            <w:tcW w:w="4597" w:type="dxa"/>
            <w:tcBorders>
              <w:top w:val="nil"/>
              <w:left w:val="single" w:color="auto" w:sz="8" w:space="0"/>
              <w:bottom w:val="single" w:color="auto" w:sz="8" w:space="0"/>
              <w:right w:val="single" w:color="auto" w:sz="8" w:space="0"/>
            </w:tcBorders>
            <w:shd w:val="clear" w:color="auto" w:fill="FFFFFF"/>
            <w:noWrap/>
            <w:tcMar>
              <w:top w:w="0" w:type="dxa"/>
              <w:left w:w="57" w:type="dxa"/>
              <w:bottom w:w="0" w:type="dxa"/>
              <w:right w:w="57" w:type="dxa"/>
            </w:tcMar>
            <w:vAlign w:val="center"/>
          </w:tcPr>
          <w:p w14:paraId="6A483B5C">
            <w:pPr>
              <w:widowControl/>
              <w:wordWrap w:val="0"/>
              <w:spacing w:line="560" w:lineRule="exact"/>
              <w:jc w:val="center"/>
              <w:rPr>
                <w:rFonts w:hAnsi="宋体" w:cs="宋体"/>
                <w:color w:val="000000"/>
                <w:kern w:val="0"/>
              </w:rPr>
            </w:pPr>
            <w:r>
              <w:rPr>
                <w:rFonts w:hint="eastAsia" w:hAnsi="宋体" w:cs="宋体"/>
                <w:color w:val="000000"/>
                <w:kern w:val="0"/>
              </w:rPr>
              <w:t>河北(石家庄)</w:t>
            </w:r>
          </w:p>
        </w:tc>
        <w:tc>
          <w:tcPr>
            <w:tcW w:w="3960" w:type="dxa"/>
            <w:tcBorders>
              <w:top w:val="nil"/>
              <w:left w:val="nil"/>
              <w:bottom w:val="single" w:color="auto" w:sz="8" w:space="0"/>
              <w:right w:val="single" w:color="auto" w:sz="8" w:space="0"/>
            </w:tcBorders>
            <w:shd w:val="clear" w:color="auto" w:fill="FFFFFF"/>
            <w:noWrap/>
            <w:tcMar>
              <w:top w:w="0" w:type="dxa"/>
              <w:left w:w="57" w:type="dxa"/>
              <w:bottom w:w="0" w:type="dxa"/>
              <w:right w:w="57" w:type="dxa"/>
            </w:tcMar>
            <w:vAlign w:val="center"/>
          </w:tcPr>
          <w:p w14:paraId="4FD9D7DA">
            <w:pPr>
              <w:widowControl/>
              <w:wordWrap w:val="0"/>
              <w:spacing w:line="560" w:lineRule="exact"/>
              <w:jc w:val="center"/>
              <w:rPr>
                <w:rFonts w:hAnsi="宋体" w:cs="宋体"/>
                <w:color w:val="000000"/>
                <w:kern w:val="0"/>
              </w:rPr>
            </w:pPr>
            <w:r>
              <w:rPr>
                <w:rFonts w:hint="eastAsia" w:ascii="Calibri" w:hAnsi="Calibri" w:cs="宋体"/>
                <w:color w:val="000000"/>
                <w:kern w:val="0"/>
              </w:rPr>
              <w:t>350</w:t>
            </w:r>
          </w:p>
        </w:tc>
      </w:tr>
      <w:tr w14:paraId="2C4709DC">
        <w:tblPrEx>
          <w:tblCellMar>
            <w:top w:w="0" w:type="dxa"/>
            <w:left w:w="0" w:type="dxa"/>
            <w:bottom w:w="0" w:type="dxa"/>
            <w:right w:w="0" w:type="dxa"/>
          </w:tblCellMar>
        </w:tblPrEx>
        <w:trPr>
          <w:trHeight w:val="312" w:hRule="atLeast"/>
        </w:trPr>
        <w:tc>
          <w:tcPr>
            <w:tcW w:w="4597" w:type="dxa"/>
            <w:tcBorders>
              <w:top w:val="nil"/>
              <w:left w:val="single" w:color="auto" w:sz="8" w:space="0"/>
              <w:bottom w:val="single" w:color="auto" w:sz="8" w:space="0"/>
              <w:right w:val="single" w:color="auto" w:sz="8" w:space="0"/>
            </w:tcBorders>
            <w:shd w:val="clear" w:color="auto" w:fill="FFFFFF"/>
            <w:noWrap/>
            <w:tcMar>
              <w:top w:w="0" w:type="dxa"/>
              <w:left w:w="57" w:type="dxa"/>
              <w:bottom w:w="0" w:type="dxa"/>
              <w:right w:w="57" w:type="dxa"/>
            </w:tcMar>
            <w:vAlign w:val="center"/>
          </w:tcPr>
          <w:p w14:paraId="6610C9EE">
            <w:pPr>
              <w:widowControl/>
              <w:wordWrap w:val="0"/>
              <w:spacing w:line="560" w:lineRule="exact"/>
              <w:jc w:val="center"/>
              <w:rPr>
                <w:rFonts w:hAnsi="宋体" w:cs="宋体"/>
                <w:color w:val="000000"/>
                <w:kern w:val="0"/>
              </w:rPr>
            </w:pPr>
            <w:r>
              <w:rPr>
                <w:rFonts w:hint="eastAsia" w:hAnsi="宋体" w:cs="宋体"/>
                <w:color w:val="000000"/>
                <w:kern w:val="0"/>
              </w:rPr>
              <w:t>山西(太原)</w:t>
            </w:r>
          </w:p>
        </w:tc>
        <w:tc>
          <w:tcPr>
            <w:tcW w:w="3960" w:type="dxa"/>
            <w:tcBorders>
              <w:top w:val="nil"/>
              <w:left w:val="nil"/>
              <w:bottom w:val="single" w:color="auto" w:sz="8" w:space="0"/>
              <w:right w:val="single" w:color="auto" w:sz="8" w:space="0"/>
            </w:tcBorders>
            <w:shd w:val="clear" w:color="auto" w:fill="FFFFFF"/>
            <w:noWrap/>
            <w:tcMar>
              <w:top w:w="0" w:type="dxa"/>
              <w:left w:w="57" w:type="dxa"/>
              <w:bottom w:w="0" w:type="dxa"/>
              <w:right w:w="57" w:type="dxa"/>
            </w:tcMar>
            <w:vAlign w:val="center"/>
          </w:tcPr>
          <w:p w14:paraId="74C28626">
            <w:pPr>
              <w:widowControl/>
              <w:wordWrap w:val="0"/>
              <w:spacing w:line="560" w:lineRule="exact"/>
              <w:jc w:val="center"/>
              <w:rPr>
                <w:rFonts w:hAnsi="宋体" w:cs="宋体"/>
                <w:color w:val="000000"/>
                <w:kern w:val="0"/>
              </w:rPr>
            </w:pPr>
            <w:r>
              <w:rPr>
                <w:rFonts w:hint="eastAsia" w:ascii="Calibri" w:hAnsi="Calibri" w:cs="宋体"/>
                <w:color w:val="000000"/>
                <w:kern w:val="0"/>
              </w:rPr>
              <w:t>350</w:t>
            </w:r>
          </w:p>
        </w:tc>
      </w:tr>
      <w:tr w14:paraId="486EB2A4">
        <w:tblPrEx>
          <w:tblCellMar>
            <w:top w:w="0" w:type="dxa"/>
            <w:left w:w="0" w:type="dxa"/>
            <w:bottom w:w="0" w:type="dxa"/>
            <w:right w:w="0" w:type="dxa"/>
          </w:tblCellMar>
        </w:tblPrEx>
        <w:trPr>
          <w:trHeight w:val="312" w:hRule="atLeast"/>
        </w:trPr>
        <w:tc>
          <w:tcPr>
            <w:tcW w:w="4597" w:type="dxa"/>
            <w:tcBorders>
              <w:top w:val="nil"/>
              <w:left w:val="single" w:color="auto" w:sz="8" w:space="0"/>
              <w:bottom w:val="single" w:color="auto" w:sz="8" w:space="0"/>
              <w:right w:val="single" w:color="auto" w:sz="8" w:space="0"/>
            </w:tcBorders>
            <w:shd w:val="clear" w:color="auto" w:fill="FFFFFF"/>
            <w:noWrap/>
            <w:tcMar>
              <w:top w:w="0" w:type="dxa"/>
              <w:left w:w="57" w:type="dxa"/>
              <w:bottom w:w="0" w:type="dxa"/>
              <w:right w:w="57" w:type="dxa"/>
            </w:tcMar>
            <w:vAlign w:val="center"/>
          </w:tcPr>
          <w:p w14:paraId="5CBA2DE2">
            <w:pPr>
              <w:widowControl/>
              <w:wordWrap w:val="0"/>
              <w:spacing w:line="560" w:lineRule="exact"/>
              <w:jc w:val="center"/>
              <w:rPr>
                <w:rFonts w:hAnsi="宋体" w:cs="宋体"/>
                <w:color w:val="000000"/>
                <w:kern w:val="0"/>
              </w:rPr>
            </w:pPr>
            <w:r>
              <w:rPr>
                <w:rFonts w:hint="eastAsia" w:hAnsi="宋体" w:cs="宋体"/>
                <w:color w:val="000000"/>
                <w:kern w:val="0"/>
              </w:rPr>
              <w:t>内蒙古(呼和浩特)</w:t>
            </w:r>
          </w:p>
        </w:tc>
        <w:tc>
          <w:tcPr>
            <w:tcW w:w="3960" w:type="dxa"/>
            <w:tcBorders>
              <w:top w:val="nil"/>
              <w:left w:val="nil"/>
              <w:bottom w:val="single" w:color="auto" w:sz="8" w:space="0"/>
              <w:right w:val="single" w:color="auto" w:sz="8" w:space="0"/>
            </w:tcBorders>
            <w:shd w:val="clear" w:color="auto" w:fill="FFFFFF"/>
            <w:noWrap/>
            <w:tcMar>
              <w:top w:w="0" w:type="dxa"/>
              <w:left w:w="57" w:type="dxa"/>
              <w:bottom w:w="0" w:type="dxa"/>
              <w:right w:w="57" w:type="dxa"/>
            </w:tcMar>
            <w:vAlign w:val="center"/>
          </w:tcPr>
          <w:p w14:paraId="6082D91F">
            <w:pPr>
              <w:widowControl/>
              <w:wordWrap w:val="0"/>
              <w:spacing w:line="560" w:lineRule="exact"/>
              <w:jc w:val="center"/>
              <w:rPr>
                <w:rFonts w:hAnsi="宋体" w:cs="宋体"/>
                <w:color w:val="000000"/>
                <w:kern w:val="0"/>
              </w:rPr>
            </w:pPr>
            <w:r>
              <w:rPr>
                <w:rFonts w:hint="eastAsia" w:ascii="Calibri" w:hAnsi="Calibri" w:cs="宋体"/>
                <w:color w:val="000000"/>
                <w:kern w:val="0"/>
              </w:rPr>
              <w:t>350</w:t>
            </w:r>
          </w:p>
        </w:tc>
      </w:tr>
      <w:tr w14:paraId="384A1990">
        <w:tblPrEx>
          <w:tblCellMar>
            <w:top w:w="0" w:type="dxa"/>
            <w:left w:w="0" w:type="dxa"/>
            <w:bottom w:w="0" w:type="dxa"/>
            <w:right w:w="0" w:type="dxa"/>
          </w:tblCellMar>
        </w:tblPrEx>
        <w:trPr>
          <w:trHeight w:val="312" w:hRule="atLeast"/>
        </w:trPr>
        <w:tc>
          <w:tcPr>
            <w:tcW w:w="4597" w:type="dxa"/>
            <w:tcBorders>
              <w:top w:val="nil"/>
              <w:left w:val="single" w:color="auto" w:sz="8" w:space="0"/>
              <w:bottom w:val="single" w:color="auto" w:sz="8" w:space="0"/>
              <w:right w:val="single" w:color="auto" w:sz="8" w:space="0"/>
            </w:tcBorders>
            <w:shd w:val="clear" w:color="auto" w:fill="FFFFFF"/>
            <w:noWrap/>
            <w:tcMar>
              <w:top w:w="0" w:type="dxa"/>
              <w:left w:w="57" w:type="dxa"/>
              <w:bottom w:w="0" w:type="dxa"/>
              <w:right w:w="57" w:type="dxa"/>
            </w:tcMar>
            <w:vAlign w:val="center"/>
          </w:tcPr>
          <w:p w14:paraId="4897D63A">
            <w:pPr>
              <w:widowControl/>
              <w:wordWrap w:val="0"/>
              <w:spacing w:line="560" w:lineRule="exact"/>
              <w:jc w:val="center"/>
              <w:rPr>
                <w:rFonts w:hAnsi="宋体" w:cs="宋体"/>
                <w:color w:val="000000"/>
                <w:kern w:val="0"/>
              </w:rPr>
            </w:pPr>
            <w:r>
              <w:rPr>
                <w:rFonts w:hint="eastAsia" w:hAnsi="宋体" w:cs="宋体"/>
                <w:color w:val="000000"/>
                <w:kern w:val="0"/>
              </w:rPr>
              <w:t>辽宁(沈阳)</w:t>
            </w:r>
          </w:p>
        </w:tc>
        <w:tc>
          <w:tcPr>
            <w:tcW w:w="3960" w:type="dxa"/>
            <w:tcBorders>
              <w:top w:val="nil"/>
              <w:left w:val="nil"/>
              <w:bottom w:val="single" w:color="auto" w:sz="8" w:space="0"/>
              <w:right w:val="single" w:color="auto" w:sz="8" w:space="0"/>
            </w:tcBorders>
            <w:shd w:val="clear" w:color="auto" w:fill="FFFFFF"/>
            <w:noWrap/>
            <w:tcMar>
              <w:top w:w="0" w:type="dxa"/>
              <w:left w:w="57" w:type="dxa"/>
              <w:bottom w:w="0" w:type="dxa"/>
              <w:right w:w="57" w:type="dxa"/>
            </w:tcMar>
            <w:vAlign w:val="center"/>
          </w:tcPr>
          <w:p w14:paraId="26B37784">
            <w:pPr>
              <w:widowControl/>
              <w:wordWrap w:val="0"/>
              <w:spacing w:line="560" w:lineRule="exact"/>
              <w:jc w:val="center"/>
              <w:rPr>
                <w:rFonts w:hAnsi="宋体" w:cs="宋体"/>
                <w:color w:val="000000"/>
                <w:kern w:val="0"/>
              </w:rPr>
            </w:pPr>
            <w:r>
              <w:rPr>
                <w:rFonts w:ascii="Calibri" w:hAnsi="Calibri" w:cs="宋体"/>
                <w:color w:val="000000"/>
                <w:kern w:val="0"/>
              </w:rPr>
              <w:t>3</w:t>
            </w:r>
            <w:r>
              <w:rPr>
                <w:rFonts w:hint="eastAsia" w:ascii="Calibri" w:hAnsi="Calibri" w:cs="宋体"/>
                <w:color w:val="000000"/>
                <w:kern w:val="0"/>
              </w:rPr>
              <w:t>5</w:t>
            </w:r>
            <w:r>
              <w:rPr>
                <w:rFonts w:ascii="Calibri" w:hAnsi="Calibri" w:cs="宋体"/>
                <w:color w:val="000000"/>
                <w:kern w:val="0"/>
              </w:rPr>
              <w:t>0</w:t>
            </w:r>
          </w:p>
        </w:tc>
      </w:tr>
      <w:tr w14:paraId="31721E7A">
        <w:tblPrEx>
          <w:tblCellMar>
            <w:top w:w="0" w:type="dxa"/>
            <w:left w:w="0" w:type="dxa"/>
            <w:bottom w:w="0" w:type="dxa"/>
            <w:right w:w="0" w:type="dxa"/>
          </w:tblCellMar>
        </w:tblPrEx>
        <w:trPr>
          <w:trHeight w:val="312" w:hRule="atLeast"/>
        </w:trPr>
        <w:tc>
          <w:tcPr>
            <w:tcW w:w="4597" w:type="dxa"/>
            <w:tcBorders>
              <w:top w:val="nil"/>
              <w:left w:val="single" w:color="auto" w:sz="8" w:space="0"/>
              <w:bottom w:val="single" w:color="auto" w:sz="8" w:space="0"/>
              <w:right w:val="single" w:color="auto" w:sz="8" w:space="0"/>
            </w:tcBorders>
            <w:shd w:val="clear" w:color="auto" w:fill="FFFFFF"/>
            <w:noWrap/>
            <w:tcMar>
              <w:top w:w="0" w:type="dxa"/>
              <w:left w:w="57" w:type="dxa"/>
              <w:bottom w:w="0" w:type="dxa"/>
              <w:right w:w="57" w:type="dxa"/>
            </w:tcMar>
            <w:vAlign w:val="center"/>
          </w:tcPr>
          <w:p w14:paraId="58BCC061">
            <w:pPr>
              <w:widowControl/>
              <w:wordWrap w:val="0"/>
              <w:spacing w:line="560" w:lineRule="exact"/>
              <w:jc w:val="center"/>
              <w:rPr>
                <w:rFonts w:hAnsi="宋体" w:cs="宋体"/>
                <w:color w:val="000000"/>
                <w:kern w:val="0"/>
              </w:rPr>
            </w:pPr>
            <w:r>
              <w:rPr>
                <w:rFonts w:hint="eastAsia" w:hAnsi="宋体" w:cs="宋体"/>
                <w:color w:val="000000"/>
                <w:kern w:val="0"/>
              </w:rPr>
              <w:t>大连</w:t>
            </w:r>
          </w:p>
        </w:tc>
        <w:tc>
          <w:tcPr>
            <w:tcW w:w="3960" w:type="dxa"/>
            <w:tcBorders>
              <w:top w:val="nil"/>
              <w:left w:val="nil"/>
              <w:bottom w:val="single" w:color="auto" w:sz="8" w:space="0"/>
              <w:right w:val="single" w:color="auto" w:sz="8" w:space="0"/>
            </w:tcBorders>
            <w:shd w:val="clear" w:color="auto" w:fill="FFFFFF"/>
            <w:noWrap/>
            <w:tcMar>
              <w:top w:w="0" w:type="dxa"/>
              <w:left w:w="57" w:type="dxa"/>
              <w:bottom w:w="0" w:type="dxa"/>
              <w:right w:w="57" w:type="dxa"/>
            </w:tcMar>
            <w:vAlign w:val="center"/>
          </w:tcPr>
          <w:p w14:paraId="266FB05C">
            <w:pPr>
              <w:widowControl/>
              <w:wordWrap w:val="0"/>
              <w:spacing w:line="560" w:lineRule="exact"/>
              <w:jc w:val="center"/>
              <w:rPr>
                <w:rFonts w:hAnsi="宋体" w:cs="宋体"/>
                <w:color w:val="000000"/>
                <w:kern w:val="0"/>
              </w:rPr>
            </w:pPr>
            <w:r>
              <w:rPr>
                <w:rFonts w:ascii="Calibri" w:hAnsi="Calibri" w:cs="宋体"/>
                <w:color w:val="000000"/>
                <w:kern w:val="0"/>
              </w:rPr>
              <w:t>3</w:t>
            </w:r>
            <w:r>
              <w:rPr>
                <w:rFonts w:hint="eastAsia" w:ascii="Calibri" w:hAnsi="Calibri" w:cs="宋体"/>
                <w:color w:val="000000"/>
                <w:kern w:val="0"/>
              </w:rPr>
              <w:t>5</w:t>
            </w:r>
            <w:r>
              <w:rPr>
                <w:rFonts w:ascii="Calibri" w:hAnsi="Calibri" w:cs="宋体"/>
                <w:color w:val="000000"/>
                <w:kern w:val="0"/>
              </w:rPr>
              <w:t>0</w:t>
            </w:r>
          </w:p>
        </w:tc>
      </w:tr>
      <w:tr w14:paraId="2C956A9E">
        <w:tblPrEx>
          <w:tblCellMar>
            <w:top w:w="0" w:type="dxa"/>
            <w:left w:w="0" w:type="dxa"/>
            <w:bottom w:w="0" w:type="dxa"/>
            <w:right w:w="0" w:type="dxa"/>
          </w:tblCellMar>
        </w:tblPrEx>
        <w:trPr>
          <w:trHeight w:val="312" w:hRule="atLeast"/>
        </w:trPr>
        <w:tc>
          <w:tcPr>
            <w:tcW w:w="4597" w:type="dxa"/>
            <w:tcBorders>
              <w:top w:val="nil"/>
              <w:left w:val="single" w:color="auto" w:sz="8" w:space="0"/>
              <w:bottom w:val="single" w:color="auto" w:sz="8" w:space="0"/>
              <w:right w:val="single" w:color="auto" w:sz="8" w:space="0"/>
            </w:tcBorders>
            <w:shd w:val="clear" w:color="auto" w:fill="FFFFFF"/>
            <w:noWrap/>
            <w:tcMar>
              <w:top w:w="0" w:type="dxa"/>
              <w:left w:w="57" w:type="dxa"/>
              <w:bottom w:w="0" w:type="dxa"/>
              <w:right w:w="57" w:type="dxa"/>
            </w:tcMar>
            <w:vAlign w:val="center"/>
          </w:tcPr>
          <w:p w14:paraId="78CB424E">
            <w:pPr>
              <w:widowControl/>
              <w:wordWrap w:val="0"/>
              <w:spacing w:line="560" w:lineRule="exact"/>
              <w:jc w:val="center"/>
              <w:rPr>
                <w:rFonts w:hAnsi="宋体" w:cs="宋体"/>
                <w:color w:val="000000"/>
                <w:kern w:val="0"/>
              </w:rPr>
            </w:pPr>
            <w:r>
              <w:rPr>
                <w:rFonts w:hint="eastAsia" w:hAnsi="宋体" w:cs="宋体"/>
                <w:color w:val="000000"/>
                <w:kern w:val="0"/>
              </w:rPr>
              <w:t>吉林(长春)</w:t>
            </w:r>
          </w:p>
        </w:tc>
        <w:tc>
          <w:tcPr>
            <w:tcW w:w="3960" w:type="dxa"/>
            <w:tcBorders>
              <w:top w:val="nil"/>
              <w:left w:val="nil"/>
              <w:bottom w:val="single" w:color="auto" w:sz="8" w:space="0"/>
              <w:right w:val="single" w:color="auto" w:sz="8" w:space="0"/>
            </w:tcBorders>
            <w:shd w:val="clear" w:color="auto" w:fill="FFFFFF"/>
            <w:noWrap/>
            <w:tcMar>
              <w:top w:w="0" w:type="dxa"/>
              <w:left w:w="57" w:type="dxa"/>
              <w:bottom w:w="0" w:type="dxa"/>
              <w:right w:w="57" w:type="dxa"/>
            </w:tcMar>
            <w:vAlign w:val="center"/>
          </w:tcPr>
          <w:p w14:paraId="289F45E3">
            <w:pPr>
              <w:widowControl/>
              <w:wordWrap w:val="0"/>
              <w:spacing w:line="560" w:lineRule="exact"/>
              <w:jc w:val="center"/>
              <w:rPr>
                <w:rFonts w:hAnsi="宋体" w:cs="宋体"/>
                <w:color w:val="000000"/>
                <w:kern w:val="0"/>
              </w:rPr>
            </w:pPr>
            <w:r>
              <w:rPr>
                <w:rFonts w:hint="eastAsia" w:ascii="Calibri" w:hAnsi="Calibri" w:cs="宋体"/>
                <w:color w:val="000000"/>
                <w:kern w:val="0"/>
              </w:rPr>
              <w:t>见表2</w:t>
            </w:r>
          </w:p>
        </w:tc>
      </w:tr>
      <w:tr w14:paraId="1680D68B">
        <w:tblPrEx>
          <w:tblCellMar>
            <w:top w:w="0" w:type="dxa"/>
            <w:left w:w="0" w:type="dxa"/>
            <w:bottom w:w="0" w:type="dxa"/>
            <w:right w:w="0" w:type="dxa"/>
          </w:tblCellMar>
        </w:tblPrEx>
        <w:trPr>
          <w:trHeight w:val="312" w:hRule="atLeast"/>
        </w:trPr>
        <w:tc>
          <w:tcPr>
            <w:tcW w:w="4597" w:type="dxa"/>
            <w:tcBorders>
              <w:top w:val="nil"/>
              <w:left w:val="single" w:color="auto" w:sz="8" w:space="0"/>
              <w:bottom w:val="single" w:color="auto" w:sz="8" w:space="0"/>
              <w:right w:val="single" w:color="auto" w:sz="8" w:space="0"/>
            </w:tcBorders>
            <w:shd w:val="clear" w:color="auto" w:fill="FFFFFF"/>
            <w:noWrap/>
            <w:tcMar>
              <w:top w:w="0" w:type="dxa"/>
              <w:left w:w="57" w:type="dxa"/>
              <w:bottom w:w="0" w:type="dxa"/>
              <w:right w:w="57" w:type="dxa"/>
            </w:tcMar>
            <w:vAlign w:val="center"/>
          </w:tcPr>
          <w:p w14:paraId="4FCDF29B">
            <w:pPr>
              <w:widowControl/>
              <w:wordWrap w:val="0"/>
              <w:spacing w:line="560" w:lineRule="exact"/>
              <w:jc w:val="center"/>
              <w:rPr>
                <w:rFonts w:hAnsi="宋体" w:cs="宋体"/>
                <w:color w:val="000000"/>
                <w:kern w:val="0"/>
              </w:rPr>
            </w:pPr>
            <w:r>
              <w:rPr>
                <w:rFonts w:hint="eastAsia" w:hAnsi="宋体" w:cs="宋体"/>
                <w:color w:val="000000"/>
                <w:kern w:val="0"/>
              </w:rPr>
              <w:t>黑龙江(哈尔滨)</w:t>
            </w:r>
          </w:p>
        </w:tc>
        <w:tc>
          <w:tcPr>
            <w:tcW w:w="3960" w:type="dxa"/>
            <w:tcBorders>
              <w:top w:val="nil"/>
              <w:left w:val="nil"/>
              <w:bottom w:val="single" w:color="auto" w:sz="8" w:space="0"/>
              <w:right w:val="single" w:color="auto" w:sz="8" w:space="0"/>
            </w:tcBorders>
            <w:shd w:val="clear" w:color="auto" w:fill="FFFFFF"/>
            <w:noWrap/>
            <w:tcMar>
              <w:top w:w="0" w:type="dxa"/>
              <w:left w:w="57" w:type="dxa"/>
              <w:bottom w:w="0" w:type="dxa"/>
              <w:right w:w="57" w:type="dxa"/>
            </w:tcMar>
            <w:vAlign w:val="center"/>
          </w:tcPr>
          <w:p w14:paraId="4416D1AC">
            <w:pPr>
              <w:widowControl/>
              <w:wordWrap w:val="0"/>
              <w:spacing w:line="560" w:lineRule="exact"/>
              <w:jc w:val="center"/>
              <w:rPr>
                <w:rFonts w:hAnsi="宋体" w:cs="宋体"/>
                <w:color w:val="000000"/>
                <w:kern w:val="0"/>
              </w:rPr>
            </w:pPr>
            <w:r>
              <w:rPr>
                <w:rFonts w:ascii="Calibri" w:hAnsi="Calibri" w:cs="宋体"/>
                <w:color w:val="000000"/>
                <w:kern w:val="0"/>
              </w:rPr>
              <w:t>3</w:t>
            </w:r>
            <w:r>
              <w:rPr>
                <w:rFonts w:hint="eastAsia" w:ascii="Calibri" w:hAnsi="Calibri" w:cs="宋体"/>
                <w:color w:val="000000"/>
                <w:kern w:val="0"/>
              </w:rPr>
              <w:t>5</w:t>
            </w:r>
            <w:r>
              <w:rPr>
                <w:rFonts w:ascii="Calibri" w:hAnsi="Calibri" w:cs="宋体"/>
                <w:color w:val="000000"/>
                <w:kern w:val="0"/>
              </w:rPr>
              <w:t>0</w:t>
            </w:r>
          </w:p>
        </w:tc>
      </w:tr>
      <w:tr w14:paraId="66A5F2D6">
        <w:tblPrEx>
          <w:tblCellMar>
            <w:top w:w="0" w:type="dxa"/>
            <w:left w:w="0" w:type="dxa"/>
            <w:bottom w:w="0" w:type="dxa"/>
            <w:right w:w="0" w:type="dxa"/>
          </w:tblCellMar>
        </w:tblPrEx>
        <w:trPr>
          <w:trHeight w:val="312" w:hRule="atLeast"/>
        </w:trPr>
        <w:tc>
          <w:tcPr>
            <w:tcW w:w="4597" w:type="dxa"/>
            <w:tcBorders>
              <w:top w:val="nil"/>
              <w:left w:val="single" w:color="auto" w:sz="8" w:space="0"/>
              <w:bottom w:val="single" w:color="auto" w:sz="8" w:space="0"/>
              <w:right w:val="single" w:color="auto" w:sz="8" w:space="0"/>
            </w:tcBorders>
            <w:shd w:val="clear" w:color="auto" w:fill="FFFFFF"/>
            <w:noWrap/>
            <w:tcMar>
              <w:top w:w="0" w:type="dxa"/>
              <w:left w:w="57" w:type="dxa"/>
              <w:bottom w:w="0" w:type="dxa"/>
              <w:right w:w="57" w:type="dxa"/>
            </w:tcMar>
            <w:vAlign w:val="center"/>
          </w:tcPr>
          <w:p w14:paraId="10CAD29E">
            <w:pPr>
              <w:widowControl/>
              <w:wordWrap w:val="0"/>
              <w:spacing w:line="560" w:lineRule="exact"/>
              <w:jc w:val="center"/>
              <w:rPr>
                <w:rFonts w:hAnsi="宋体" w:cs="宋体"/>
                <w:color w:val="000000"/>
                <w:kern w:val="0"/>
              </w:rPr>
            </w:pPr>
            <w:r>
              <w:rPr>
                <w:rFonts w:hint="eastAsia" w:hAnsi="宋体" w:cs="宋体"/>
                <w:color w:val="000000"/>
                <w:kern w:val="0"/>
              </w:rPr>
              <w:t>上海</w:t>
            </w:r>
          </w:p>
        </w:tc>
        <w:tc>
          <w:tcPr>
            <w:tcW w:w="3960" w:type="dxa"/>
            <w:tcBorders>
              <w:top w:val="nil"/>
              <w:left w:val="nil"/>
              <w:bottom w:val="single" w:color="auto" w:sz="8" w:space="0"/>
              <w:right w:val="single" w:color="auto" w:sz="8" w:space="0"/>
            </w:tcBorders>
            <w:shd w:val="clear" w:color="auto" w:fill="FFFFFF"/>
            <w:noWrap/>
            <w:tcMar>
              <w:top w:w="0" w:type="dxa"/>
              <w:left w:w="57" w:type="dxa"/>
              <w:bottom w:w="0" w:type="dxa"/>
              <w:right w:w="57" w:type="dxa"/>
            </w:tcMar>
            <w:vAlign w:val="center"/>
          </w:tcPr>
          <w:p w14:paraId="165A7FDB">
            <w:pPr>
              <w:widowControl/>
              <w:wordWrap w:val="0"/>
              <w:spacing w:line="560" w:lineRule="exact"/>
              <w:jc w:val="center"/>
              <w:rPr>
                <w:rFonts w:hAnsi="宋体" w:cs="宋体"/>
                <w:color w:val="000000"/>
                <w:kern w:val="0"/>
              </w:rPr>
            </w:pPr>
            <w:r>
              <w:rPr>
                <w:rFonts w:hint="eastAsia" w:ascii="Calibri" w:hAnsi="Calibri" w:cs="宋体"/>
                <w:color w:val="000000"/>
                <w:kern w:val="0"/>
              </w:rPr>
              <w:t>50</w:t>
            </w:r>
            <w:r>
              <w:rPr>
                <w:rFonts w:ascii="Calibri" w:hAnsi="Calibri" w:cs="宋体"/>
                <w:color w:val="000000"/>
                <w:kern w:val="0"/>
              </w:rPr>
              <w:t>0</w:t>
            </w:r>
          </w:p>
        </w:tc>
      </w:tr>
      <w:tr w14:paraId="43E60C4D">
        <w:tblPrEx>
          <w:tblCellMar>
            <w:top w:w="0" w:type="dxa"/>
            <w:left w:w="0" w:type="dxa"/>
            <w:bottom w:w="0" w:type="dxa"/>
            <w:right w:w="0" w:type="dxa"/>
          </w:tblCellMar>
        </w:tblPrEx>
        <w:trPr>
          <w:trHeight w:val="312" w:hRule="atLeast"/>
        </w:trPr>
        <w:tc>
          <w:tcPr>
            <w:tcW w:w="4597" w:type="dxa"/>
            <w:tcBorders>
              <w:top w:val="nil"/>
              <w:left w:val="single" w:color="auto" w:sz="8" w:space="0"/>
              <w:bottom w:val="single" w:color="auto" w:sz="8" w:space="0"/>
              <w:right w:val="single" w:color="auto" w:sz="8" w:space="0"/>
            </w:tcBorders>
            <w:shd w:val="clear" w:color="auto" w:fill="FFFFFF"/>
            <w:noWrap/>
            <w:tcMar>
              <w:top w:w="0" w:type="dxa"/>
              <w:left w:w="57" w:type="dxa"/>
              <w:bottom w:w="0" w:type="dxa"/>
              <w:right w:w="57" w:type="dxa"/>
            </w:tcMar>
            <w:vAlign w:val="center"/>
          </w:tcPr>
          <w:p w14:paraId="7D2A9004">
            <w:pPr>
              <w:widowControl/>
              <w:wordWrap w:val="0"/>
              <w:spacing w:line="560" w:lineRule="exact"/>
              <w:jc w:val="center"/>
              <w:rPr>
                <w:rFonts w:hAnsi="宋体" w:cs="宋体"/>
                <w:color w:val="000000"/>
                <w:kern w:val="0"/>
              </w:rPr>
            </w:pPr>
            <w:r>
              <w:rPr>
                <w:rFonts w:hint="eastAsia" w:hAnsi="宋体" w:cs="宋体"/>
                <w:color w:val="000000"/>
                <w:kern w:val="0"/>
              </w:rPr>
              <w:t>江苏(南京)</w:t>
            </w:r>
          </w:p>
        </w:tc>
        <w:tc>
          <w:tcPr>
            <w:tcW w:w="3960" w:type="dxa"/>
            <w:tcBorders>
              <w:top w:val="nil"/>
              <w:left w:val="nil"/>
              <w:bottom w:val="single" w:color="auto" w:sz="8" w:space="0"/>
              <w:right w:val="single" w:color="auto" w:sz="8" w:space="0"/>
            </w:tcBorders>
            <w:shd w:val="clear" w:color="auto" w:fill="FFFFFF"/>
            <w:noWrap/>
            <w:tcMar>
              <w:top w:w="0" w:type="dxa"/>
              <w:left w:w="57" w:type="dxa"/>
              <w:bottom w:w="0" w:type="dxa"/>
              <w:right w:w="57" w:type="dxa"/>
            </w:tcMar>
            <w:vAlign w:val="center"/>
          </w:tcPr>
          <w:p w14:paraId="7D751505">
            <w:pPr>
              <w:widowControl/>
              <w:wordWrap w:val="0"/>
              <w:spacing w:line="560" w:lineRule="exact"/>
              <w:jc w:val="center"/>
              <w:rPr>
                <w:rFonts w:hAnsi="宋体" w:cs="宋体"/>
                <w:color w:val="000000"/>
                <w:kern w:val="0"/>
              </w:rPr>
            </w:pPr>
            <w:r>
              <w:rPr>
                <w:rFonts w:hint="eastAsia" w:ascii="Calibri" w:hAnsi="Calibri" w:cs="宋体"/>
                <w:color w:val="000000"/>
                <w:kern w:val="0"/>
              </w:rPr>
              <w:t>380</w:t>
            </w:r>
          </w:p>
        </w:tc>
      </w:tr>
      <w:tr w14:paraId="2AF7F24B">
        <w:tblPrEx>
          <w:tblCellMar>
            <w:top w:w="0" w:type="dxa"/>
            <w:left w:w="0" w:type="dxa"/>
            <w:bottom w:w="0" w:type="dxa"/>
            <w:right w:w="0" w:type="dxa"/>
          </w:tblCellMar>
        </w:tblPrEx>
        <w:trPr>
          <w:trHeight w:val="312" w:hRule="atLeast"/>
        </w:trPr>
        <w:tc>
          <w:tcPr>
            <w:tcW w:w="4597" w:type="dxa"/>
            <w:tcBorders>
              <w:top w:val="nil"/>
              <w:left w:val="single" w:color="auto" w:sz="8" w:space="0"/>
              <w:bottom w:val="single" w:color="auto" w:sz="8" w:space="0"/>
              <w:right w:val="single" w:color="auto" w:sz="8" w:space="0"/>
            </w:tcBorders>
            <w:shd w:val="clear" w:color="auto" w:fill="FFFFFF"/>
            <w:noWrap/>
            <w:tcMar>
              <w:top w:w="0" w:type="dxa"/>
              <w:left w:w="57" w:type="dxa"/>
              <w:bottom w:w="0" w:type="dxa"/>
              <w:right w:w="57" w:type="dxa"/>
            </w:tcMar>
            <w:vAlign w:val="center"/>
          </w:tcPr>
          <w:p w14:paraId="59D20D52">
            <w:pPr>
              <w:widowControl/>
              <w:wordWrap w:val="0"/>
              <w:spacing w:line="560" w:lineRule="exact"/>
              <w:jc w:val="center"/>
              <w:rPr>
                <w:rFonts w:hAnsi="宋体" w:cs="宋体"/>
                <w:color w:val="000000"/>
                <w:kern w:val="0"/>
              </w:rPr>
            </w:pPr>
            <w:r>
              <w:rPr>
                <w:rFonts w:hint="eastAsia" w:hAnsi="宋体" w:cs="宋体"/>
                <w:color w:val="000000"/>
                <w:kern w:val="0"/>
              </w:rPr>
              <w:t>浙江(杭州)</w:t>
            </w:r>
          </w:p>
        </w:tc>
        <w:tc>
          <w:tcPr>
            <w:tcW w:w="3960" w:type="dxa"/>
            <w:tcBorders>
              <w:left w:val="nil"/>
              <w:bottom w:val="single" w:color="auto" w:sz="8" w:space="0"/>
              <w:right w:val="single" w:color="auto" w:sz="8" w:space="0"/>
            </w:tcBorders>
            <w:shd w:val="clear" w:color="auto" w:fill="FFFFFF"/>
            <w:noWrap/>
            <w:tcMar>
              <w:top w:w="0" w:type="dxa"/>
              <w:left w:w="57" w:type="dxa"/>
              <w:bottom w:w="0" w:type="dxa"/>
              <w:right w:w="57" w:type="dxa"/>
            </w:tcMar>
            <w:vAlign w:val="center"/>
          </w:tcPr>
          <w:p w14:paraId="46B1379D">
            <w:pPr>
              <w:widowControl/>
              <w:wordWrap w:val="0"/>
              <w:spacing w:line="560" w:lineRule="exact"/>
              <w:jc w:val="center"/>
              <w:rPr>
                <w:rFonts w:hAnsi="宋体" w:cs="宋体"/>
                <w:color w:val="000000"/>
                <w:kern w:val="0"/>
              </w:rPr>
            </w:pPr>
            <w:r>
              <w:rPr>
                <w:rFonts w:hint="eastAsia" w:ascii="Calibri" w:hAnsi="Calibri" w:cs="宋体"/>
                <w:color w:val="000000"/>
                <w:kern w:val="0"/>
              </w:rPr>
              <w:t>400</w:t>
            </w:r>
          </w:p>
        </w:tc>
      </w:tr>
      <w:tr w14:paraId="1753EB9F">
        <w:tblPrEx>
          <w:tblCellMar>
            <w:top w:w="0" w:type="dxa"/>
            <w:left w:w="0" w:type="dxa"/>
            <w:bottom w:w="0" w:type="dxa"/>
            <w:right w:w="0" w:type="dxa"/>
          </w:tblCellMar>
        </w:tblPrEx>
        <w:trPr>
          <w:trHeight w:val="312" w:hRule="atLeast"/>
        </w:trPr>
        <w:tc>
          <w:tcPr>
            <w:tcW w:w="4597" w:type="dxa"/>
            <w:tcBorders>
              <w:top w:val="nil"/>
              <w:left w:val="single" w:color="auto" w:sz="8" w:space="0"/>
              <w:bottom w:val="single" w:color="auto" w:sz="8" w:space="0"/>
              <w:right w:val="single" w:color="auto" w:sz="8" w:space="0"/>
            </w:tcBorders>
            <w:shd w:val="clear" w:color="auto" w:fill="FFFFFF"/>
            <w:noWrap/>
            <w:tcMar>
              <w:top w:w="0" w:type="dxa"/>
              <w:left w:w="57" w:type="dxa"/>
              <w:bottom w:w="0" w:type="dxa"/>
              <w:right w:w="57" w:type="dxa"/>
            </w:tcMar>
            <w:vAlign w:val="center"/>
          </w:tcPr>
          <w:p w14:paraId="56422246">
            <w:pPr>
              <w:widowControl/>
              <w:wordWrap w:val="0"/>
              <w:spacing w:line="560" w:lineRule="exact"/>
              <w:jc w:val="center"/>
              <w:rPr>
                <w:rFonts w:hAnsi="宋体" w:cs="宋体"/>
                <w:color w:val="000000"/>
                <w:kern w:val="0"/>
              </w:rPr>
            </w:pPr>
            <w:r>
              <w:rPr>
                <w:rFonts w:hint="eastAsia" w:hAnsi="宋体" w:cs="宋体"/>
                <w:color w:val="000000"/>
                <w:kern w:val="0"/>
              </w:rPr>
              <w:t>宁波</w:t>
            </w:r>
          </w:p>
        </w:tc>
        <w:tc>
          <w:tcPr>
            <w:tcW w:w="3960" w:type="dxa"/>
            <w:tcBorders>
              <w:top w:val="nil"/>
              <w:left w:val="nil"/>
              <w:bottom w:val="single" w:color="auto" w:sz="8" w:space="0"/>
              <w:right w:val="single" w:color="auto" w:sz="8" w:space="0"/>
            </w:tcBorders>
            <w:shd w:val="clear" w:color="auto" w:fill="FFFFFF"/>
            <w:noWrap/>
            <w:tcMar>
              <w:top w:w="0" w:type="dxa"/>
              <w:left w:w="57" w:type="dxa"/>
              <w:bottom w:w="0" w:type="dxa"/>
              <w:right w:w="57" w:type="dxa"/>
            </w:tcMar>
            <w:vAlign w:val="center"/>
          </w:tcPr>
          <w:p w14:paraId="75E17209">
            <w:pPr>
              <w:widowControl/>
              <w:wordWrap w:val="0"/>
              <w:spacing w:line="560" w:lineRule="exact"/>
              <w:jc w:val="center"/>
              <w:rPr>
                <w:rFonts w:hAnsi="宋体" w:cs="宋体"/>
                <w:color w:val="000000"/>
                <w:kern w:val="0"/>
              </w:rPr>
            </w:pPr>
            <w:r>
              <w:rPr>
                <w:rFonts w:hint="eastAsia" w:ascii="Calibri" w:hAnsi="Calibri" w:cs="宋体"/>
                <w:color w:val="000000"/>
                <w:kern w:val="0"/>
              </w:rPr>
              <w:t>350</w:t>
            </w:r>
          </w:p>
        </w:tc>
      </w:tr>
      <w:tr w14:paraId="77F1ED17">
        <w:tblPrEx>
          <w:tblCellMar>
            <w:top w:w="0" w:type="dxa"/>
            <w:left w:w="0" w:type="dxa"/>
            <w:bottom w:w="0" w:type="dxa"/>
            <w:right w:w="0" w:type="dxa"/>
          </w:tblCellMar>
        </w:tblPrEx>
        <w:trPr>
          <w:trHeight w:val="312" w:hRule="atLeast"/>
        </w:trPr>
        <w:tc>
          <w:tcPr>
            <w:tcW w:w="4597" w:type="dxa"/>
            <w:tcBorders>
              <w:top w:val="nil"/>
              <w:left w:val="single" w:color="auto" w:sz="8" w:space="0"/>
              <w:bottom w:val="single" w:color="auto" w:sz="8" w:space="0"/>
              <w:right w:val="single" w:color="auto" w:sz="8" w:space="0"/>
            </w:tcBorders>
            <w:shd w:val="clear" w:color="auto" w:fill="FFFFFF"/>
            <w:noWrap/>
            <w:tcMar>
              <w:top w:w="0" w:type="dxa"/>
              <w:left w:w="57" w:type="dxa"/>
              <w:bottom w:w="0" w:type="dxa"/>
              <w:right w:w="57" w:type="dxa"/>
            </w:tcMar>
            <w:vAlign w:val="center"/>
          </w:tcPr>
          <w:p w14:paraId="65187855">
            <w:pPr>
              <w:widowControl/>
              <w:wordWrap w:val="0"/>
              <w:spacing w:line="560" w:lineRule="exact"/>
              <w:jc w:val="center"/>
              <w:rPr>
                <w:rFonts w:hAnsi="宋体" w:cs="宋体"/>
                <w:color w:val="000000"/>
                <w:kern w:val="0"/>
              </w:rPr>
            </w:pPr>
            <w:r>
              <w:rPr>
                <w:rFonts w:hint="eastAsia" w:hAnsi="宋体" w:cs="宋体"/>
                <w:color w:val="000000"/>
                <w:kern w:val="0"/>
              </w:rPr>
              <w:t>安徽(合肥)</w:t>
            </w:r>
          </w:p>
        </w:tc>
        <w:tc>
          <w:tcPr>
            <w:tcW w:w="3960" w:type="dxa"/>
            <w:tcBorders>
              <w:top w:val="nil"/>
              <w:left w:val="nil"/>
              <w:bottom w:val="single" w:color="auto" w:sz="8" w:space="0"/>
              <w:right w:val="single" w:color="auto" w:sz="8" w:space="0"/>
            </w:tcBorders>
            <w:shd w:val="clear" w:color="auto" w:fill="FFFFFF"/>
            <w:noWrap/>
            <w:tcMar>
              <w:top w:w="0" w:type="dxa"/>
              <w:left w:w="57" w:type="dxa"/>
              <w:bottom w:w="0" w:type="dxa"/>
              <w:right w:w="57" w:type="dxa"/>
            </w:tcMar>
            <w:vAlign w:val="center"/>
          </w:tcPr>
          <w:p w14:paraId="29F848BC">
            <w:pPr>
              <w:widowControl/>
              <w:wordWrap w:val="0"/>
              <w:spacing w:line="560" w:lineRule="exact"/>
              <w:jc w:val="center"/>
              <w:rPr>
                <w:rFonts w:hAnsi="宋体" w:cs="宋体"/>
                <w:color w:val="000000"/>
                <w:kern w:val="0"/>
              </w:rPr>
            </w:pPr>
            <w:r>
              <w:rPr>
                <w:rFonts w:hint="eastAsia" w:ascii="Calibri" w:hAnsi="Calibri" w:cs="宋体"/>
                <w:color w:val="000000"/>
                <w:kern w:val="0"/>
              </w:rPr>
              <w:t>350</w:t>
            </w:r>
          </w:p>
        </w:tc>
      </w:tr>
      <w:tr w14:paraId="4C9F4AA4">
        <w:tblPrEx>
          <w:tblCellMar>
            <w:top w:w="0" w:type="dxa"/>
            <w:left w:w="0" w:type="dxa"/>
            <w:bottom w:w="0" w:type="dxa"/>
            <w:right w:w="0" w:type="dxa"/>
          </w:tblCellMar>
        </w:tblPrEx>
        <w:trPr>
          <w:trHeight w:val="312" w:hRule="atLeast"/>
        </w:trPr>
        <w:tc>
          <w:tcPr>
            <w:tcW w:w="4597" w:type="dxa"/>
            <w:tcBorders>
              <w:top w:val="nil"/>
              <w:left w:val="single" w:color="auto" w:sz="8" w:space="0"/>
              <w:bottom w:val="single" w:color="auto" w:sz="8" w:space="0"/>
              <w:right w:val="single" w:color="auto" w:sz="8" w:space="0"/>
            </w:tcBorders>
            <w:shd w:val="clear" w:color="auto" w:fill="FFFFFF"/>
            <w:noWrap/>
            <w:tcMar>
              <w:top w:w="0" w:type="dxa"/>
              <w:left w:w="57" w:type="dxa"/>
              <w:bottom w:w="0" w:type="dxa"/>
              <w:right w:w="57" w:type="dxa"/>
            </w:tcMar>
            <w:vAlign w:val="center"/>
          </w:tcPr>
          <w:p w14:paraId="3D193363">
            <w:pPr>
              <w:widowControl/>
              <w:wordWrap w:val="0"/>
              <w:spacing w:line="560" w:lineRule="exact"/>
              <w:jc w:val="center"/>
              <w:rPr>
                <w:rFonts w:hAnsi="宋体" w:cs="宋体"/>
                <w:color w:val="000000"/>
                <w:kern w:val="0"/>
              </w:rPr>
            </w:pPr>
            <w:r>
              <w:rPr>
                <w:rFonts w:hint="eastAsia" w:hAnsi="宋体" w:cs="宋体"/>
                <w:color w:val="000000"/>
                <w:kern w:val="0"/>
              </w:rPr>
              <w:t>福建(福州)</w:t>
            </w:r>
          </w:p>
        </w:tc>
        <w:tc>
          <w:tcPr>
            <w:tcW w:w="3960" w:type="dxa"/>
            <w:tcBorders>
              <w:top w:val="nil"/>
              <w:left w:val="nil"/>
              <w:bottom w:val="single" w:color="auto" w:sz="8" w:space="0"/>
              <w:right w:val="single" w:color="auto" w:sz="8" w:space="0"/>
            </w:tcBorders>
            <w:shd w:val="clear" w:color="auto" w:fill="FFFFFF"/>
            <w:noWrap/>
            <w:tcMar>
              <w:top w:w="0" w:type="dxa"/>
              <w:left w:w="57" w:type="dxa"/>
              <w:bottom w:w="0" w:type="dxa"/>
              <w:right w:w="57" w:type="dxa"/>
            </w:tcMar>
            <w:vAlign w:val="center"/>
          </w:tcPr>
          <w:p w14:paraId="6C7401AA">
            <w:pPr>
              <w:widowControl/>
              <w:wordWrap w:val="0"/>
              <w:spacing w:line="560" w:lineRule="exact"/>
              <w:jc w:val="center"/>
              <w:rPr>
                <w:rFonts w:hAnsi="宋体" w:cs="宋体"/>
                <w:color w:val="000000"/>
                <w:kern w:val="0"/>
              </w:rPr>
            </w:pPr>
            <w:r>
              <w:rPr>
                <w:rFonts w:hint="eastAsia" w:hAnsi="宋体" w:cs="宋体"/>
                <w:color w:val="000000"/>
                <w:kern w:val="0"/>
              </w:rPr>
              <w:t>380</w:t>
            </w:r>
          </w:p>
        </w:tc>
      </w:tr>
      <w:tr w14:paraId="77094DD1">
        <w:tblPrEx>
          <w:tblCellMar>
            <w:top w:w="0" w:type="dxa"/>
            <w:left w:w="0" w:type="dxa"/>
            <w:bottom w:w="0" w:type="dxa"/>
            <w:right w:w="0" w:type="dxa"/>
          </w:tblCellMar>
        </w:tblPrEx>
        <w:trPr>
          <w:trHeight w:val="312" w:hRule="atLeast"/>
        </w:trPr>
        <w:tc>
          <w:tcPr>
            <w:tcW w:w="4597" w:type="dxa"/>
            <w:tcBorders>
              <w:top w:val="nil"/>
              <w:left w:val="single" w:color="auto" w:sz="8" w:space="0"/>
              <w:bottom w:val="single" w:color="auto" w:sz="8" w:space="0"/>
              <w:right w:val="single" w:color="auto" w:sz="8" w:space="0"/>
            </w:tcBorders>
            <w:shd w:val="clear" w:color="auto" w:fill="FFFFFF"/>
            <w:noWrap/>
            <w:tcMar>
              <w:top w:w="0" w:type="dxa"/>
              <w:left w:w="57" w:type="dxa"/>
              <w:bottom w:w="0" w:type="dxa"/>
              <w:right w:w="57" w:type="dxa"/>
            </w:tcMar>
            <w:vAlign w:val="center"/>
          </w:tcPr>
          <w:p w14:paraId="5F09CF5F">
            <w:pPr>
              <w:widowControl/>
              <w:wordWrap w:val="0"/>
              <w:spacing w:line="560" w:lineRule="exact"/>
              <w:jc w:val="center"/>
              <w:rPr>
                <w:rFonts w:hAnsi="宋体" w:cs="宋体"/>
                <w:color w:val="000000"/>
                <w:kern w:val="0"/>
              </w:rPr>
            </w:pPr>
            <w:r>
              <w:rPr>
                <w:rFonts w:hint="eastAsia" w:hAnsi="宋体" w:cs="宋体"/>
                <w:color w:val="000000"/>
                <w:kern w:val="0"/>
              </w:rPr>
              <w:t>厦门</w:t>
            </w:r>
          </w:p>
        </w:tc>
        <w:tc>
          <w:tcPr>
            <w:tcW w:w="3960" w:type="dxa"/>
            <w:tcBorders>
              <w:top w:val="nil"/>
              <w:left w:val="nil"/>
              <w:bottom w:val="single" w:color="auto" w:sz="8" w:space="0"/>
              <w:right w:val="single" w:color="auto" w:sz="8" w:space="0"/>
            </w:tcBorders>
            <w:shd w:val="clear" w:color="auto" w:fill="FFFFFF"/>
            <w:noWrap/>
            <w:tcMar>
              <w:top w:w="0" w:type="dxa"/>
              <w:left w:w="57" w:type="dxa"/>
              <w:bottom w:w="0" w:type="dxa"/>
              <w:right w:w="57" w:type="dxa"/>
            </w:tcMar>
            <w:vAlign w:val="center"/>
          </w:tcPr>
          <w:p w14:paraId="17F3E34A">
            <w:pPr>
              <w:widowControl/>
              <w:wordWrap w:val="0"/>
              <w:spacing w:line="560" w:lineRule="exact"/>
              <w:jc w:val="center"/>
              <w:rPr>
                <w:rFonts w:hAnsi="宋体" w:cs="宋体"/>
                <w:color w:val="000000"/>
                <w:kern w:val="0"/>
              </w:rPr>
            </w:pPr>
            <w:r>
              <w:rPr>
                <w:rFonts w:hint="eastAsia" w:ascii="Calibri" w:hAnsi="Calibri" w:cs="宋体"/>
                <w:color w:val="000000"/>
                <w:kern w:val="0"/>
              </w:rPr>
              <w:t>400</w:t>
            </w:r>
          </w:p>
        </w:tc>
      </w:tr>
      <w:tr w14:paraId="20BEBFA9">
        <w:tblPrEx>
          <w:tblCellMar>
            <w:top w:w="0" w:type="dxa"/>
            <w:left w:w="0" w:type="dxa"/>
            <w:bottom w:w="0" w:type="dxa"/>
            <w:right w:w="0" w:type="dxa"/>
          </w:tblCellMar>
        </w:tblPrEx>
        <w:trPr>
          <w:trHeight w:val="312" w:hRule="atLeast"/>
        </w:trPr>
        <w:tc>
          <w:tcPr>
            <w:tcW w:w="4597" w:type="dxa"/>
            <w:tcBorders>
              <w:top w:val="nil"/>
              <w:left w:val="single" w:color="auto" w:sz="8" w:space="0"/>
              <w:bottom w:val="single" w:color="auto" w:sz="8" w:space="0"/>
              <w:right w:val="single" w:color="auto" w:sz="8" w:space="0"/>
            </w:tcBorders>
            <w:shd w:val="clear" w:color="auto" w:fill="FFFFFF"/>
            <w:noWrap/>
            <w:tcMar>
              <w:top w:w="0" w:type="dxa"/>
              <w:left w:w="57" w:type="dxa"/>
              <w:bottom w:w="0" w:type="dxa"/>
              <w:right w:w="57" w:type="dxa"/>
            </w:tcMar>
            <w:vAlign w:val="center"/>
          </w:tcPr>
          <w:p w14:paraId="13799346">
            <w:pPr>
              <w:widowControl/>
              <w:wordWrap w:val="0"/>
              <w:spacing w:line="560" w:lineRule="exact"/>
              <w:jc w:val="center"/>
              <w:rPr>
                <w:rFonts w:hAnsi="宋体" w:cs="宋体"/>
                <w:color w:val="000000"/>
                <w:kern w:val="0"/>
              </w:rPr>
            </w:pPr>
            <w:r>
              <w:rPr>
                <w:rFonts w:hint="eastAsia" w:hAnsi="宋体" w:cs="宋体"/>
                <w:color w:val="000000"/>
                <w:kern w:val="0"/>
              </w:rPr>
              <w:t>江西(南昌)</w:t>
            </w:r>
          </w:p>
        </w:tc>
        <w:tc>
          <w:tcPr>
            <w:tcW w:w="3960" w:type="dxa"/>
            <w:tcBorders>
              <w:top w:val="nil"/>
              <w:left w:val="nil"/>
              <w:bottom w:val="single" w:color="auto" w:sz="8" w:space="0"/>
              <w:right w:val="single" w:color="auto" w:sz="8" w:space="0"/>
            </w:tcBorders>
            <w:shd w:val="clear" w:color="auto" w:fill="FFFFFF"/>
            <w:noWrap/>
            <w:tcMar>
              <w:top w:w="0" w:type="dxa"/>
              <w:left w:w="57" w:type="dxa"/>
              <w:bottom w:w="0" w:type="dxa"/>
              <w:right w:w="57" w:type="dxa"/>
            </w:tcMar>
            <w:vAlign w:val="center"/>
          </w:tcPr>
          <w:p w14:paraId="12B14CDB">
            <w:pPr>
              <w:widowControl/>
              <w:wordWrap w:val="0"/>
              <w:spacing w:line="560" w:lineRule="exact"/>
              <w:jc w:val="center"/>
              <w:rPr>
                <w:rFonts w:hAnsi="宋体" w:cs="宋体"/>
                <w:color w:val="000000"/>
                <w:kern w:val="0"/>
              </w:rPr>
            </w:pPr>
            <w:r>
              <w:rPr>
                <w:rFonts w:hint="eastAsia" w:ascii="Calibri" w:hAnsi="Calibri" w:cs="宋体"/>
                <w:color w:val="000000"/>
                <w:kern w:val="0"/>
              </w:rPr>
              <w:t>350</w:t>
            </w:r>
          </w:p>
        </w:tc>
      </w:tr>
      <w:tr w14:paraId="27547EB1">
        <w:tblPrEx>
          <w:tblCellMar>
            <w:top w:w="0" w:type="dxa"/>
            <w:left w:w="0" w:type="dxa"/>
            <w:bottom w:w="0" w:type="dxa"/>
            <w:right w:w="0" w:type="dxa"/>
          </w:tblCellMar>
        </w:tblPrEx>
        <w:trPr>
          <w:trHeight w:val="312" w:hRule="atLeast"/>
        </w:trPr>
        <w:tc>
          <w:tcPr>
            <w:tcW w:w="4597" w:type="dxa"/>
            <w:tcBorders>
              <w:top w:val="nil"/>
              <w:left w:val="single" w:color="auto" w:sz="8" w:space="0"/>
              <w:bottom w:val="single" w:color="auto" w:sz="8" w:space="0"/>
              <w:right w:val="single" w:color="auto" w:sz="8" w:space="0"/>
            </w:tcBorders>
            <w:shd w:val="clear" w:color="auto" w:fill="FFFFFF"/>
            <w:noWrap/>
            <w:tcMar>
              <w:top w:w="0" w:type="dxa"/>
              <w:left w:w="57" w:type="dxa"/>
              <w:bottom w:w="0" w:type="dxa"/>
              <w:right w:w="57" w:type="dxa"/>
            </w:tcMar>
            <w:vAlign w:val="center"/>
          </w:tcPr>
          <w:p w14:paraId="402E88E7">
            <w:pPr>
              <w:widowControl/>
              <w:wordWrap w:val="0"/>
              <w:spacing w:line="560" w:lineRule="exact"/>
              <w:jc w:val="center"/>
              <w:rPr>
                <w:rFonts w:hAnsi="宋体" w:cs="宋体"/>
                <w:color w:val="000000"/>
                <w:kern w:val="0"/>
              </w:rPr>
            </w:pPr>
            <w:r>
              <w:rPr>
                <w:rFonts w:hint="eastAsia" w:hAnsi="宋体" w:cs="宋体"/>
                <w:color w:val="000000"/>
                <w:kern w:val="0"/>
              </w:rPr>
              <w:t>山东(济南)</w:t>
            </w:r>
          </w:p>
        </w:tc>
        <w:tc>
          <w:tcPr>
            <w:tcW w:w="3960" w:type="dxa"/>
            <w:tcBorders>
              <w:top w:val="nil"/>
              <w:left w:val="nil"/>
              <w:bottom w:val="single" w:color="auto" w:sz="8" w:space="0"/>
              <w:right w:val="single" w:color="auto" w:sz="8" w:space="0"/>
            </w:tcBorders>
            <w:shd w:val="clear" w:color="auto" w:fill="FFFFFF"/>
            <w:noWrap/>
            <w:tcMar>
              <w:top w:w="0" w:type="dxa"/>
              <w:left w:w="57" w:type="dxa"/>
              <w:bottom w:w="0" w:type="dxa"/>
              <w:right w:w="57" w:type="dxa"/>
            </w:tcMar>
            <w:vAlign w:val="center"/>
          </w:tcPr>
          <w:p w14:paraId="700FADBE">
            <w:pPr>
              <w:widowControl/>
              <w:wordWrap w:val="0"/>
              <w:spacing w:line="560" w:lineRule="exact"/>
              <w:jc w:val="center"/>
              <w:rPr>
                <w:rFonts w:hAnsi="宋体" w:cs="宋体"/>
                <w:color w:val="000000"/>
                <w:kern w:val="0"/>
              </w:rPr>
            </w:pPr>
            <w:r>
              <w:rPr>
                <w:rFonts w:ascii="Calibri" w:hAnsi="Calibri" w:cs="宋体"/>
                <w:color w:val="000000"/>
                <w:kern w:val="0"/>
              </w:rPr>
              <w:t>3</w:t>
            </w:r>
            <w:r>
              <w:rPr>
                <w:rFonts w:hint="eastAsia" w:ascii="Calibri" w:hAnsi="Calibri" w:cs="宋体"/>
                <w:color w:val="000000"/>
                <w:kern w:val="0"/>
              </w:rPr>
              <w:t>8</w:t>
            </w:r>
            <w:r>
              <w:rPr>
                <w:rFonts w:ascii="Calibri" w:hAnsi="Calibri" w:cs="宋体"/>
                <w:color w:val="000000"/>
                <w:kern w:val="0"/>
              </w:rPr>
              <w:t>0</w:t>
            </w:r>
          </w:p>
        </w:tc>
      </w:tr>
      <w:tr w14:paraId="32AE2179">
        <w:tblPrEx>
          <w:tblCellMar>
            <w:top w:w="0" w:type="dxa"/>
            <w:left w:w="0" w:type="dxa"/>
            <w:bottom w:w="0" w:type="dxa"/>
            <w:right w:w="0" w:type="dxa"/>
          </w:tblCellMar>
        </w:tblPrEx>
        <w:trPr>
          <w:trHeight w:val="312" w:hRule="atLeast"/>
        </w:trPr>
        <w:tc>
          <w:tcPr>
            <w:tcW w:w="4597" w:type="dxa"/>
            <w:tcBorders>
              <w:top w:val="nil"/>
              <w:left w:val="single" w:color="auto" w:sz="8" w:space="0"/>
              <w:bottom w:val="single" w:color="auto" w:sz="8" w:space="0"/>
              <w:right w:val="single" w:color="auto" w:sz="8" w:space="0"/>
            </w:tcBorders>
            <w:shd w:val="clear" w:color="auto" w:fill="FFFFFF"/>
            <w:noWrap/>
            <w:tcMar>
              <w:top w:w="0" w:type="dxa"/>
              <w:left w:w="57" w:type="dxa"/>
              <w:bottom w:w="0" w:type="dxa"/>
              <w:right w:w="57" w:type="dxa"/>
            </w:tcMar>
            <w:vAlign w:val="center"/>
          </w:tcPr>
          <w:p w14:paraId="3E55E608">
            <w:pPr>
              <w:widowControl/>
              <w:wordWrap w:val="0"/>
              <w:spacing w:line="560" w:lineRule="exact"/>
              <w:jc w:val="center"/>
              <w:rPr>
                <w:rFonts w:hAnsi="宋体" w:cs="宋体"/>
                <w:color w:val="000000"/>
                <w:kern w:val="0"/>
              </w:rPr>
            </w:pPr>
            <w:r>
              <w:rPr>
                <w:rFonts w:hint="eastAsia" w:hAnsi="宋体" w:cs="宋体"/>
                <w:color w:val="000000"/>
                <w:kern w:val="0"/>
              </w:rPr>
              <w:t>青岛</w:t>
            </w:r>
          </w:p>
        </w:tc>
        <w:tc>
          <w:tcPr>
            <w:tcW w:w="3960" w:type="dxa"/>
            <w:tcBorders>
              <w:top w:val="nil"/>
              <w:left w:val="nil"/>
              <w:bottom w:val="single" w:color="auto" w:sz="8" w:space="0"/>
              <w:right w:val="single" w:color="auto" w:sz="8" w:space="0"/>
            </w:tcBorders>
            <w:shd w:val="clear" w:color="auto" w:fill="FFFFFF"/>
            <w:noWrap/>
            <w:tcMar>
              <w:top w:w="0" w:type="dxa"/>
              <w:left w:w="57" w:type="dxa"/>
              <w:bottom w:w="0" w:type="dxa"/>
              <w:right w:w="57" w:type="dxa"/>
            </w:tcMar>
            <w:vAlign w:val="center"/>
          </w:tcPr>
          <w:p w14:paraId="35BD8C7A">
            <w:pPr>
              <w:widowControl/>
              <w:wordWrap w:val="0"/>
              <w:spacing w:line="560" w:lineRule="exact"/>
              <w:jc w:val="center"/>
              <w:rPr>
                <w:rFonts w:hAnsi="宋体" w:cs="宋体"/>
                <w:color w:val="000000"/>
                <w:kern w:val="0"/>
              </w:rPr>
            </w:pPr>
            <w:r>
              <w:rPr>
                <w:rFonts w:hint="eastAsia" w:ascii="Calibri" w:hAnsi="Calibri" w:cs="宋体"/>
                <w:color w:val="000000"/>
                <w:kern w:val="0"/>
              </w:rPr>
              <w:t>380</w:t>
            </w:r>
          </w:p>
        </w:tc>
      </w:tr>
      <w:tr w14:paraId="2B16011C">
        <w:tblPrEx>
          <w:tblCellMar>
            <w:top w:w="0" w:type="dxa"/>
            <w:left w:w="0" w:type="dxa"/>
            <w:bottom w:w="0" w:type="dxa"/>
            <w:right w:w="0" w:type="dxa"/>
          </w:tblCellMar>
        </w:tblPrEx>
        <w:trPr>
          <w:trHeight w:val="312" w:hRule="atLeast"/>
        </w:trPr>
        <w:tc>
          <w:tcPr>
            <w:tcW w:w="4597" w:type="dxa"/>
            <w:tcBorders>
              <w:top w:val="nil"/>
              <w:left w:val="single" w:color="auto" w:sz="8" w:space="0"/>
              <w:bottom w:val="single" w:color="auto" w:sz="8" w:space="0"/>
              <w:right w:val="single" w:color="auto" w:sz="8" w:space="0"/>
            </w:tcBorders>
            <w:shd w:val="clear" w:color="auto" w:fill="FFFFFF"/>
            <w:noWrap/>
            <w:tcMar>
              <w:top w:w="0" w:type="dxa"/>
              <w:left w:w="57" w:type="dxa"/>
              <w:bottom w:w="0" w:type="dxa"/>
              <w:right w:w="57" w:type="dxa"/>
            </w:tcMar>
            <w:vAlign w:val="center"/>
          </w:tcPr>
          <w:p w14:paraId="15ED82B1">
            <w:pPr>
              <w:widowControl/>
              <w:wordWrap w:val="0"/>
              <w:spacing w:line="560" w:lineRule="exact"/>
              <w:jc w:val="center"/>
              <w:rPr>
                <w:rFonts w:hAnsi="宋体" w:cs="宋体"/>
                <w:color w:val="000000"/>
                <w:kern w:val="0"/>
              </w:rPr>
            </w:pPr>
            <w:r>
              <w:rPr>
                <w:rFonts w:hint="eastAsia" w:hAnsi="宋体" w:cs="宋体"/>
                <w:color w:val="000000"/>
                <w:kern w:val="0"/>
              </w:rPr>
              <w:t>河南(郑州)</w:t>
            </w:r>
          </w:p>
        </w:tc>
        <w:tc>
          <w:tcPr>
            <w:tcW w:w="3960" w:type="dxa"/>
            <w:tcBorders>
              <w:top w:val="nil"/>
              <w:left w:val="nil"/>
              <w:bottom w:val="single" w:color="auto" w:sz="8" w:space="0"/>
              <w:right w:val="single" w:color="auto" w:sz="8" w:space="0"/>
            </w:tcBorders>
            <w:shd w:val="clear" w:color="auto" w:fill="FFFFFF"/>
            <w:noWrap/>
            <w:tcMar>
              <w:top w:w="0" w:type="dxa"/>
              <w:left w:w="57" w:type="dxa"/>
              <w:bottom w:w="0" w:type="dxa"/>
              <w:right w:w="57" w:type="dxa"/>
            </w:tcMar>
            <w:vAlign w:val="center"/>
          </w:tcPr>
          <w:p w14:paraId="46692679">
            <w:pPr>
              <w:widowControl/>
              <w:wordWrap w:val="0"/>
              <w:spacing w:line="560" w:lineRule="exact"/>
              <w:jc w:val="center"/>
              <w:rPr>
                <w:rFonts w:hAnsi="宋体" w:cs="宋体"/>
                <w:color w:val="000000"/>
                <w:kern w:val="0"/>
              </w:rPr>
            </w:pPr>
            <w:r>
              <w:rPr>
                <w:rFonts w:ascii="Calibri" w:hAnsi="Calibri" w:cs="宋体"/>
                <w:color w:val="000000"/>
                <w:kern w:val="0"/>
              </w:rPr>
              <w:t>3</w:t>
            </w:r>
            <w:r>
              <w:rPr>
                <w:rFonts w:hint="eastAsia" w:ascii="Calibri" w:hAnsi="Calibri" w:cs="宋体"/>
                <w:color w:val="000000"/>
                <w:kern w:val="0"/>
              </w:rPr>
              <w:t>8</w:t>
            </w:r>
            <w:r>
              <w:rPr>
                <w:rFonts w:ascii="Calibri" w:hAnsi="Calibri" w:cs="宋体"/>
                <w:color w:val="000000"/>
                <w:kern w:val="0"/>
              </w:rPr>
              <w:t>0</w:t>
            </w:r>
          </w:p>
        </w:tc>
      </w:tr>
      <w:tr w14:paraId="2E4C8410">
        <w:tblPrEx>
          <w:tblCellMar>
            <w:top w:w="0" w:type="dxa"/>
            <w:left w:w="0" w:type="dxa"/>
            <w:bottom w:w="0" w:type="dxa"/>
            <w:right w:w="0" w:type="dxa"/>
          </w:tblCellMar>
        </w:tblPrEx>
        <w:trPr>
          <w:trHeight w:val="312" w:hRule="atLeast"/>
        </w:trPr>
        <w:tc>
          <w:tcPr>
            <w:tcW w:w="4597" w:type="dxa"/>
            <w:tcBorders>
              <w:top w:val="nil"/>
              <w:left w:val="single" w:color="auto" w:sz="8" w:space="0"/>
              <w:bottom w:val="single" w:color="auto" w:sz="8" w:space="0"/>
              <w:right w:val="single" w:color="auto" w:sz="8" w:space="0"/>
            </w:tcBorders>
            <w:shd w:val="clear" w:color="auto" w:fill="FFFFFF"/>
            <w:noWrap/>
            <w:tcMar>
              <w:top w:w="0" w:type="dxa"/>
              <w:left w:w="57" w:type="dxa"/>
              <w:bottom w:w="0" w:type="dxa"/>
              <w:right w:w="57" w:type="dxa"/>
            </w:tcMar>
            <w:vAlign w:val="center"/>
          </w:tcPr>
          <w:p w14:paraId="62401381">
            <w:pPr>
              <w:widowControl/>
              <w:wordWrap w:val="0"/>
              <w:spacing w:line="560" w:lineRule="exact"/>
              <w:jc w:val="center"/>
              <w:rPr>
                <w:rFonts w:hAnsi="宋体" w:cs="宋体"/>
                <w:color w:val="000000"/>
                <w:kern w:val="0"/>
              </w:rPr>
            </w:pPr>
            <w:r>
              <w:rPr>
                <w:rFonts w:hint="eastAsia" w:hAnsi="宋体" w:cs="宋体"/>
                <w:color w:val="000000"/>
                <w:kern w:val="0"/>
              </w:rPr>
              <w:t>湖北(武汉)</w:t>
            </w:r>
          </w:p>
        </w:tc>
        <w:tc>
          <w:tcPr>
            <w:tcW w:w="3960" w:type="dxa"/>
            <w:tcBorders>
              <w:top w:val="nil"/>
              <w:left w:val="nil"/>
              <w:bottom w:val="single" w:color="auto" w:sz="8" w:space="0"/>
              <w:right w:val="single" w:color="auto" w:sz="8" w:space="0"/>
            </w:tcBorders>
            <w:shd w:val="clear" w:color="auto" w:fill="FFFFFF"/>
            <w:noWrap/>
            <w:tcMar>
              <w:top w:w="0" w:type="dxa"/>
              <w:left w:w="57" w:type="dxa"/>
              <w:bottom w:w="0" w:type="dxa"/>
              <w:right w:w="57" w:type="dxa"/>
            </w:tcMar>
            <w:vAlign w:val="center"/>
          </w:tcPr>
          <w:p w14:paraId="4DFEBCB2">
            <w:pPr>
              <w:widowControl/>
              <w:wordWrap w:val="0"/>
              <w:spacing w:line="560" w:lineRule="exact"/>
              <w:jc w:val="center"/>
              <w:rPr>
                <w:rFonts w:hAnsi="宋体" w:cs="宋体"/>
                <w:color w:val="000000"/>
                <w:kern w:val="0"/>
              </w:rPr>
            </w:pPr>
            <w:r>
              <w:rPr>
                <w:rFonts w:ascii="Calibri" w:hAnsi="Calibri" w:cs="宋体"/>
                <w:color w:val="000000"/>
                <w:kern w:val="0"/>
              </w:rPr>
              <w:t>3</w:t>
            </w:r>
            <w:r>
              <w:rPr>
                <w:rFonts w:hint="eastAsia" w:ascii="Calibri" w:hAnsi="Calibri" w:cs="宋体"/>
                <w:color w:val="000000"/>
                <w:kern w:val="0"/>
              </w:rPr>
              <w:t>5</w:t>
            </w:r>
            <w:r>
              <w:rPr>
                <w:rFonts w:ascii="Calibri" w:hAnsi="Calibri" w:cs="宋体"/>
                <w:color w:val="000000"/>
                <w:kern w:val="0"/>
              </w:rPr>
              <w:t>0</w:t>
            </w:r>
          </w:p>
        </w:tc>
      </w:tr>
      <w:tr w14:paraId="6C294494">
        <w:tblPrEx>
          <w:tblCellMar>
            <w:top w:w="0" w:type="dxa"/>
            <w:left w:w="0" w:type="dxa"/>
            <w:bottom w:w="0" w:type="dxa"/>
            <w:right w:w="0" w:type="dxa"/>
          </w:tblCellMar>
        </w:tblPrEx>
        <w:trPr>
          <w:trHeight w:val="312" w:hRule="atLeast"/>
        </w:trPr>
        <w:tc>
          <w:tcPr>
            <w:tcW w:w="4597" w:type="dxa"/>
            <w:tcBorders>
              <w:top w:val="nil"/>
              <w:left w:val="single" w:color="auto" w:sz="8" w:space="0"/>
              <w:bottom w:val="single" w:color="auto" w:sz="8" w:space="0"/>
              <w:right w:val="single" w:color="auto" w:sz="8" w:space="0"/>
            </w:tcBorders>
            <w:shd w:val="clear" w:color="auto" w:fill="FFFFFF"/>
            <w:noWrap/>
            <w:tcMar>
              <w:top w:w="0" w:type="dxa"/>
              <w:left w:w="57" w:type="dxa"/>
              <w:bottom w:w="0" w:type="dxa"/>
              <w:right w:w="57" w:type="dxa"/>
            </w:tcMar>
            <w:vAlign w:val="center"/>
          </w:tcPr>
          <w:p w14:paraId="5C6D6209">
            <w:pPr>
              <w:widowControl/>
              <w:wordWrap w:val="0"/>
              <w:spacing w:line="560" w:lineRule="exact"/>
              <w:jc w:val="center"/>
              <w:rPr>
                <w:rFonts w:hAnsi="宋体" w:cs="宋体"/>
                <w:color w:val="000000"/>
                <w:kern w:val="0"/>
              </w:rPr>
            </w:pPr>
            <w:r>
              <w:rPr>
                <w:rFonts w:hint="eastAsia" w:hAnsi="宋体" w:cs="宋体"/>
                <w:color w:val="000000"/>
                <w:kern w:val="0"/>
              </w:rPr>
              <w:t>湖南(长沙)</w:t>
            </w:r>
          </w:p>
        </w:tc>
        <w:tc>
          <w:tcPr>
            <w:tcW w:w="3960" w:type="dxa"/>
            <w:tcBorders>
              <w:top w:val="nil"/>
              <w:left w:val="nil"/>
              <w:bottom w:val="single" w:color="auto" w:sz="8" w:space="0"/>
              <w:right w:val="single" w:color="auto" w:sz="8" w:space="0"/>
            </w:tcBorders>
            <w:shd w:val="clear" w:color="auto" w:fill="FFFFFF"/>
            <w:noWrap/>
            <w:tcMar>
              <w:top w:w="0" w:type="dxa"/>
              <w:left w:w="57" w:type="dxa"/>
              <w:bottom w:w="0" w:type="dxa"/>
              <w:right w:w="57" w:type="dxa"/>
            </w:tcMar>
            <w:vAlign w:val="center"/>
          </w:tcPr>
          <w:p w14:paraId="45B8FAC0">
            <w:pPr>
              <w:widowControl/>
              <w:wordWrap w:val="0"/>
              <w:spacing w:line="560" w:lineRule="exact"/>
              <w:jc w:val="center"/>
              <w:rPr>
                <w:rFonts w:hAnsi="宋体" w:cs="宋体"/>
                <w:color w:val="000000"/>
                <w:kern w:val="0"/>
              </w:rPr>
            </w:pPr>
            <w:r>
              <w:rPr>
                <w:rFonts w:ascii="Calibri" w:hAnsi="Calibri" w:cs="宋体"/>
                <w:color w:val="000000"/>
                <w:kern w:val="0"/>
              </w:rPr>
              <w:t>3</w:t>
            </w:r>
            <w:r>
              <w:rPr>
                <w:rFonts w:hint="eastAsia" w:ascii="Calibri" w:hAnsi="Calibri" w:cs="宋体"/>
                <w:color w:val="000000"/>
                <w:kern w:val="0"/>
              </w:rPr>
              <w:t>5</w:t>
            </w:r>
            <w:r>
              <w:rPr>
                <w:rFonts w:ascii="Calibri" w:hAnsi="Calibri" w:cs="宋体"/>
                <w:color w:val="000000"/>
                <w:kern w:val="0"/>
              </w:rPr>
              <w:t>0</w:t>
            </w:r>
          </w:p>
        </w:tc>
      </w:tr>
      <w:tr w14:paraId="7231E93B">
        <w:tblPrEx>
          <w:tblCellMar>
            <w:top w:w="0" w:type="dxa"/>
            <w:left w:w="0" w:type="dxa"/>
            <w:bottom w:w="0" w:type="dxa"/>
            <w:right w:w="0" w:type="dxa"/>
          </w:tblCellMar>
        </w:tblPrEx>
        <w:trPr>
          <w:trHeight w:val="312" w:hRule="atLeast"/>
        </w:trPr>
        <w:tc>
          <w:tcPr>
            <w:tcW w:w="4597" w:type="dxa"/>
            <w:tcBorders>
              <w:top w:val="nil"/>
              <w:left w:val="single" w:color="auto" w:sz="8" w:space="0"/>
              <w:bottom w:val="single" w:color="auto" w:sz="8" w:space="0"/>
              <w:right w:val="single" w:color="auto" w:sz="8" w:space="0"/>
            </w:tcBorders>
            <w:shd w:val="clear" w:color="auto" w:fill="FFFFFF"/>
            <w:noWrap/>
            <w:tcMar>
              <w:top w:w="0" w:type="dxa"/>
              <w:left w:w="57" w:type="dxa"/>
              <w:bottom w:w="0" w:type="dxa"/>
              <w:right w:w="57" w:type="dxa"/>
            </w:tcMar>
            <w:vAlign w:val="center"/>
          </w:tcPr>
          <w:p w14:paraId="2129963D">
            <w:pPr>
              <w:widowControl/>
              <w:wordWrap w:val="0"/>
              <w:spacing w:line="560" w:lineRule="exact"/>
              <w:jc w:val="center"/>
              <w:rPr>
                <w:rFonts w:hAnsi="宋体" w:cs="宋体"/>
                <w:color w:val="000000"/>
                <w:kern w:val="0"/>
              </w:rPr>
            </w:pPr>
            <w:r>
              <w:rPr>
                <w:rFonts w:hint="eastAsia" w:hAnsi="宋体" w:cs="宋体"/>
                <w:color w:val="000000"/>
                <w:kern w:val="0"/>
              </w:rPr>
              <w:t>广东(广州)</w:t>
            </w:r>
          </w:p>
        </w:tc>
        <w:tc>
          <w:tcPr>
            <w:tcW w:w="3960" w:type="dxa"/>
            <w:tcBorders>
              <w:top w:val="nil"/>
              <w:left w:val="nil"/>
              <w:bottom w:val="single" w:color="auto" w:sz="8" w:space="0"/>
              <w:right w:val="single" w:color="auto" w:sz="8" w:space="0"/>
            </w:tcBorders>
            <w:shd w:val="clear" w:color="auto" w:fill="FFFFFF"/>
            <w:noWrap/>
            <w:tcMar>
              <w:top w:w="0" w:type="dxa"/>
              <w:left w:w="57" w:type="dxa"/>
              <w:bottom w:w="0" w:type="dxa"/>
              <w:right w:w="57" w:type="dxa"/>
            </w:tcMar>
            <w:vAlign w:val="center"/>
          </w:tcPr>
          <w:p w14:paraId="5A75CE12">
            <w:pPr>
              <w:widowControl/>
              <w:wordWrap w:val="0"/>
              <w:spacing w:line="560" w:lineRule="exact"/>
              <w:jc w:val="center"/>
              <w:rPr>
                <w:rFonts w:hAnsi="宋体" w:cs="宋体"/>
                <w:color w:val="000000"/>
                <w:kern w:val="0"/>
              </w:rPr>
            </w:pPr>
            <w:r>
              <w:rPr>
                <w:rFonts w:hint="eastAsia" w:hAnsi="宋体" w:cs="宋体"/>
                <w:color w:val="000000"/>
                <w:kern w:val="0"/>
              </w:rPr>
              <w:t>450</w:t>
            </w:r>
          </w:p>
        </w:tc>
      </w:tr>
      <w:tr w14:paraId="6D12DB5A">
        <w:tblPrEx>
          <w:tblCellMar>
            <w:top w:w="0" w:type="dxa"/>
            <w:left w:w="0" w:type="dxa"/>
            <w:bottom w:w="0" w:type="dxa"/>
            <w:right w:w="0" w:type="dxa"/>
          </w:tblCellMar>
        </w:tblPrEx>
        <w:trPr>
          <w:trHeight w:val="312" w:hRule="atLeast"/>
        </w:trPr>
        <w:tc>
          <w:tcPr>
            <w:tcW w:w="4597" w:type="dxa"/>
            <w:tcBorders>
              <w:top w:val="nil"/>
              <w:left w:val="single" w:color="auto" w:sz="8" w:space="0"/>
              <w:bottom w:val="single" w:color="auto" w:sz="8" w:space="0"/>
              <w:right w:val="single" w:color="auto" w:sz="8" w:space="0"/>
            </w:tcBorders>
            <w:shd w:val="clear" w:color="auto" w:fill="FFFFFF"/>
            <w:noWrap/>
            <w:tcMar>
              <w:top w:w="0" w:type="dxa"/>
              <w:left w:w="57" w:type="dxa"/>
              <w:bottom w:w="0" w:type="dxa"/>
              <w:right w:w="57" w:type="dxa"/>
            </w:tcMar>
            <w:vAlign w:val="center"/>
          </w:tcPr>
          <w:p w14:paraId="7847DDC7">
            <w:pPr>
              <w:widowControl/>
              <w:wordWrap w:val="0"/>
              <w:spacing w:line="560" w:lineRule="exact"/>
              <w:jc w:val="center"/>
              <w:rPr>
                <w:rFonts w:hAnsi="宋体" w:cs="宋体"/>
                <w:color w:val="000000"/>
                <w:kern w:val="0"/>
              </w:rPr>
            </w:pPr>
            <w:r>
              <w:rPr>
                <w:rFonts w:hint="eastAsia" w:hAnsi="宋体" w:cs="宋体"/>
                <w:color w:val="000000"/>
                <w:kern w:val="0"/>
              </w:rPr>
              <w:t>深圳</w:t>
            </w:r>
          </w:p>
        </w:tc>
        <w:tc>
          <w:tcPr>
            <w:tcW w:w="3960" w:type="dxa"/>
            <w:tcBorders>
              <w:top w:val="nil"/>
              <w:left w:val="nil"/>
              <w:bottom w:val="single" w:color="auto" w:sz="8" w:space="0"/>
              <w:right w:val="single" w:color="auto" w:sz="8" w:space="0"/>
            </w:tcBorders>
            <w:shd w:val="clear" w:color="auto" w:fill="FFFFFF"/>
            <w:noWrap/>
            <w:tcMar>
              <w:top w:w="0" w:type="dxa"/>
              <w:left w:w="57" w:type="dxa"/>
              <w:bottom w:w="0" w:type="dxa"/>
              <w:right w:w="57" w:type="dxa"/>
            </w:tcMar>
            <w:vAlign w:val="center"/>
          </w:tcPr>
          <w:p w14:paraId="1FD6BB93">
            <w:pPr>
              <w:widowControl/>
              <w:wordWrap w:val="0"/>
              <w:spacing w:line="560" w:lineRule="exact"/>
              <w:jc w:val="center"/>
              <w:rPr>
                <w:rFonts w:hAnsi="宋体" w:cs="宋体"/>
                <w:color w:val="000000"/>
                <w:kern w:val="0"/>
              </w:rPr>
            </w:pPr>
            <w:r>
              <w:rPr>
                <w:rFonts w:hint="eastAsia" w:hAnsi="宋体" w:cs="宋体"/>
                <w:color w:val="000000"/>
                <w:kern w:val="0"/>
              </w:rPr>
              <w:t>450</w:t>
            </w:r>
          </w:p>
        </w:tc>
      </w:tr>
      <w:tr w14:paraId="25224D6F">
        <w:tblPrEx>
          <w:tblCellMar>
            <w:top w:w="0" w:type="dxa"/>
            <w:left w:w="0" w:type="dxa"/>
            <w:bottom w:w="0" w:type="dxa"/>
            <w:right w:w="0" w:type="dxa"/>
          </w:tblCellMar>
        </w:tblPrEx>
        <w:trPr>
          <w:trHeight w:val="312" w:hRule="atLeast"/>
        </w:trPr>
        <w:tc>
          <w:tcPr>
            <w:tcW w:w="4597" w:type="dxa"/>
            <w:tcBorders>
              <w:top w:val="nil"/>
              <w:left w:val="single" w:color="auto" w:sz="8" w:space="0"/>
              <w:bottom w:val="single" w:color="auto" w:sz="8" w:space="0"/>
              <w:right w:val="single" w:color="auto" w:sz="8" w:space="0"/>
            </w:tcBorders>
            <w:shd w:val="clear" w:color="auto" w:fill="FFFFFF"/>
            <w:noWrap/>
            <w:tcMar>
              <w:top w:w="0" w:type="dxa"/>
              <w:left w:w="57" w:type="dxa"/>
              <w:bottom w:w="0" w:type="dxa"/>
              <w:right w:w="57" w:type="dxa"/>
            </w:tcMar>
            <w:vAlign w:val="center"/>
          </w:tcPr>
          <w:p w14:paraId="65E64CA2">
            <w:pPr>
              <w:widowControl/>
              <w:wordWrap w:val="0"/>
              <w:spacing w:line="560" w:lineRule="exact"/>
              <w:jc w:val="center"/>
              <w:rPr>
                <w:rFonts w:hAnsi="宋体" w:cs="宋体"/>
                <w:color w:val="000000"/>
                <w:kern w:val="0"/>
              </w:rPr>
            </w:pPr>
            <w:r>
              <w:rPr>
                <w:rFonts w:hint="eastAsia" w:hAnsi="宋体" w:cs="宋体"/>
                <w:color w:val="000000"/>
                <w:kern w:val="0"/>
              </w:rPr>
              <w:t>广西(南宁)</w:t>
            </w:r>
          </w:p>
        </w:tc>
        <w:tc>
          <w:tcPr>
            <w:tcW w:w="3960" w:type="dxa"/>
            <w:tcBorders>
              <w:top w:val="nil"/>
              <w:left w:val="nil"/>
              <w:bottom w:val="single" w:color="auto" w:sz="8" w:space="0"/>
              <w:right w:val="single" w:color="auto" w:sz="8" w:space="0"/>
            </w:tcBorders>
            <w:shd w:val="clear" w:color="auto" w:fill="FFFFFF"/>
            <w:noWrap/>
            <w:tcMar>
              <w:top w:w="0" w:type="dxa"/>
              <w:left w:w="57" w:type="dxa"/>
              <w:bottom w:w="0" w:type="dxa"/>
              <w:right w:w="57" w:type="dxa"/>
            </w:tcMar>
            <w:vAlign w:val="center"/>
          </w:tcPr>
          <w:p w14:paraId="398E2CAF">
            <w:pPr>
              <w:widowControl/>
              <w:wordWrap w:val="0"/>
              <w:spacing w:line="560" w:lineRule="exact"/>
              <w:jc w:val="center"/>
              <w:rPr>
                <w:rFonts w:hAnsi="宋体" w:cs="宋体"/>
                <w:color w:val="000000"/>
                <w:kern w:val="0"/>
              </w:rPr>
            </w:pPr>
            <w:r>
              <w:rPr>
                <w:rFonts w:hint="eastAsia" w:ascii="Calibri" w:hAnsi="Calibri" w:cs="宋体"/>
                <w:color w:val="000000"/>
                <w:kern w:val="0"/>
              </w:rPr>
              <w:t>35</w:t>
            </w:r>
            <w:r>
              <w:rPr>
                <w:rFonts w:ascii="Calibri" w:hAnsi="Calibri" w:cs="宋体"/>
                <w:color w:val="000000"/>
                <w:kern w:val="0"/>
              </w:rPr>
              <w:t>0</w:t>
            </w:r>
          </w:p>
        </w:tc>
      </w:tr>
      <w:tr w14:paraId="3FFFC5E6">
        <w:tblPrEx>
          <w:tblCellMar>
            <w:top w:w="0" w:type="dxa"/>
            <w:left w:w="0" w:type="dxa"/>
            <w:bottom w:w="0" w:type="dxa"/>
            <w:right w:w="0" w:type="dxa"/>
          </w:tblCellMar>
        </w:tblPrEx>
        <w:trPr>
          <w:trHeight w:val="312" w:hRule="atLeast"/>
        </w:trPr>
        <w:tc>
          <w:tcPr>
            <w:tcW w:w="4597" w:type="dxa"/>
            <w:tcBorders>
              <w:top w:val="nil"/>
              <w:left w:val="single" w:color="auto" w:sz="8" w:space="0"/>
              <w:bottom w:val="single" w:color="auto" w:sz="8" w:space="0"/>
              <w:right w:val="single" w:color="auto" w:sz="8" w:space="0"/>
            </w:tcBorders>
            <w:shd w:val="clear" w:color="auto" w:fill="FFFFFF"/>
            <w:noWrap/>
            <w:tcMar>
              <w:top w:w="0" w:type="dxa"/>
              <w:left w:w="57" w:type="dxa"/>
              <w:bottom w:w="0" w:type="dxa"/>
              <w:right w:w="57" w:type="dxa"/>
            </w:tcMar>
            <w:vAlign w:val="center"/>
          </w:tcPr>
          <w:p w14:paraId="35B2AA34">
            <w:pPr>
              <w:widowControl/>
              <w:wordWrap w:val="0"/>
              <w:spacing w:line="560" w:lineRule="exact"/>
              <w:jc w:val="center"/>
              <w:rPr>
                <w:rFonts w:hAnsi="宋体" w:cs="宋体"/>
                <w:color w:val="000000"/>
                <w:kern w:val="0"/>
              </w:rPr>
            </w:pPr>
            <w:r>
              <w:rPr>
                <w:rFonts w:hint="eastAsia" w:hAnsi="宋体" w:cs="宋体"/>
                <w:color w:val="000000"/>
                <w:kern w:val="0"/>
              </w:rPr>
              <w:t>海南(海口)</w:t>
            </w:r>
          </w:p>
        </w:tc>
        <w:tc>
          <w:tcPr>
            <w:tcW w:w="3960" w:type="dxa"/>
            <w:tcBorders>
              <w:top w:val="nil"/>
              <w:left w:val="nil"/>
              <w:bottom w:val="single" w:color="auto" w:sz="8" w:space="0"/>
              <w:right w:val="single" w:color="auto" w:sz="8" w:space="0"/>
            </w:tcBorders>
            <w:shd w:val="clear" w:color="auto" w:fill="FFFFFF"/>
            <w:noWrap/>
            <w:tcMar>
              <w:top w:w="0" w:type="dxa"/>
              <w:left w:w="57" w:type="dxa"/>
              <w:bottom w:w="0" w:type="dxa"/>
              <w:right w:w="57" w:type="dxa"/>
            </w:tcMar>
            <w:vAlign w:val="center"/>
          </w:tcPr>
          <w:p w14:paraId="7060D5AB">
            <w:pPr>
              <w:widowControl/>
              <w:wordWrap w:val="0"/>
              <w:spacing w:line="560" w:lineRule="exact"/>
              <w:jc w:val="center"/>
              <w:rPr>
                <w:rFonts w:hAnsi="宋体" w:cs="宋体"/>
                <w:color w:val="000000"/>
                <w:kern w:val="0"/>
              </w:rPr>
            </w:pPr>
            <w:r>
              <w:rPr>
                <w:rFonts w:ascii="Calibri" w:hAnsi="Calibri" w:cs="宋体"/>
                <w:color w:val="000000"/>
                <w:kern w:val="0"/>
              </w:rPr>
              <w:t>350</w:t>
            </w:r>
          </w:p>
        </w:tc>
      </w:tr>
      <w:tr w14:paraId="7B560680">
        <w:tblPrEx>
          <w:tblCellMar>
            <w:top w:w="0" w:type="dxa"/>
            <w:left w:w="0" w:type="dxa"/>
            <w:bottom w:w="0" w:type="dxa"/>
            <w:right w:w="0" w:type="dxa"/>
          </w:tblCellMar>
        </w:tblPrEx>
        <w:trPr>
          <w:trHeight w:val="312" w:hRule="atLeast"/>
        </w:trPr>
        <w:tc>
          <w:tcPr>
            <w:tcW w:w="4597" w:type="dxa"/>
            <w:tcBorders>
              <w:top w:val="nil"/>
              <w:left w:val="single" w:color="auto" w:sz="8" w:space="0"/>
              <w:bottom w:val="single" w:color="auto" w:sz="8" w:space="0"/>
              <w:right w:val="single" w:color="auto" w:sz="8" w:space="0"/>
            </w:tcBorders>
            <w:shd w:val="clear" w:color="auto" w:fill="FFFFFF"/>
            <w:noWrap/>
            <w:tcMar>
              <w:top w:w="0" w:type="dxa"/>
              <w:left w:w="57" w:type="dxa"/>
              <w:bottom w:w="0" w:type="dxa"/>
              <w:right w:w="57" w:type="dxa"/>
            </w:tcMar>
            <w:vAlign w:val="center"/>
          </w:tcPr>
          <w:p w14:paraId="5D310AC2">
            <w:pPr>
              <w:widowControl/>
              <w:wordWrap w:val="0"/>
              <w:spacing w:line="560" w:lineRule="exact"/>
              <w:jc w:val="center"/>
              <w:rPr>
                <w:rFonts w:hAnsi="宋体" w:cs="宋体"/>
                <w:color w:val="000000"/>
                <w:kern w:val="0"/>
              </w:rPr>
            </w:pPr>
            <w:r>
              <w:rPr>
                <w:rFonts w:hint="eastAsia" w:hAnsi="宋体" w:cs="宋体"/>
                <w:color w:val="000000"/>
                <w:kern w:val="0"/>
              </w:rPr>
              <w:t>重庆</w:t>
            </w:r>
          </w:p>
        </w:tc>
        <w:tc>
          <w:tcPr>
            <w:tcW w:w="3960" w:type="dxa"/>
            <w:tcBorders>
              <w:top w:val="nil"/>
              <w:left w:val="nil"/>
              <w:bottom w:val="single" w:color="auto" w:sz="8" w:space="0"/>
              <w:right w:val="single" w:color="auto" w:sz="8" w:space="0"/>
            </w:tcBorders>
            <w:shd w:val="clear" w:color="auto" w:fill="FFFFFF"/>
            <w:noWrap/>
            <w:tcMar>
              <w:top w:w="0" w:type="dxa"/>
              <w:left w:w="57" w:type="dxa"/>
              <w:bottom w:w="0" w:type="dxa"/>
              <w:right w:w="57" w:type="dxa"/>
            </w:tcMar>
            <w:vAlign w:val="center"/>
          </w:tcPr>
          <w:p w14:paraId="0FECCE79">
            <w:pPr>
              <w:widowControl/>
              <w:wordWrap w:val="0"/>
              <w:spacing w:line="560" w:lineRule="exact"/>
              <w:jc w:val="center"/>
              <w:rPr>
                <w:rFonts w:hAnsi="宋体" w:cs="宋体"/>
                <w:color w:val="000000"/>
                <w:kern w:val="0"/>
              </w:rPr>
            </w:pPr>
            <w:r>
              <w:rPr>
                <w:rFonts w:hint="eastAsia" w:ascii="Calibri" w:hAnsi="Calibri" w:cs="宋体"/>
                <w:color w:val="000000"/>
                <w:kern w:val="0"/>
              </w:rPr>
              <w:t>370</w:t>
            </w:r>
          </w:p>
        </w:tc>
      </w:tr>
      <w:tr w14:paraId="2D873E8C">
        <w:tblPrEx>
          <w:tblCellMar>
            <w:top w:w="0" w:type="dxa"/>
            <w:left w:w="0" w:type="dxa"/>
            <w:bottom w:w="0" w:type="dxa"/>
            <w:right w:w="0" w:type="dxa"/>
          </w:tblCellMar>
        </w:tblPrEx>
        <w:trPr>
          <w:trHeight w:val="312" w:hRule="atLeast"/>
        </w:trPr>
        <w:tc>
          <w:tcPr>
            <w:tcW w:w="4597" w:type="dxa"/>
            <w:tcBorders>
              <w:top w:val="nil"/>
              <w:left w:val="single" w:color="auto" w:sz="8" w:space="0"/>
              <w:bottom w:val="single" w:color="auto" w:sz="8" w:space="0"/>
              <w:right w:val="single" w:color="auto" w:sz="8" w:space="0"/>
            </w:tcBorders>
            <w:shd w:val="clear" w:color="auto" w:fill="FFFFFF"/>
            <w:noWrap/>
            <w:tcMar>
              <w:top w:w="0" w:type="dxa"/>
              <w:left w:w="57" w:type="dxa"/>
              <w:bottom w:w="0" w:type="dxa"/>
              <w:right w:w="57" w:type="dxa"/>
            </w:tcMar>
            <w:vAlign w:val="center"/>
          </w:tcPr>
          <w:p w14:paraId="01079F1F">
            <w:pPr>
              <w:widowControl/>
              <w:wordWrap w:val="0"/>
              <w:spacing w:line="560" w:lineRule="exact"/>
              <w:jc w:val="center"/>
              <w:rPr>
                <w:rFonts w:hAnsi="宋体" w:cs="宋体"/>
                <w:color w:val="000000"/>
                <w:kern w:val="0"/>
              </w:rPr>
            </w:pPr>
            <w:r>
              <w:rPr>
                <w:rFonts w:hint="eastAsia" w:hAnsi="宋体" w:cs="宋体"/>
                <w:color w:val="000000"/>
                <w:kern w:val="0"/>
              </w:rPr>
              <w:t>四川(成都)</w:t>
            </w:r>
          </w:p>
        </w:tc>
        <w:tc>
          <w:tcPr>
            <w:tcW w:w="3960" w:type="dxa"/>
            <w:tcBorders>
              <w:top w:val="nil"/>
              <w:left w:val="nil"/>
              <w:bottom w:val="single" w:color="auto" w:sz="8" w:space="0"/>
              <w:right w:val="single" w:color="auto" w:sz="8" w:space="0"/>
            </w:tcBorders>
            <w:shd w:val="clear" w:color="auto" w:fill="FFFFFF"/>
            <w:noWrap/>
            <w:tcMar>
              <w:top w:w="0" w:type="dxa"/>
              <w:left w:w="57" w:type="dxa"/>
              <w:bottom w:w="0" w:type="dxa"/>
              <w:right w:w="57" w:type="dxa"/>
            </w:tcMar>
            <w:vAlign w:val="center"/>
          </w:tcPr>
          <w:p w14:paraId="5CDC8D6B">
            <w:pPr>
              <w:widowControl/>
              <w:wordWrap w:val="0"/>
              <w:spacing w:line="560" w:lineRule="exact"/>
              <w:jc w:val="center"/>
              <w:rPr>
                <w:rFonts w:hAnsi="宋体" w:cs="宋体"/>
                <w:color w:val="000000"/>
                <w:kern w:val="0"/>
              </w:rPr>
            </w:pPr>
            <w:r>
              <w:rPr>
                <w:rFonts w:ascii="Calibri" w:hAnsi="Calibri" w:cs="宋体"/>
                <w:color w:val="000000"/>
                <w:kern w:val="0"/>
              </w:rPr>
              <w:t>3</w:t>
            </w:r>
            <w:r>
              <w:rPr>
                <w:rFonts w:hint="eastAsia" w:ascii="Calibri" w:hAnsi="Calibri" w:cs="宋体"/>
                <w:color w:val="000000"/>
                <w:kern w:val="0"/>
              </w:rPr>
              <w:t>7</w:t>
            </w:r>
            <w:r>
              <w:rPr>
                <w:rFonts w:ascii="Calibri" w:hAnsi="Calibri" w:cs="宋体"/>
                <w:color w:val="000000"/>
                <w:kern w:val="0"/>
              </w:rPr>
              <w:t>0</w:t>
            </w:r>
          </w:p>
        </w:tc>
      </w:tr>
      <w:tr w14:paraId="1E3A42D8">
        <w:tblPrEx>
          <w:tblCellMar>
            <w:top w:w="0" w:type="dxa"/>
            <w:left w:w="0" w:type="dxa"/>
            <w:bottom w:w="0" w:type="dxa"/>
            <w:right w:w="0" w:type="dxa"/>
          </w:tblCellMar>
        </w:tblPrEx>
        <w:trPr>
          <w:trHeight w:val="312" w:hRule="atLeast"/>
        </w:trPr>
        <w:tc>
          <w:tcPr>
            <w:tcW w:w="4597" w:type="dxa"/>
            <w:tcBorders>
              <w:top w:val="nil"/>
              <w:left w:val="single" w:color="auto" w:sz="8" w:space="0"/>
              <w:bottom w:val="single" w:color="auto" w:sz="8" w:space="0"/>
              <w:right w:val="single" w:color="auto" w:sz="8" w:space="0"/>
            </w:tcBorders>
            <w:shd w:val="clear" w:color="auto" w:fill="FFFFFF"/>
            <w:noWrap/>
            <w:tcMar>
              <w:top w:w="0" w:type="dxa"/>
              <w:left w:w="57" w:type="dxa"/>
              <w:bottom w:w="0" w:type="dxa"/>
              <w:right w:w="57" w:type="dxa"/>
            </w:tcMar>
            <w:vAlign w:val="center"/>
          </w:tcPr>
          <w:p w14:paraId="37A0F0E2">
            <w:pPr>
              <w:widowControl/>
              <w:wordWrap w:val="0"/>
              <w:spacing w:line="560" w:lineRule="exact"/>
              <w:jc w:val="center"/>
              <w:rPr>
                <w:rFonts w:hAnsi="宋体" w:cs="宋体"/>
                <w:color w:val="000000"/>
                <w:kern w:val="0"/>
              </w:rPr>
            </w:pPr>
            <w:r>
              <w:rPr>
                <w:rFonts w:hint="eastAsia" w:hAnsi="宋体" w:cs="宋体"/>
                <w:color w:val="000000"/>
                <w:kern w:val="0"/>
              </w:rPr>
              <w:t>贵州(贵阳)</w:t>
            </w:r>
          </w:p>
        </w:tc>
        <w:tc>
          <w:tcPr>
            <w:tcW w:w="3960" w:type="dxa"/>
            <w:tcBorders>
              <w:top w:val="nil"/>
              <w:left w:val="nil"/>
              <w:bottom w:val="single" w:color="auto" w:sz="8" w:space="0"/>
              <w:right w:val="single" w:color="auto" w:sz="8" w:space="0"/>
            </w:tcBorders>
            <w:shd w:val="clear" w:color="auto" w:fill="FFFFFF"/>
            <w:noWrap/>
            <w:tcMar>
              <w:top w:w="0" w:type="dxa"/>
              <w:left w:w="57" w:type="dxa"/>
              <w:bottom w:w="0" w:type="dxa"/>
              <w:right w:w="57" w:type="dxa"/>
            </w:tcMar>
            <w:vAlign w:val="center"/>
          </w:tcPr>
          <w:p w14:paraId="362A2907">
            <w:pPr>
              <w:widowControl/>
              <w:wordWrap w:val="0"/>
              <w:spacing w:line="560" w:lineRule="exact"/>
              <w:jc w:val="center"/>
              <w:rPr>
                <w:rFonts w:hAnsi="宋体" w:cs="宋体"/>
                <w:color w:val="000000"/>
                <w:kern w:val="0"/>
              </w:rPr>
            </w:pPr>
            <w:r>
              <w:rPr>
                <w:rFonts w:ascii="Calibri" w:hAnsi="Calibri" w:cs="宋体"/>
                <w:color w:val="000000"/>
                <w:kern w:val="0"/>
              </w:rPr>
              <w:t>3</w:t>
            </w:r>
            <w:r>
              <w:rPr>
                <w:rFonts w:hint="eastAsia" w:ascii="Calibri" w:hAnsi="Calibri" w:cs="宋体"/>
                <w:color w:val="000000"/>
                <w:kern w:val="0"/>
              </w:rPr>
              <w:t>7</w:t>
            </w:r>
            <w:r>
              <w:rPr>
                <w:rFonts w:ascii="Calibri" w:hAnsi="Calibri" w:cs="宋体"/>
                <w:color w:val="000000"/>
                <w:kern w:val="0"/>
              </w:rPr>
              <w:t>0</w:t>
            </w:r>
          </w:p>
        </w:tc>
      </w:tr>
      <w:tr w14:paraId="640E4CF8">
        <w:tblPrEx>
          <w:tblCellMar>
            <w:top w:w="0" w:type="dxa"/>
            <w:left w:w="0" w:type="dxa"/>
            <w:bottom w:w="0" w:type="dxa"/>
            <w:right w:w="0" w:type="dxa"/>
          </w:tblCellMar>
        </w:tblPrEx>
        <w:trPr>
          <w:trHeight w:val="312" w:hRule="atLeast"/>
        </w:trPr>
        <w:tc>
          <w:tcPr>
            <w:tcW w:w="4597" w:type="dxa"/>
            <w:tcBorders>
              <w:top w:val="nil"/>
              <w:left w:val="single" w:color="auto" w:sz="8" w:space="0"/>
              <w:bottom w:val="single" w:color="auto" w:sz="8" w:space="0"/>
              <w:right w:val="single" w:color="auto" w:sz="8" w:space="0"/>
            </w:tcBorders>
            <w:shd w:val="clear" w:color="auto" w:fill="FFFFFF"/>
            <w:noWrap/>
            <w:tcMar>
              <w:top w:w="0" w:type="dxa"/>
              <w:left w:w="57" w:type="dxa"/>
              <w:bottom w:w="0" w:type="dxa"/>
              <w:right w:w="57" w:type="dxa"/>
            </w:tcMar>
            <w:vAlign w:val="center"/>
          </w:tcPr>
          <w:p w14:paraId="2416607B">
            <w:pPr>
              <w:widowControl/>
              <w:wordWrap w:val="0"/>
              <w:spacing w:line="560" w:lineRule="exact"/>
              <w:jc w:val="center"/>
              <w:rPr>
                <w:rFonts w:hAnsi="宋体" w:cs="宋体"/>
                <w:color w:val="000000"/>
                <w:kern w:val="0"/>
              </w:rPr>
            </w:pPr>
            <w:r>
              <w:rPr>
                <w:rFonts w:hint="eastAsia" w:hAnsi="宋体" w:cs="宋体"/>
                <w:color w:val="000000"/>
                <w:kern w:val="0"/>
              </w:rPr>
              <w:t>云南(昆明)</w:t>
            </w:r>
          </w:p>
        </w:tc>
        <w:tc>
          <w:tcPr>
            <w:tcW w:w="3960" w:type="dxa"/>
            <w:tcBorders>
              <w:top w:val="nil"/>
              <w:left w:val="nil"/>
              <w:bottom w:val="single" w:color="auto" w:sz="8" w:space="0"/>
              <w:right w:val="single" w:color="auto" w:sz="8" w:space="0"/>
            </w:tcBorders>
            <w:shd w:val="clear" w:color="auto" w:fill="FFFFFF"/>
            <w:noWrap/>
            <w:tcMar>
              <w:top w:w="0" w:type="dxa"/>
              <w:left w:w="57" w:type="dxa"/>
              <w:bottom w:w="0" w:type="dxa"/>
              <w:right w:w="57" w:type="dxa"/>
            </w:tcMar>
            <w:vAlign w:val="center"/>
          </w:tcPr>
          <w:p w14:paraId="749759C8">
            <w:pPr>
              <w:widowControl/>
              <w:wordWrap w:val="0"/>
              <w:spacing w:line="560" w:lineRule="exact"/>
              <w:jc w:val="center"/>
              <w:rPr>
                <w:rFonts w:hAnsi="宋体" w:cs="宋体"/>
                <w:color w:val="000000"/>
                <w:kern w:val="0"/>
              </w:rPr>
            </w:pPr>
            <w:r>
              <w:rPr>
                <w:rFonts w:hint="eastAsia" w:ascii="Calibri" w:hAnsi="Calibri" w:cs="宋体"/>
                <w:color w:val="000000"/>
                <w:kern w:val="0"/>
              </w:rPr>
              <w:t>38</w:t>
            </w:r>
            <w:r>
              <w:rPr>
                <w:rFonts w:ascii="Calibri" w:hAnsi="Calibri" w:cs="宋体"/>
                <w:color w:val="000000"/>
                <w:kern w:val="0"/>
              </w:rPr>
              <w:t>0</w:t>
            </w:r>
          </w:p>
        </w:tc>
      </w:tr>
      <w:tr w14:paraId="7B71238A">
        <w:tblPrEx>
          <w:tblCellMar>
            <w:top w:w="0" w:type="dxa"/>
            <w:left w:w="0" w:type="dxa"/>
            <w:bottom w:w="0" w:type="dxa"/>
            <w:right w:w="0" w:type="dxa"/>
          </w:tblCellMar>
        </w:tblPrEx>
        <w:trPr>
          <w:trHeight w:val="312" w:hRule="atLeast"/>
        </w:trPr>
        <w:tc>
          <w:tcPr>
            <w:tcW w:w="4597" w:type="dxa"/>
            <w:tcBorders>
              <w:top w:val="nil"/>
              <w:left w:val="single" w:color="auto" w:sz="8" w:space="0"/>
              <w:bottom w:val="single" w:color="auto" w:sz="8" w:space="0"/>
              <w:right w:val="single" w:color="auto" w:sz="8" w:space="0"/>
            </w:tcBorders>
            <w:shd w:val="clear" w:color="auto" w:fill="FFFFFF"/>
            <w:noWrap/>
            <w:tcMar>
              <w:top w:w="0" w:type="dxa"/>
              <w:left w:w="57" w:type="dxa"/>
              <w:bottom w:w="0" w:type="dxa"/>
              <w:right w:w="57" w:type="dxa"/>
            </w:tcMar>
            <w:vAlign w:val="center"/>
          </w:tcPr>
          <w:p w14:paraId="667018D1">
            <w:pPr>
              <w:widowControl/>
              <w:wordWrap w:val="0"/>
              <w:spacing w:line="560" w:lineRule="exact"/>
              <w:jc w:val="center"/>
              <w:rPr>
                <w:rFonts w:hAnsi="宋体" w:cs="宋体"/>
                <w:color w:val="000000"/>
                <w:kern w:val="0"/>
              </w:rPr>
            </w:pPr>
            <w:r>
              <w:rPr>
                <w:rFonts w:hint="eastAsia" w:hAnsi="宋体" w:cs="宋体"/>
                <w:color w:val="000000"/>
                <w:kern w:val="0"/>
              </w:rPr>
              <w:t>西藏(拉萨)</w:t>
            </w:r>
          </w:p>
        </w:tc>
        <w:tc>
          <w:tcPr>
            <w:tcW w:w="3960" w:type="dxa"/>
            <w:tcBorders>
              <w:top w:val="nil"/>
              <w:left w:val="nil"/>
              <w:bottom w:val="single" w:color="auto" w:sz="8" w:space="0"/>
              <w:right w:val="single" w:color="auto" w:sz="8" w:space="0"/>
            </w:tcBorders>
            <w:shd w:val="clear" w:color="auto" w:fill="FFFFFF"/>
            <w:noWrap/>
            <w:tcMar>
              <w:top w:w="0" w:type="dxa"/>
              <w:left w:w="57" w:type="dxa"/>
              <w:bottom w:w="0" w:type="dxa"/>
              <w:right w:w="57" w:type="dxa"/>
            </w:tcMar>
            <w:vAlign w:val="center"/>
          </w:tcPr>
          <w:p w14:paraId="724A0197">
            <w:pPr>
              <w:widowControl/>
              <w:wordWrap w:val="0"/>
              <w:spacing w:line="560" w:lineRule="exact"/>
              <w:jc w:val="center"/>
              <w:rPr>
                <w:rFonts w:hAnsi="宋体" w:cs="宋体"/>
                <w:color w:val="000000"/>
                <w:kern w:val="0"/>
              </w:rPr>
            </w:pPr>
            <w:r>
              <w:rPr>
                <w:rFonts w:ascii="Calibri" w:hAnsi="Calibri" w:cs="宋体"/>
                <w:color w:val="000000"/>
                <w:kern w:val="0"/>
              </w:rPr>
              <w:t>350</w:t>
            </w:r>
          </w:p>
        </w:tc>
      </w:tr>
      <w:tr w14:paraId="088ABA35">
        <w:tblPrEx>
          <w:tblCellMar>
            <w:top w:w="0" w:type="dxa"/>
            <w:left w:w="0" w:type="dxa"/>
            <w:bottom w:w="0" w:type="dxa"/>
            <w:right w:w="0" w:type="dxa"/>
          </w:tblCellMar>
        </w:tblPrEx>
        <w:trPr>
          <w:trHeight w:val="312" w:hRule="atLeast"/>
        </w:trPr>
        <w:tc>
          <w:tcPr>
            <w:tcW w:w="4597" w:type="dxa"/>
            <w:tcBorders>
              <w:top w:val="nil"/>
              <w:left w:val="single" w:color="auto" w:sz="8" w:space="0"/>
              <w:bottom w:val="single" w:color="auto" w:sz="8" w:space="0"/>
              <w:right w:val="single" w:color="auto" w:sz="8" w:space="0"/>
            </w:tcBorders>
            <w:shd w:val="clear" w:color="auto" w:fill="FFFFFF"/>
            <w:noWrap/>
            <w:tcMar>
              <w:top w:w="0" w:type="dxa"/>
              <w:left w:w="57" w:type="dxa"/>
              <w:bottom w:w="0" w:type="dxa"/>
              <w:right w:w="57" w:type="dxa"/>
            </w:tcMar>
            <w:vAlign w:val="center"/>
          </w:tcPr>
          <w:p w14:paraId="12D8E756">
            <w:pPr>
              <w:widowControl/>
              <w:wordWrap w:val="0"/>
              <w:spacing w:line="560" w:lineRule="exact"/>
              <w:jc w:val="center"/>
              <w:rPr>
                <w:rFonts w:hAnsi="宋体" w:cs="宋体"/>
                <w:color w:val="000000"/>
                <w:kern w:val="0"/>
              </w:rPr>
            </w:pPr>
            <w:r>
              <w:rPr>
                <w:rFonts w:hint="eastAsia" w:hAnsi="宋体" w:cs="宋体"/>
                <w:color w:val="000000"/>
                <w:kern w:val="0"/>
              </w:rPr>
              <w:t>陕西(西安)</w:t>
            </w:r>
          </w:p>
        </w:tc>
        <w:tc>
          <w:tcPr>
            <w:tcW w:w="3960" w:type="dxa"/>
            <w:tcBorders>
              <w:top w:val="nil"/>
              <w:left w:val="nil"/>
              <w:bottom w:val="single" w:color="auto" w:sz="8" w:space="0"/>
              <w:right w:val="single" w:color="auto" w:sz="8" w:space="0"/>
            </w:tcBorders>
            <w:shd w:val="clear" w:color="auto" w:fill="FFFFFF"/>
            <w:noWrap/>
            <w:tcMar>
              <w:top w:w="0" w:type="dxa"/>
              <w:left w:w="57" w:type="dxa"/>
              <w:bottom w:w="0" w:type="dxa"/>
              <w:right w:w="57" w:type="dxa"/>
            </w:tcMar>
            <w:vAlign w:val="center"/>
          </w:tcPr>
          <w:p w14:paraId="41BF670C">
            <w:pPr>
              <w:widowControl/>
              <w:wordWrap w:val="0"/>
              <w:spacing w:line="560" w:lineRule="exact"/>
              <w:jc w:val="center"/>
              <w:rPr>
                <w:rFonts w:hAnsi="宋体" w:cs="宋体"/>
                <w:color w:val="000000"/>
                <w:kern w:val="0"/>
              </w:rPr>
            </w:pPr>
            <w:r>
              <w:rPr>
                <w:rFonts w:ascii="Calibri" w:hAnsi="Calibri" w:cs="宋体"/>
                <w:color w:val="000000"/>
                <w:kern w:val="0"/>
              </w:rPr>
              <w:t>3</w:t>
            </w:r>
            <w:r>
              <w:rPr>
                <w:rFonts w:hint="eastAsia" w:ascii="Calibri" w:hAnsi="Calibri" w:cs="宋体"/>
                <w:color w:val="000000"/>
                <w:kern w:val="0"/>
              </w:rPr>
              <w:t>5</w:t>
            </w:r>
            <w:r>
              <w:rPr>
                <w:rFonts w:ascii="Calibri" w:hAnsi="Calibri" w:cs="宋体"/>
                <w:color w:val="000000"/>
                <w:kern w:val="0"/>
              </w:rPr>
              <w:t>0</w:t>
            </w:r>
          </w:p>
        </w:tc>
      </w:tr>
      <w:tr w14:paraId="50C179E6">
        <w:tblPrEx>
          <w:tblCellMar>
            <w:top w:w="0" w:type="dxa"/>
            <w:left w:w="0" w:type="dxa"/>
            <w:bottom w:w="0" w:type="dxa"/>
            <w:right w:w="0" w:type="dxa"/>
          </w:tblCellMar>
        </w:tblPrEx>
        <w:trPr>
          <w:trHeight w:val="312" w:hRule="atLeast"/>
        </w:trPr>
        <w:tc>
          <w:tcPr>
            <w:tcW w:w="4597" w:type="dxa"/>
            <w:tcBorders>
              <w:top w:val="nil"/>
              <w:left w:val="single" w:color="auto" w:sz="8" w:space="0"/>
              <w:bottom w:val="single" w:color="auto" w:sz="8" w:space="0"/>
              <w:right w:val="single" w:color="auto" w:sz="8" w:space="0"/>
            </w:tcBorders>
            <w:shd w:val="clear" w:color="auto" w:fill="FFFFFF"/>
            <w:noWrap/>
            <w:tcMar>
              <w:top w:w="0" w:type="dxa"/>
              <w:left w:w="57" w:type="dxa"/>
              <w:bottom w:w="0" w:type="dxa"/>
              <w:right w:w="57" w:type="dxa"/>
            </w:tcMar>
            <w:vAlign w:val="center"/>
          </w:tcPr>
          <w:p w14:paraId="06C5155A">
            <w:pPr>
              <w:widowControl/>
              <w:wordWrap w:val="0"/>
              <w:spacing w:line="560" w:lineRule="exact"/>
              <w:jc w:val="center"/>
              <w:rPr>
                <w:rFonts w:hAnsi="宋体" w:cs="宋体"/>
                <w:color w:val="000000"/>
                <w:kern w:val="0"/>
              </w:rPr>
            </w:pPr>
            <w:r>
              <w:rPr>
                <w:rFonts w:hint="eastAsia" w:hAnsi="宋体" w:cs="宋体"/>
                <w:color w:val="000000"/>
                <w:kern w:val="0"/>
              </w:rPr>
              <w:t>甘肃(兰州)</w:t>
            </w:r>
          </w:p>
        </w:tc>
        <w:tc>
          <w:tcPr>
            <w:tcW w:w="3960" w:type="dxa"/>
            <w:tcBorders>
              <w:top w:val="nil"/>
              <w:left w:val="nil"/>
              <w:bottom w:val="single" w:color="auto" w:sz="8" w:space="0"/>
              <w:right w:val="single" w:color="auto" w:sz="8" w:space="0"/>
            </w:tcBorders>
            <w:shd w:val="clear" w:color="auto" w:fill="FFFFFF"/>
            <w:noWrap/>
            <w:tcMar>
              <w:top w:w="0" w:type="dxa"/>
              <w:left w:w="57" w:type="dxa"/>
              <w:bottom w:w="0" w:type="dxa"/>
              <w:right w:w="57" w:type="dxa"/>
            </w:tcMar>
            <w:vAlign w:val="center"/>
          </w:tcPr>
          <w:p w14:paraId="55F58E34">
            <w:pPr>
              <w:widowControl/>
              <w:wordWrap w:val="0"/>
              <w:spacing w:line="560" w:lineRule="exact"/>
              <w:jc w:val="center"/>
              <w:rPr>
                <w:rFonts w:hAnsi="宋体" w:cs="宋体"/>
                <w:color w:val="000000"/>
                <w:kern w:val="0"/>
              </w:rPr>
            </w:pPr>
            <w:r>
              <w:rPr>
                <w:rFonts w:ascii="Calibri" w:hAnsi="Calibri" w:cs="宋体"/>
                <w:color w:val="000000"/>
                <w:kern w:val="0"/>
              </w:rPr>
              <w:t>3</w:t>
            </w:r>
            <w:r>
              <w:rPr>
                <w:rFonts w:hint="eastAsia" w:ascii="Calibri" w:hAnsi="Calibri" w:cs="宋体"/>
                <w:color w:val="000000"/>
                <w:kern w:val="0"/>
              </w:rPr>
              <w:t>5</w:t>
            </w:r>
            <w:r>
              <w:rPr>
                <w:rFonts w:ascii="Calibri" w:hAnsi="Calibri" w:cs="宋体"/>
                <w:color w:val="000000"/>
                <w:kern w:val="0"/>
              </w:rPr>
              <w:t>0</w:t>
            </w:r>
          </w:p>
        </w:tc>
      </w:tr>
      <w:tr w14:paraId="13E26F9B">
        <w:tblPrEx>
          <w:tblCellMar>
            <w:top w:w="0" w:type="dxa"/>
            <w:left w:w="0" w:type="dxa"/>
            <w:bottom w:w="0" w:type="dxa"/>
            <w:right w:w="0" w:type="dxa"/>
          </w:tblCellMar>
        </w:tblPrEx>
        <w:trPr>
          <w:trHeight w:val="312" w:hRule="atLeast"/>
        </w:trPr>
        <w:tc>
          <w:tcPr>
            <w:tcW w:w="4597" w:type="dxa"/>
            <w:tcBorders>
              <w:top w:val="nil"/>
              <w:left w:val="single" w:color="auto" w:sz="8" w:space="0"/>
              <w:bottom w:val="single" w:color="auto" w:sz="8" w:space="0"/>
              <w:right w:val="single" w:color="auto" w:sz="8" w:space="0"/>
            </w:tcBorders>
            <w:shd w:val="clear" w:color="auto" w:fill="FFFFFF"/>
            <w:noWrap/>
            <w:tcMar>
              <w:top w:w="0" w:type="dxa"/>
              <w:left w:w="57" w:type="dxa"/>
              <w:bottom w:w="0" w:type="dxa"/>
              <w:right w:w="57" w:type="dxa"/>
            </w:tcMar>
            <w:vAlign w:val="center"/>
          </w:tcPr>
          <w:p w14:paraId="76CA4FF8">
            <w:pPr>
              <w:widowControl/>
              <w:wordWrap w:val="0"/>
              <w:spacing w:line="560" w:lineRule="exact"/>
              <w:jc w:val="center"/>
              <w:rPr>
                <w:rFonts w:hAnsi="宋体" w:cs="宋体"/>
                <w:color w:val="000000"/>
                <w:kern w:val="0"/>
              </w:rPr>
            </w:pPr>
            <w:r>
              <w:rPr>
                <w:rFonts w:hint="eastAsia" w:hAnsi="宋体" w:cs="宋体"/>
                <w:color w:val="000000"/>
                <w:kern w:val="0"/>
              </w:rPr>
              <w:t>青海(西宁)</w:t>
            </w:r>
          </w:p>
        </w:tc>
        <w:tc>
          <w:tcPr>
            <w:tcW w:w="3960" w:type="dxa"/>
            <w:tcBorders>
              <w:top w:val="nil"/>
              <w:left w:val="nil"/>
              <w:bottom w:val="single" w:color="auto" w:sz="8" w:space="0"/>
              <w:right w:val="single" w:color="auto" w:sz="8" w:space="0"/>
            </w:tcBorders>
            <w:shd w:val="clear" w:color="auto" w:fill="FFFFFF"/>
            <w:noWrap/>
            <w:tcMar>
              <w:top w:w="0" w:type="dxa"/>
              <w:left w:w="57" w:type="dxa"/>
              <w:bottom w:w="0" w:type="dxa"/>
              <w:right w:w="57" w:type="dxa"/>
            </w:tcMar>
            <w:vAlign w:val="center"/>
          </w:tcPr>
          <w:p w14:paraId="0594E442">
            <w:pPr>
              <w:widowControl/>
              <w:wordWrap w:val="0"/>
              <w:spacing w:line="560" w:lineRule="exact"/>
              <w:jc w:val="center"/>
              <w:rPr>
                <w:rFonts w:hAnsi="宋体" w:cs="宋体"/>
                <w:color w:val="000000"/>
                <w:kern w:val="0"/>
              </w:rPr>
            </w:pPr>
            <w:r>
              <w:rPr>
                <w:rFonts w:ascii="Calibri" w:hAnsi="Calibri" w:cs="宋体"/>
                <w:color w:val="000000"/>
                <w:kern w:val="0"/>
              </w:rPr>
              <w:t>350</w:t>
            </w:r>
          </w:p>
        </w:tc>
      </w:tr>
      <w:tr w14:paraId="1115DED0">
        <w:tblPrEx>
          <w:tblCellMar>
            <w:top w:w="0" w:type="dxa"/>
            <w:left w:w="0" w:type="dxa"/>
            <w:bottom w:w="0" w:type="dxa"/>
            <w:right w:w="0" w:type="dxa"/>
          </w:tblCellMar>
        </w:tblPrEx>
        <w:trPr>
          <w:trHeight w:val="312" w:hRule="atLeast"/>
        </w:trPr>
        <w:tc>
          <w:tcPr>
            <w:tcW w:w="4597" w:type="dxa"/>
            <w:tcBorders>
              <w:top w:val="nil"/>
              <w:left w:val="single" w:color="auto" w:sz="8" w:space="0"/>
              <w:bottom w:val="single" w:color="auto" w:sz="8" w:space="0"/>
              <w:right w:val="single" w:color="auto" w:sz="8" w:space="0"/>
            </w:tcBorders>
            <w:shd w:val="clear" w:color="auto" w:fill="FFFFFF"/>
            <w:noWrap/>
            <w:tcMar>
              <w:top w:w="0" w:type="dxa"/>
              <w:left w:w="57" w:type="dxa"/>
              <w:bottom w:w="0" w:type="dxa"/>
              <w:right w:w="57" w:type="dxa"/>
            </w:tcMar>
            <w:vAlign w:val="center"/>
          </w:tcPr>
          <w:p w14:paraId="1331EED7">
            <w:pPr>
              <w:widowControl/>
              <w:wordWrap w:val="0"/>
              <w:spacing w:line="560" w:lineRule="exact"/>
              <w:jc w:val="center"/>
              <w:rPr>
                <w:rFonts w:hAnsi="宋体" w:cs="宋体"/>
                <w:color w:val="000000"/>
                <w:kern w:val="0"/>
              </w:rPr>
            </w:pPr>
            <w:r>
              <w:rPr>
                <w:rFonts w:hint="eastAsia" w:hAnsi="宋体" w:cs="宋体"/>
                <w:color w:val="000000"/>
                <w:kern w:val="0"/>
              </w:rPr>
              <w:t>宁夏(银川)</w:t>
            </w:r>
          </w:p>
        </w:tc>
        <w:tc>
          <w:tcPr>
            <w:tcW w:w="3960" w:type="dxa"/>
            <w:tcBorders>
              <w:top w:val="nil"/>
              <w:left w:val="nil"/>
              <w:bottom w:val="single" w:color="auto" w:sz="8" w:space="0"/>
              <w:right w:val="single" w:color="auto" w:sz="8" w:space="0"/>
            </w:tcBorders>
            <w:shd w:val="clear" w:color="auto" w:fill="FFFFFF"/>
            <w:noWrap/>
            <w:tcMar>
              <w:top w:w="0" w:type="dxa"/>
              <w:left w:w="57" w:type="dxa"/>
              <w:bottom w:w="0" w:type="dxa"/>
              <w:right w:w="57" w:type="dxa"/>
            </w:tcMar>
            <w:vAlign w:val="center"/>
          </w:tcPr>
          <w:p w14:paraId="3DF0342C">
            <w:pPr>
              <w:widowControl/>
              <w:wordWrap w:val="0"/>
              <w:spacing w:line="560" w:lineRule="exact"/>
              <w:jc w:val="center"/>
              <w:rPr>
                <w:rFonts w:hAnsi="宋体" w:cs="宋体"/>
                <w:color w:val="000000"/>
                <w:kern w:val="0"/>
              </w:rPr>
            </w:pPr>
            <w:r>
              <w:rPr>
                <w:rFonts w:ascii="Calibri" w:hAnsi="Calibri" w:cs="宋体"/>
                <w:color w:val="000000"/>
                <w:kern w:val="0"/>
              </w:rPr>
              <w:t>3</w:t>
            </w:r>
            <w:r>
              <w:rPr>
                <w:rFonts w:hint="eastAsia" w:ascii="Calibri" w:hAnsi="Calibri" w:cs="宋体"/>
                <w:color w:val="000000"/>
                <w:kern w:val="0"/>
              </w:rPr>
              <w:t>5</w:t>
            </w:r>
            <w:r>
              <w:rPr>
                <w:rFonts w:ascii="Calibri" w:hAnsi="Calibri" w:cs="宋体"/>
                <w:color w:val="000000"/>
                <w:kern w:val="0"/>
              </w:rPr>
              <w:t>0</w:t>
            </w:r>
          </w:p>
        </w:tc>
      </w:tr>
      <w:tr w14:paraId="3CCB438D">
        <w:tblPrEx>
          <w:tblCellMar>
            <w:top w:w="0" w:type="dxa"/>
            <w:left w:w="0" w:type="dxa"/>
            <w:bottom w:w="0" w:type="dxa"/>
            <w:right w:w="0" w:type="dxa"/>
          </w:tblCellMar>
        </w:tblPrEx>
        <w:trPr>
          <w:trHeight w:val="312" w:hRule="atLeast"/>
        </w:trPr>
        <w:tc>
          <w:tcPr>
            <w:tcW w:w="4597" w:type="dxa"/>
            <w:tcBorders>
              <w:top w:val="nil"/>
              <w:left w:val="single" w:color="auto" w:sz="8" w:space="0"/>
              <w:bottom w:val="single" w:color="auto" w:sz="8" w:space="0"/>
              <w:right w:val="single" w:color="auto" w:sz="8" w:space="0"/>
            </w:tcBorders>
            <w:shd w:val="clear" w:color="auto" w:fill="FFFFFF"/>
            <w:noWrap/>
            <w:tcMar>
              <w:top w:w="0" w:type="dxa"/>
              <w:left w:w="57" w:type="dxa"/>
              <w:bottom w:w="0" w:type="dxa"/>
              <w:right w:w="57" w:type="dxa"/>
            </w:tcMar>
            <w:vAlign w:val="center"/>
          </w:tcPr>
          <w:p w14:paraId="64F32351">
            <w:pPr>
              <w:widowControl/>
              <w:wordWrap w:val="0"/>
              <w:spacing w:line="560" w:lineRule="exact"/>
              <w:jc w:val="center"/>
              <w:rPr>
                <w:rFonts w:hAnsi="宋体" w:cs="宋体"/>
                <w:color w:val="000000"/>
                <w:kern w:val="0"/>
              </w:rPr>
            </w:pPr>
            <w:r>
              <w:rPr>
                <w:rFonts w:hint="eastAsia" w:hAnsi="宋体" w:cs="宋体"/>
                <w:color w:val="000000"/>
                <w:kern w:val="0"/>
              </w:rPr>
              <w:t>新疆(乌鲁木齐)</w:t>
            </w:r>
          </w:p>
        </w:tc>
        <w:tc>
          <w:tcPr>
            <w:tcW w:w="3960" w:type="dxa"/>
            <w:tcBorders>
              <w:top w:val="nil"/>
              <w:left w:val="nil"/>
              <w:bottom w:val="single" w:color="auto" w:sz="8" w:space="0"/>
              <w:right w:val="single" w:color="auto" w:sz="8" w:space="0"/>
            </w:tcBorders>
            <w:shd w:val="clear" w:color="auto" w:fill="FFFFFF"/>
            <w:noWrap/>
            <w:tcMar>
              <w:top w:w="0" w:type="dxa"/>
              <w:left w:w="57" w:type="dxa"/>
              <w:bottom w:w="0" w:type="dxa"/>
              <w:right w:w="57" w:type="dxa"/>
            </w:tcMar>
            <w:vAlign w:val="center"/>
          </w:tcPr>
          <w:p w14:paraId="23D66DD2">
            <w:pPr>
              <w:widowControl/>
              <w:wordWrap w:val="0"/>
              <w:spacing w:line="560" w:lineRule="exact"/>
              <w:jc w:val="center"/>
              <w:rPr>
                <w:rFonts w:hAnsi="宋体" w:cs="宋体"/>
                <w:color w:val="000000"/>
                <w:kern w:val="0"/>
              </w:rPr>
            </w:pPr>
            <w:r>
              <w:rPr>
                <w:rFonts w:ascii="Calibri" w:hAnsi="Calibri" w:cs="宋体"/>
                <w:color w:val="000000"/>
                <w:kern w:val="0"/>
              </w:rPr>
              <w:t>3</w:t>
            </w:r>
            <w:r>
              <w:rPr>
                <w:rFonts w:hint="eastAsia" w:ascii="Calibri" w:hAnsi="Calibri" w:cs="宋体"/>
                <w:color w:val="000000"/>
                <w:kern w:val="0"/>
              </w:rPr>
              <w:t>5</w:t>
            </w:r>
            <w:r>
              <w:rPr>
                <w:rFonts w:ascii="Calibri" w:hAnsi="Calibri" w:cs="宋体"/>
                <w:color w:val="000000"/>
                <w:kern w:val="0"/>
              </w:rPr>
              <w:t>0</w:t>
            </w:r>
          </w:p>
        </w:tc>
      </w:tr>
    </w:tbl>
    <w:p w14:paraId="56958601">
      <w:pPr>
        <w:spacing w:line="560" w:lineRule="exact"/>
        <w:jc w:val="center"/>
        <w:rPr>
          <w:rFonts w:ascii="方正小标宋简体" w:eastAsia="方正小标宋简体"/>
          <w:sz w:val="44"/>
          <w:szCs w:val="44"/>
        </w:rPr>
      </w:pPr>
    </w:p>
    <w:p w14:paraId="506F6832">
      <w:pPr>
        <w:spacing w:line="560" w:lineRule="exact"/>
        <w:jc w:val="center"/>
        <w:rPr>
          <w:rFonts w:ascii="方正小标宋简体" w:eastAsia="方正小标宋简体"/>
          <w:sz w:val="44"/>
          <w:szCs w:val="44"/>
        </w:rPr>
      </w:pPr>
    </w:p>
    <w:p w14:paraId="1D1F0252">
      <w:pPr>
        <w:spacing w:line="560" w:lineRule="exact"/>
        <w:jc w:val="center"/>
        <w:rPr>
          <w:rFonts w:ascii="黑体" w:eastAsia="黑体"/>
          <w:b/>
          <w:sz w:val="36"/>
          <w:szCs w:val="36"/>
        </w:rPr>
      </w:pPr>
      <w:r>
        <w:rPr>
          <w:rFonts w:hint="eastAsia" w:ascii="黑体" w:eastAsia="黑体"/>
          <w:b/>
          <w:sz w:val="36"/>
          <w:szCs w:val="36"/>
        </w:rPr>
        <w:t>宿费标准调整表（表2）</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830"/>
        <w:gridCol w:w="542"/>
        <w:gridCol w:w="598"/>
        <w:gridCol w:w="610"/>
        <w:gridCol w:w="634"/>
        <w:gridCol w:w="614"/>
        <w:gridCol w:w="542"/>
        <w:gridCol w:w="542"/>
        <w:gridCol w:w="542"/>
      </w:tblGrid>
      <w:tr w14:paraId="496A8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847" w:type="dxa"/>
            <w:vMerge w:val="restart"/>
            <w:noWrap/>
            <w:vAlign w:val="center"/>
          </w:tcPr>
          <w:p w14:paraId="764146C9">
            <w:pPr>
              <w:spacing w:line="560" w:lineRule="exact"/>
              <w:jc w:val="center"/>
              <w:rPr>
                <w:rFonts w:ascii="黑体" w:eastAsia="黑体"/>
                <w:b/>
                <w:sz w:val="24"/>
              </w:rPr>
            </w:pPr>
            <w:r>
              <w:rPr>
                <w:rFonts w:hint="eastAsia" w:ascii="黑体" w:eastAsia="黑体"/>
                <w:b/>
                <w:sz w:val="24"/>
              </w:rPr>
              <w:t>类别</w:t>
            </w:r>
          </w:p>
        </w:tc>
        <w:tc>
          <w:tcPr>
            <w:tcW w:w="3830" w:type="dxa"/>
            <w:vMerge w:val="restart"/>
            <w:noWrap/>
            <w:vAlign w:val="center"/>
          </w:tcPr>
          <w:p w14:paraId="09DF1850">
            <w:pPr>
              <w:spacing w:line="560" w:lineRule="exact"/>
              <w:jc w:val="center"/>
              <w:rPr>
                <w:rFonts w:ascii="黑体" w:eastAsia="黑体"/>
                <w:b/>
                <w:sz w:val="24"/>
              </w:rPr>
            </w:pPr>
            <w:r>
              <w:rPr>
                <w:rFonts w:hint="eastAsia" w:ascii="黑体" w:eastAsia="黑体"/>
                <w:b/>
                <w:sz w:val="24"/>
              </w:rPr>
              <w:t>执行地区</w:t>
            </w:r>
          </w:p>
        </w:tc>
        <w:tc>
          <w:tcPr>
            <w:tcW w:w="1750" w:type="dxa"/>
            <w:gridSpan w:val="3"/>
            <w:noWrap/>
            <w:vAlign w:val="center"/>
          </w:tcPr>
          <w:p w14:paraId="329C3F01">
            <w:pPr>
              <w:spacing w:line="560" w:lineRule="exact"/>
              <w:jc w:val="center"/>
              <w:rPr>
                <w:rFonts w:ascii="黑体" w:eastAsia="黑体"/>
                <w:szCs w:val="21"/>
              </w:rPr>
            </w:pPr>
            <w:r>
              <w:rPr>
                <w:rFonts w:hint="eastAsia" w:ascii="黑体" w:eastAsia="黑体"/>
                <w:szCs w:val="21"/>
              </w:rPr>
              <w:t>住宿费限额标准</w:t>
            </w:r>
          </w:p>
        </w:tc>
        <w:tc>
          <w:tcPr>
            <w:tcW w:w="634" w:type="dxa"/>
            <w:vMerge w:val="restart"/>
            <w:noWrap/>
            <w:vAlign w:val="center"/>
          </w:tcPr>
          <w:p w14:paraId="4E1C6182">
            <w:pPr>
              <w:spacing w:line="560" w:lineRule="exact"/>
              <w:jc w:val="center"/>
              <w:rPr>
                <w:rFonts w:ascii="黑体" w:eastAsia="黑体"/>
                <w:sz w:val="18"/>
                <w:szCs w:val="18"/>
              </w:rPr>
            </w:pPr>
            <w:r>
              <w:rPr>
                <w:rFonts w:hint="eastAsia" w:ascii="黑体" w:eastAsia="黑体"/>
                <w:sz w:val="18"/>
                <w:szCs w:val="18"/>
              </w:rPr>
              <w:t>旺盛季节</w:t>
            </w:r>
          </w:p>
        </w:tc>
        <w:tc>
          <w:tcPr>
            <w:tcW w:w="614" w:type="dxa"/>
            <w:vMerge w:val="restart"/>
            <w:noWrap/>
            <w:vAlign w:val="center"/>
          </w:tcPr>
          <w:p w14:paraId="483A625C">
            <w:pPr>
              <w:spacing w:line="560" w:lineRule="exact"/>
              <w:jc w:val="center"/>
              <w:rPr>
                <w:rFonts w:ascii="黑体" w:eastAsia="黑体"/>
                <w:sz w:val="18"/>
                <w:szCs w:val="18"/>
              </w:rPr>
            </w:pPr>
            <w:r>
              <w:rPr>
                <w:rFonts w:hint="eastAsia" w:ascii="黑体" w:eastAsia="黑体"/>
                <w:sz w:val="18"/>
                <w:szCs w:val="18"/>
              </w:rPr>
              <w:t>上浮比例</w:t>
            </w:r>
          </w:p>
        </w:tc>
        <w:tc>
          <w:tcPr>
            <w:tcW w:w="1626" w:type="dxa"/>
            <w:gridSpan w:val="3"/>
            <w:noWrap/>
            <w:vAlign w:val="center"/>
          </w:tcPr>
          <w:p w14:paraId="31C72B5B">
            <w:pPr>
              <w:spacing w:line="560" w:lineRule="exact"/>
              <w:jc w:val="center"/>
              <w:rPr>
                <w:rFonts w:ascii="黑体" w:eastAsia="黑体"/>
                <w:sz w:val="18"/>
                <w:szCs w:val="18"/>
              </w:rPr>
            </w:pPr>
            <w:r>
              <w:rPr>
                <w:rFonts w:hint="eastAsia" w:ascii="黑体" w:eastAsia="黑体"/>
                <w:sz w:val="18"/>
                <w:szCs w:val="18"/>
              </w:rPr>
              <w:t>淡旺季活动标准建议</w:t>
            </w:r>
          </w:p>
        </w:tc>
      </w:tr>
      <w:tr w14:paraId="0675A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trPr>
        <w:tc>
          <w:tcPr>
            <w:tcW w:w="847" w:type="dxa"/>
            <w:vMerge w:val="continue"/>
            <w:noWrap/>
          </w:tcPr>
          <w:p w14:paraId="27CE68BA">
            <w:pPr>
              <w:spacing w:line="560" w:lineRule="exact"/>
              <w:rPr>
                <w:rFonts w:ascii="黑体" w:eastAsia="黑体"/>
                <w:sz w:val="18"/>
                <w:szCs w:val="18"/>
              </w:rPr>
            </w:pPr>
          </w:p>
        </w:tc>
        <w:tc>
          <w:tcPr>
            <w:tcW w:w="3830" w:type="dxa"/>
            <w:vMerge w:val="continue"/>
            <w:noWrap/>
          </w:tcPr>
          <w:p w14:paraId="126E3FF6">
            <w:pPr>
              <w:spacing w:line="560" w:lineRule="exact"/>
              <w:rPr>
                <w:rFonts w:ascii="黑体" w:eastAsia="黑体"/>
                <w:sz w:val="18"/>
                <w:szCs w:val="18"/>
              </w:rPr>
            </w:pPr>
          </w:p>
        </w:tc>
        <w:tc>
          <w:tcPr>
            <w:tcW w:w="542" w:type="dxa"/>
            <w:noWrap/>
            <w:vAlign w:val="center"/>
          </w:tcPr>
          <w:p w14:paraId="684E1D5E">
            <w:pPr>
              <w:spacing w:line="560" w:lineRule="exact"/>
              <w:jc w:val="center"/>
              <w:rPr>
                <w:rFonts w:ascii="黑体" w:eastAsia="黑体"/>
                <w:sz w:val="18"/>
                <w:szCs w:val="18"/>
              </w:rPr>
            </w:pPr>
            <w:r>
              <w:rPr>
                <w:rFonts w:hint="eastAsia" w:ascii="黑体" w:eastAsia="黑体"/>
                <w:sz w:val="18"/>
                <w:szCs w:val="18"/>
              </w:rPr>
              <w:t>省级</w:t>
            </w:r>
          </w:p>
        </w:tc>
        <w:tc>
          <w:tcPr>
            <w:tcW w:w="598" w:type="dxa"/>
            <w:noWrap/>
            <w:vAlign w:val="center"/>
          </w:tcPr>
          <w:p w14:paraId="74162FDA">
            <w:pPr>
              <w:spacing w:line="560" w:lineRule="exact"/>
              <w:jc w:val="center"/>
              <w:rPr>
                <w:rFonts w:ascii="黑体" w:eastAsia="黑体"/>
                <w:sz w:val="18"/>
                <w:szCs w:val="18"/>
              </w:rPr>
            </w:pPr>
            <w:r>
              <w:rPr>
                <w:rFonts w:hint="eastAsia" w:ascii="黑体" w:eastAsia="黑体"/>
                <w:sz w:val="18"/>
                <w:szCs w:val="18"/>
              </w:rPr>
              <w:t>厅局级</w:t>
            </w:r>
          </w:p>
        </w:tc>
        <w:tc>
          <w:tcPr>
            <w:tcW w:w="610" w:type="dxa"/>
            <w:noWrap/>
            <w:vAlign w:val="center"/>
          </w:tcPr>
          <w:p w14:paraId="1D2A2375">
            <w:pPr>
              <w:spacing w:line="560" w:lineRule="exact"/>
              <w:jc w:val="center"/>
              <w:rPr>
                <w:rFonts w:ascii="黑体" w:eastAsia="黑体"/>
                <w:sz w:val="18"/>
                <w:szCs w:val="18"/>
              </w:rPr>
            </w:pPr>
            <w:r>
              <w:rPr>
                <w:rFonts w:hint="eastAsia" w:ascii="黑体" w:eastAsia="黑体"/>
                <w:sz w:val="18"/>
                <w:szCs w:val="18"/>
              </w:rPr>
              <w:t>其他人员</w:t>
            </w:r>
          </w:p>
        </w:tc>
        <w:tc>
          <w:tcPr>
            <w:tcW w:w="634" w:type="dxa"/>
            <w:vMerge w:val="continue"/>
            <w:noWrap/>
            <w:vAlign w:val="center"/>
          </w:tcPr>
          <w:p w14:paraId="00C0C949">
            <w:pPr>
              <w:spacing w:line="560" w:lineRule="exact"/>
              <w:jc w:val="center"/>
              <w:rPr>
                <w:rFonts w:ascii="黑体" w:eastAsia="黑体"/>
                <w:sz w:val="18"/>
                <w:szCs w:val="18"/>
              </w:rPr>
            </w:pPr>
          </w:p>
        </w:tc>
        <w:tc>
          <w:tcPr>
            <w:tcW w:w="614" w:type="dxa"/>
            <w:vMerge w:val="continue"/>
            <w:noWrap/>
            <w:vAlign w:val="center"/>
          </w:tcPr>
          <w:p w14:paraId="1E9DD892">
            <w:pPr>
              <w:spacing w:line="560" w:lineRule="exact"/>
              <w:jc w:val="center"/>
              <w:rPr>
                <w:rFonts w:ascii="黑体" w:eastAsia="黑体"/>
                <w:sz w:val="18"/>
                <w:szCs w:val="18"/>
              </w:rPr>
            </w:pPr>
          </w:p>
        </w:tc>
        <w:tc>
          <w:tcPr>
            <w:tcW w:w="542" w:type="dxa"/>
            <w:noWrap/>
            <w:vAlign w:val="center"/>
          </w:tcPr>
          <w:p w14:paraId="16254120">
            <w:pPr>
              <w:spacing w:line="560" w:lineRule="exact"/>
              <w:jc w:val="center"/>
              <w:rPr>
                <w:rFonts w:ascii="黑体" w:eastAsia="黑体"/>
                <w:sz w:val="18"/>
                <w:szCs w:val="18"/>
              </w:rPr>
            </w:pPr>
            <w:r>
              <w:rPr>
                <w:rFonts w:hint="eastAsia" w:ascii="黑体" w:eastAsia="黑体"/>
                <w:sz w:val="18"/>
                <w:szCs w:val="18"/>
              </w:rPr>
              <w:t>省级</w:t>
            </w:r>
          </w:p>
        </w:tc>
        <w:tc>
          <w:tcPr>
            <w:tcW w:w="542" w:type="dxa"/>
            <w:noWrap/>
            <w:vAlign w:val="center"/>
          </w:tcPr>
          <w:p w14:paraId="31446DAA">
            <w:pPr>
              <w:spacing w:line="560" w:lineRule="exact"/>
              <w:jc w:val="center"/>
              <w:rPr>
                <w:rFonts w:ascii="黑体" w:eastAsia="黑体"/>
                <w:sz w:val="18"/>
                <w:szCs w:val="18"/>
              </w:rPr>
            </w:pPr>
            <w:r>
              <w:rPr>
                <w:rFonts w:hint="eastAsia" w:ascii="黑体" w:eastAsia="黑体"/>
                <w:sz w:val="18"/>
                <w:szCs w:val="18"/>
              </w:rPr>
              <w:t>厅局级</w:t>
            </w:r>
          </w:p>
        </w:tc>
        <w:tc>
          <w:tcPr>
            <w:tcW w:w="542" w:type="dxa"/>
            <w:noWrap/>
            <w:vAlign w:val="center"/>
          </w:tcPr>
          <w:p w14:paraId="36869B19">
            <w:pPr>
              <w:spacing w:line="560" w:lineRule="exact"/>
              <w:jc w:val="center"/>
              <w:rPr>
                <w:rFonts w:ascii="黑体" w:eastAsia="黑体"/>
                <w:sz w:val="18"/>
                <w:szCs w:val="18"/>
              </w:rPr>
            </w:pPr>
            <w:r>
              <w:rPr>
                <w:rFonts w:hint="eastAsia" w:ascii="黑体" w:eastAsia="黑体"/>
                <w:sz w:val="18"/>
                <w:szCs w:val="18"/>
              </w:rPr>
              <w:t>其他人员</w:t>
            </w:r>
          </w:p>
        </w:tc>
      </w:tr>
      <w:tr w14:paraId="52E31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47" w:type="dxa"/>
            <w:vMerge w:val="restart"/>
            <w:noWrap/>
            <w:vAlign w:val="center"/>
          </w:tcPr>
          <w:p w14:paraId="44D5669D">
            <w:pPr>
              <w:spacing w:line="560" w:lineRule="exact"/>
              <w:jc w:val="center"/>
              <w:rPr>
                <w:rFonts w:ascii="黑体" w:eastAsia="黑体"/>
                <w:b/>
                <w:sz w:val="24"/>
              </w:rPr>
            </w:pPr>
            <w:r>
              <w:rPr>
                <w:rFonts w:hint="eastAsia" w:ascii="黑体" w:eastAsia="黑体"/>
                <w:b/>
                <w:sz w:val="24"/>
              </w:rPr>
              <w:t>一类</w:t>
            </w:r>
          </w:p>
        </w:tc>
        <w:tc>
          <w:tcPr>
            <w:tcW w:w="3830" w:type="dxa"/>
            <w:noWrap/>
          </w:tcPr>
          <w:p w14:paraId="466C7198">
            <w:pPr>
              <w:spacing w:line="560" w:lineRule="exact"/>
              <w:rPr>
                <w:rFonts w:ascii="黑体" w:eastAsia="黑体"/>
                <w:sz w:val="11"/>
                <w:szCs w:val="11"/>
              </w:rPr>
            </w:pPr>
            <w:r>
              <w:rPr>
                <w:rFonts w:hint="eastAsia" w:ascii="黑体" w:eastAsia="黑体"/>
                <w:sz w:val="15"/>
                <w:szCs w:val="15"/>
              </w:rPr>
              <w:t>长春市（南关区、宽城区、朝阳区、二道区、绿园区）</w:t>
            </w:r>
          </w:p>
        </w:tc>
        <w:tc>
          <w:tcPr>
            <w:tcW w:w="542" w:type="dxa"/>
            <w:vMerge w:val="restart"/>
            <w:noWrap/>
            <w:vAlign w:val="center"/>
          </w:tcPr>
          <w:p w14:paraId="08D87E75">
            <w:pPr>
              <w:spacing w:line="560" w:lineRule="exact"/>
              <w:jc w:val="center"/>
              <w:rPr>
                <w:rFonts w:ascii="黑体" w:eastAsia="黑体"/>
                <w:sz w:val="15"/>
                <w:szCs w:val="15"/>
              </w:rPr>
            </w:pPr>
            <w:r>
              <w:rPr>
                <w:rFonts w:hint="eastAsia" w:ascii="黑体" w:eastAsia="黑体"/>
                <w:sz w:val="15"/>
                <w:szCs w:val="15"/>
              </w:rPr>
              <w:t>800</w:t>
            </w:r>
          </w:p>
        </w:tc>
        <w:tc>
          <w:tcPr>
            <w:tcW w:w="598" w:type="dxa"/>
            <w:vMerge w:val="restart"/>
            <w:noWrap/>
            <w:vAlign w:val="center"/>
          </w:tcPr>
          <w:p w14:paraId="655B42C7">
            <w:pPr>
              <w:spacing w:line="560" w:lineRule="exact"/>
              <w:jc w:val="center"/>
              <w:rPr>
                <w:rFonts w:ascii="黑体" w:eastAsia="黑体"/>
                <w:sz w:val="15"/>
                <w:szCs w:val="15"/>
              </w:rPr>
            </w:pPr>
            <w:r>
              <w:rPr>
                <w:rFonts w:hint="eastAsia" w:ascii="黑体" w:eastAsia="黑体"/>
                <w:sz w:val="15"/>
                <w:szCs w:val="15"/>
              </w:rPr>
              <w:t>450</w:t>
            </w:r>
          </w:p>
        </w:tc>
        <w:tc>
          <w:tcPr>
            <w:tcW w:w="610" w:type="dxa"/>
            <w:vMerge w:val="restart"/>
            <w:noWrap/>
            <w:vAlign w:val="center"/>
          </w:tcPr>
          <w:p w14:paraId="04D17494">
            <w:pPr>
              <w:spacing w:line="560" w:lineRule="exact"/>
              <w:jc w:val="center"/>
              <w:rPr>
                <w:rFonts w:ascii="黑体" w:eastAsia="黑体"/>
                <w:sz w:val="15"/>
                <w:szCs w:val="15"/>
              </w:rPr>
            </w:pPr>
            <w:r>
              <w:rPr>
                <w:rFonts w:hint="eastAsia" w:ascii="黑体" w:eastAsia="黑体"/>
                <w:sz w:val="15"/>
                <w:szCs w:val="15"/>
              </w:rPr>
              <w:t>350</w:t>
            </w:r>
          </w:p>
        </w:tc>
        <w:tc>
          <w:tcPr>
            <w:tcW w:w="634" w:type="dxa"/>
            <w:noWrap/>
          </w:tcPr>
          <w:p w14:paraId="5EF48386">
            <w:pPr>
              <w:spacing w:line="560" w:lineRule="exact"/>
              <w:rPr>
                <w:rFonts w:ascii="黑体" w:eastAsia="黑体"/>
                <w:sz w:val="15"/>
                <w:szCs w:val="15"/>
              </w:rPr>
            </w:pPr>
          </w:p>
        </w:tc>
        <w:tc>
          <w:tcPr>
            <w:tcW w:w="614" w:type="dxa"/>
            <w:noWrap/>
          </w:tcPr>
          <w:p w14:paraId="07C75F76">
            <w:pPr>
              <w:spacing w:line="560" w:lineRule="exact"/>
              <w:rPr>
                <w:rFonts w:ascii="黑体" w:eastAsia="黑体"/>
                <w:sz w:val="15"/>
                <w:szCs w:val="15"/>
              </w:rPr>
            </w:pPr>
          </w:p>
        </w:tc>
        <w:tc>
          <w:tcPr>
            <w:tcW w:w="542" w:type="dxa"/>
            <w:noWrap/>
          </w:tcPr>
          <w:p w14:paraId="0D4E729E">
            <w:pPr>
              <w:spacing w:line="560" w:lineRule="exact"/>
              <w:rPr>
                <w:rFonts w:ascii="黑体" w:eastAsia="黑体"/>
                <w:sz w:val="15"/>
                <w:szCs w:val="15"/>
              </w:rPr>
            </w:pPr>
          </w:p>
        </w:tc>
        <w:tc>
          <w:tcPr>
            <w:tcW w:w="542" w:type="dxa"/>
            <w:noWrap/>
          </w:tcPr>
          <w:p w14:paraId="4834482A">
            <w:pPr>
              <w:spacing w:line="560" w:lineRule="exact"/>
              <w:rPr>
                <w:rFonts w:ascii="黑体" w:eastAsia="黑体"/>
                <w:sz w:val="15"/>
                <w:szCs w:val="15"/>
              </w:rPr>
            </w:pPr>
          </w:p>
        </w:tc>
        <w:tc>
          <w:tcPr>
            <w:tcW w:w="542" w:type="dxa"/>
            <w:noWrap/>
          </w:tcPr>
          <w:p w14:paraId="4DC40CC1">
            <w:pPr>
              <w:spacing w:line="560" w:lineRule="exact"/>
              <w:rPr>
                <w:rFonts w:ascii="黑体" w:eastAsia="黑体"/>
                <w:sz w:val="15"/>
                <w:szCs w:val="15"/>
              </w:rPr>
            </w:pPr>
          </w:p>
        </w:tc>
      </w:tr>
      <w:tr w14:paraId="3D9E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847" w:type="dxa"/>
            <w:vMerge w:val="continue"/>
            <w:noWrap/>
            <w:vAlign w:val="center"/>
          </w:tcPr>
          <w:p w14:paraId="51316B13">
            <w:pPr>
              <w:spacing w:line="560" w:lineRule="exact"/>
              <w:jc w:val="center"/>
              <w:rPr>
                <w:rFonts w:ascii="黑体" w:eastAsia="黑体"/>
                <w:b/>
                <w:sz w:val="24"/>
              </w:rPr>
            </w:pPr>
          </w:p>
        </w:tc>
        <w:tc>
          <w:tcPr>
            <w:tcW w:w="3830" w:type="dxa"/>
            <w:noWrap/>
          </w:tcPr>
          <w:p w14:paraId="1902DE07">
            <w:pPr>
              <w:spacing w:line="560" w:lineRule="exact"/>
              <w:rPr>
                <w:rFonts w:ascii="黑体" w:eastAsia="黑体"/>
                <w:sz w:val="15"/>
                <w:szCs w:val="15"/>
              </w:rPr>
            </w:pPr>
            <w:r>
              <w:rPr>
                <w:rFonts w:hint="eastAsia" w:ascii="黑体" w:eastAsia="黑体"/>
                <w:sz w:val="15"/>
                <w:szCs w:val="15"/>
              </w:rPr>
              <w:t>吉林市（昌邑区、龙潭区、船营区、丰满3）、延边州（延吉市）、长白山管委会</w:t>
            </w:r>
          </w:p>
        </w:tc>
        <w:tc>
          <w:tcPr>
            <w:tcW w:w="542" w:type="dxa"/>
            <w:vMerge w:val="continue"/>
            <w:noWrap/>
          </w:tcPr>
          <w:p w14:paraId="4F20A808">
            <w:pPr>
              <w:spacing w:line="560" w:lineRule="exact"/>
              <w:rPr>
                <w:rFonts w:ascii="黑体" w:eastAsia="黑体"/>
                <w:sz w:val="30"/>
                <w:szCs w:val="30"/>
              </w:rPr>
            </w:pPr>
          </w:p>
        </w:tc>
        <w:tc>
          <w:tcPr>
            <w:tcW w:w="598" w:type="dxa"/>
            <w:vMerge w:val="continue"/>
            <w:noWrap/>
          </w:tcPr>
          <w:p w14:paraId="6A854D94">
            <w:pPr>
              <w:spacing w:line="560" w:lineRule="exact"/>
              <w:rPr>
                <w:rFonts w:ascii="黑体" w:eastAsia="黑体"/>
                <w:sz w:val="15"/>
                <w:szCs w:val="15"/>
              </w:rPr>
            </w:pPr>
          </w:p>
        </w:tc>
        <w:tc>
          <w:tcPr>
            <w:tcW w:w="610" w:type="dxa"/>
            <w:vMerge w:val="continue"/>
            <w:noWrap/>
          </w:tcPr>
          <w:p w14:paraId="3BD303E1">
            <w:pPr>
              <w:spacing w:line="560" w:lineRule="exact"/>
              <w:rPr>
                <w:rFonts w:ascii="黑体" w:eastAsia="黑体"/>
                <w:sz w:val="15"/>
                <w:szCs w:val="15"/>
              </w:rPr>
            </w:pPr>
          </w:p>
        </w:tc>
        <w:tc>
          <w:tcPr>
            <w:tcW w:w="634" w:type="dxa"/>
            <w:noWrap/>
            <w:vAlign w:val="center"/>
          </w:tcPr>
          <w:p w14:paraId="2015A1AD">
            <w:pPr>
              <w:spacing w:line="560" w:lineRule="exact"/>
              <w:jc w:val="center"/>
              <w:rPr>
                <w:rFonts w:ascii="黑体" w:eastAsia="黑体"/>
                <w:sz w:val="15"/>
                <w:szCs w:val="15"/>
              </w:rPr>
            </w:pPr>
            <w:r>
              <w:rPr>
                <w:rFonts w:hint="eastAsia" w:ascii="黑体" w:eastAsia="黑体"/>
                <w:sz w:val="15"/>
                <w:szCs w:val="15"/>
              </w:rPr>
              <w:t>7-9月</w:t>
            </w:r>
          </w:p>
        </w:tc>
        <w:tc>
          <w:tcPr>
            <w:tcW w:w="614" w:type="dxa"/>
            <w:noWrap/>
            <w:vAlign w:val="center"/>
          </w:tcPr>
          <w:p w14:paraId="23F7AC17">
            <w:pPr>
              <w:spacing w:line="560" w:lineRule="exact"/>
              <w:jc w:val="center"/>
              <w:rPr>
                <w:rFonts w:ascii="黑体" w:eastAsia="黑体"/>
                <w:sz w:val="15"/>
                <w:szCs w:val="15"/>
              </w:rPr>
            </w:pPr>
            <w:r>
              <w:rPr>
                <w:rFonts w:hint="eastAsia" w:ascii="黑体" w:eastAsia="黑体"/>
                <w:sz w:val="15"/>
                <w:szCs w:val="15"/>
              </w:rPr>
              <w:t>20%</w:t>
            </w:r>
          </w:p>
        </w:tc>
        <w:tc>
          <w:tcPr>
            <w:tcW w:w="542" w:type="dxa"/>
            <w:noWrap/>
            <w:vAlign w:val="center"/>
          </w:tcPr>
          <w:p w14:paraId="30FBABCC">
            <w:pPr>
              <w:spacing w:line="560" w:lineRule="exact"/>
              <w:jc w:val="center"/>
              <w:rPr>
                <w:rFonts w:ascii="黑体" w:eastAsia="黑体"/>
                <w:sz w:val="15"/>
                <w:szCs w:val="15"/>
              </w:rPr>
            </w:pPr>
            <w:r>
              <w:rPr>
                <w:rFonts w:hint="eastAsia" w:ascii="黑体" w:eastAsia="黑体"/>
                <w:sz w:val="15"/>
                <w:szCs w:val="15"/>
              </w:rPr>
              <w:t>950</w:t>
            </w:r>
          </w:p>
        </w:tc>
        <w:tc>
          <w:tcPr>
            <w:tcW w:w="542" w:type="dxa"/>
            <w:noWrap/>
            <w:vAlign w:val="center"/>
          </w:tcPr>
          <w:p w14:paraId="063A79DB">
            <w:pPr>
              <w:spacing w:line="560" w:lineRule="exact"/>
              <w:jc w:val="center"/>
              <w:rPr>
                <w:rFonts w:ascii="黑体" w:eastAsia="黑体"/>
                <w:sz w:val="15"/>
                <w:szCs w:val="15"/>
              </w:rPr>
            </w:pPr>
            <w:r>
              <w:rPr>
                <w:rFonts w:hint="eastAsia" w:ascii="黑体" w:eastAsia="黑体"/>
                <w:sz w:val="15"/>
                <w:szCs w:val="15"/>
              </w:rPr>
              <w:t>540</w:t>
            </w:r>
          </w:p>
        </w:tc>
        <w:tc>
          <w:tcPr>
            <w:tcW w:w="542" w:type="dxa"/>
            <w:noWrap/>
            <w:vAlign w:val="center"/>
          </w:tcPr>
          <w:p w14:paraId="0334B634">
            <w:pPr>
              <w:spacing w:line="560" w:lineRule="exact"/>
              <w:jc w:val="center"/>
              <w:rPr>
                <w:rFonts w:ascii="黑体" w:eastAsia="黑体"/>
                <w:sz w:val="15"/>
                <w:szCs w:val="15"/>
              </w:rPr>
            </w:pPr>
            <w:r>
              <w:rPr>
                <w:rFonts w:hint="eastAsia" w:ascii="黑体" w:eastAsia="黑体"/>
                <w:sz w:val="15"/>
                <w:szCs w:val="15"/>
              </w:rPr>
              <w:t>420</w:t>
            </w:r>
          </w:p>
        </w:tc>
      </w:tr>
      <w:tr w14:paraId="21FD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847" w:type="dxa"/>
            <w:vMerge w:val="restart"/>
            <w:noWrap/>
            <w:vAlign w:val="center"/>
          </w:tcPr>
          <w:p w14:paraId="1DDF0BCE">
            <w:pPr>
              <w:spacing w:line="560" w:lineRule="exact"/>
              <w:jc w:val="center"/>
              <w:rPr>
                <w:rFonts w:ascii="黑体" w:eastAsia="黑体"/>
                <w:b/>
                <w:sz w:val="24"/>
              </w:rPr>
            </w:pPr>
            <w:r>
              <w:rPr>
                <w:rFonts w:hint="eastAsia" w:ascii="黑体" w:eastAsia="黑体"/>
                <w:b/>
                <w:sz w:val="24"/>
              </w:rPr>
              <w:t>二类</w:t>
            </w:r>
          </w:p>
        </w:tc>
        <w:tc>
          <w:tcPr>
            <w:tcW w:w="3830" w:type="dxa"/>
            <w:noWrap/>
          </w:tcPr>
          <w:p w14:paraId="7059D3BD">
            <w:pPr>
              <w:spacing w:line="560" w:lineRule="exact"/>
              <w:rPr>
                <w:rFonts w:ascii="黑体" w:eastAsia="黑体"/>
                <w:sz w:val="15"/>
                <w:szCs w:val="15"/>
              </w:rPr>
            </w:pPr>
            <w:r>
              <w:rPr>
                <w:rFonts w:hint="eastAsia" w:ascii="黑体" w:eastAsia="黑体"/>
                <w:sz w:val="15"/>
                <w:szCs w:val="15"/>
              </w:rPr>
              <w:t>永吉县、延边州（珲春市、敦化市、</w:t>
            </w:r>
            <w:r>
              <w:rPr>
                <w:rFonts w:hint="default" w:ascii="黑体" w:eastAsia="黑体"/>
                <w:sz w:val="15"/>
                <w:szCs w:val="15"/>
                <w:lang w:val="en-US"/>
              </w:rPr>
              <w:t>图们市</w:t>
            </w:r>
            <w:r>
              <w:rPr>
                <w:rFonts w:hint="eastAsia" w:ascii="黑体" w:eastAsia="黑体"/>
                <w:sz w:val="15"/>
                <w:szCs w:val="15"/>
              </w:rPr>
              <w:t>、龙井市、和龙市）</w:t>
            </w:r>
          </w:p>
        </w:tc>
        <w:tc>
          <w:tcPr>
            <w:tcW w:w="542" w:type="dxa"/>
            <w:vMerge w:val="restart"/>
            <w:noWrap/>
            <w:vAlign w:val="center"/>
          </w:tcPr>
          <w:p w14:paraId="2C7FE6D1">
            <w:pPr>
              <w:spacing w:line="560" w:lineRule="exact"/>
              <w:jc w:val="center"/>
              <w:rPr>
                <w:rFonts w:ascii="黑体" w:eastAsia="黑体"/>
                <w:sz w:val="15"/>
                <w:szCs w:val="15"/>
              </w:rPr>
            </w:pPr>
            <w:r>
              <w:rPr>
                <w:rFonts w:hint="eastAsia" w:ascii="黑体" w:eastAsia="黑体"/>
                <w:sz w:val="15"/>
                <w:szCs w:val="15"/>
              </w:rPr>
              <w:t>750</w:t>
            </w:r>
          </w:p>
        </w:tc>
        <w:tc>
          <w:tcPr>
            <w:tcW w:w="598" w:type="dxa"/>
            <w:vMerge w:val="restart"/>
            <w:noWrap/>
            <w:vAlign w:val="center"/>
          </w:tcPr>
          <w:p w14:paraId="0F524133">
            <w:pPr>
              <w:spacing w:line="560" w:lineRule="exact"/>
              <w:jc w:val="center"/>
              <w:rPr>
                <w:rFonts w:ascii="黑体" w:eastAsia="黑体"/>
                <w:sz w:val="15"/>
                <w:szCs w:val="15"/>
              </w:rPr>
            </w:pPr>
            <w:r>
              <w:rPr>
                <w:rFonts w:hint="eastAsia" w:ascii="黑体" w:eastAsia="黑体"/>
                <w:sz w:val="15"/>
                <w:szCs w:val="15"/>
              </w:rPr>
              <w:t>400</w:t>
            </w:r>
          </w:p>
        </w:tc>
        <w:tc>
          <w:tcPr>
            <w:tcW w:w="610" w:type="dxa"/>
            <w:vMerge w:val="restart"/>
            <w:noWrap/>
            <w:vAlign w:val="center"/>
          </w:tcPr>
          <w:p w14:paraId="4A462E80">
            <w:pPr>
              <w:spacing w:line="560" w:lineRule="exact"/>
              <w:jc w:val="center"/>
              <w:rPr>
                <w:rFonts w:ascii="黑体" w:eastAsia="黑体"/>
                <w:sz w:val="15"/>
                <w:szCs w:val="15"/>
              </w:rPr>
            </w:pPr>
            <w:r>
              <w:rPr>
                <w:rFonts w:hint="eastAsia" w:ascii="黑体" w:eastAsia="黑体"/>
                <w:sz w:val="15"/>
                <w:szCs w:val="15"/>
              </w:rPr>
              <w:t>300</w:t>
            </w:r>
          </w:p>
        </w:tc>
        <w:tc>
          <w:tcPr>
            <w:tcW w:w="634" w:type="dxa"/>
            <w:noWrap/>
            <w:vAlign w:val="center"/>
          </w:tcPr>
          <w:p w14:paraId="68950018">
            <w:pPr>
              <w:spacing w:line="560" w:lineRule="exact"/>
              <w:jc w:val="center"/>
              <w:rPr>
                <w:rFonts w:ascii="黑体" w:eastAsia="黑体"/>
                <w:sz w:val="15"/>
                <w:szCs w:val="15"/>
              </w:rPr>
            </w:pPr>
            <w:r>
              <w:rPr>
                <w:rFonts w:hint="eastAsia" w:ascii="黑体" w:eastAsia="黑体"/>
                <w:sz w:val="15"/>
                <w:szCs w:val="15"/>
              </w:rPr>
              <w:t>7-9月</w:t>
            </w:r>
          </w:p>
        </w:tc>
        <w:tc>
          <w:tcPr>
            <w:tcW w:w="614" w:type="dxa"/>
            <w:noWrap/>
            <w:vAlign w:val="center"/>
          </w:tcPr>
          <w:p w14:paraId="23D02757">
            <w:pPr>
              <w:spacing w:line="560" w:lineRule="exact"/>
              <w:jc w:val="center"/>
              <w:rPr>
                <w:rFonts w:ascii="黑体" w:eastAsia="黑体"/>
                <w:sz w:val="15"/>
                <w:szCs w:val="15"/>
              </w:rPr>
            </w:pPr>
            <w:r>
              <w:rPr>
                <w:rFonts w:hint="eastAsia" w:ascii="黑体" w:eastAsia="黑体"/>
                <w:sz w:val="15"/>
                <w:szCs w:val="15"/>
              </w:rPr>
              <w:t>20%</w:t>
            </w:r>
          </w:p>
        </w:tc>
        <w:tc>
          <w:tcPr>
            <w:tcW w:w="542" w:type="dxa"/>
            <w:noWrap/>
            <w:vAlign w:val="center"/>
          </w:tcPr>
          <w:p w14:paraId="149FC295">
            <w:pPr>
              <w:spacing w:line="560" w:lineRule="exact"/>
              <w:jc w:val="center"/>
              <w:rPr>
                <w:rFonts w:ascii="黑体" w:eastAsia="黑体"/>
                <w:sz w:val="15"/>
                <w:szCs w:val="15"/>
              </w:rPr>
            </w:pPr>
            <w:r>
              <w:rPr>
                <w:rFonts w:hint="eastAsia" w:ascii="黑体" w:eastAsia="黑体"/>
                <w:sz w:val="15"/>
                <w:szCs w:val="15"/>
              </w:rPr>
              <w:t>900</w:t>
            </w:r>
          </w:p>
        </w:tc>
        <w:tc>
          <w:tcPr>
            <w:tcW w:w="542" w:type="dxa"/>
            <w:noWrap/>
            <w:vAlign w:val="center"/>
          </w:tcPr>
          <w:p w14:paraId="20018201">
            <w:pPr>
              <w:spacing w:line="560" w:lineRule="exact"/>
              <w:jc w:val="center"/>
              <w:rPr>
                <w:rFonts w:ascii="黑体" w:eastAsia="黑体"/>
                <w:sz w:val="15"/>
                <w:szCs w:val="15"/>
              </w:rPr>
            </w:pPr>
            <w:r>
              <w:rPr>
                <w:rFonts w:hint="eastAsia" w:ascii="黑体" w:eastAsia="黑体"/>
                <w:sz w:val="15"/>
                <w:szCs w:val="15"/>
              </w:rPr>
              <w:t>480</w:t>
            </w:r>
          </w:p>
        </w:tc>
        <w:tc>
          <w:tcPr>
            <w:tcW w:w="542" w:type="dxa"/>
            <w:noWrap/>
            <w:vAlign w:val="center"/>
          </w:tcPr>
          <w:p w14:paraId="1D69975C">
            <w:pPr>
              <w:spacing w:line="560" w:lineRule="exact"/>
              <w:jc w:val="center"/>
              <w:rPr>
                <w:rFonts w:ascii="黑体" w:eastAsia="黑体"/>
                <w:sz w:val="15"/>
                <w:szCs w:val="15"/>
              </w:rPr>
            </w:pPr>
            <w:r>
              <w:rPr>
                <w:rFonts w:hint="eastAsia" w:ascii="黑体" w:eastAsia="黑体"/>
                <w:sz w:val="15"/>
                <w:szCs w:val="15"/>
              </w:rPr>
              <w:t>360</w:t>
            </w:r>
          </w:p>
        </w:tc>
      </w:tr>
      <w:tr w14:paraId="5F73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847" w:type="dxa"/>
            <w:vMerge w:val="continue"/>
            <w:noWrap/>
            <w:vAlign w:val="center"/>
          </w:tcPr>
          <w:p w14:paraId="4C4CFC3D">
            <w:pPr>
              <w:spacing w:line="560" w:lineRule="exact"/>
              <w:jc w:val="center"/>
              <w:rPr>
                <w:rFonts w:ascii="黑体" w:eastAsia="黑体"/>
                <w:b/>
                <w:sz w:val="24"/>
              </w:rPr>
            </w:pPr>
          </w:p>
        </w:tc>
        <w:tc>
          <w:tcPr>
            <w:tcW w:w="3830" w:type="dxa"/>
            <w:noWrap/>
          </w:tcPr>
          <w:p w14:paraId="24CD0DB7">
            <w:pPr>
              <w:spacing w:line="560" w:lineRule="exact"/>
              <w:rPr>
                <w:rFonts w:ascii="黑体" w:eastAsia="黑体"/>
                <w:b/>
                <w:sz w:val="30"/>
                <w:szCs w:val="30"/>
              </w:rPr>
            </w:pPr>
            <w:r>
              <w:rPr>
                <w:rFonts w:hint="eastAsia" w:ascii="黑体" w:eastAsia="黑体"/>
                <w:sz w:val="15"/>
                <w:szCs w:val="15"/>
              </w:rPr>
              <w:t>长春市（双阳区、九台区）四平市（铁西区、铁东区）公主岭市、辽源市（龙山区、西安区）通话市（东昌区、二道江区）梅河口市、白山市（浑江区、江源区）松原市（宁江区）前郭县、白城市（洮北区）</w:t>
            </w:r>
          </w:p>
        </w:tc>
        <w:tc>
          <w:tcPr>
            <w:tcW w:w="542" w:type="dxa"/>
            <w:vMerge w:val="continue"/>
            <w:noWrap/>
          </w:tcPr>
          <w:p w14:paraId="1FA55AE3">
            <w:pPr>
              <w:spacing w:line="560" w:lineRule="exact"/>
              <w:rPr>
                <w:rFonts w:ascii="黑体" w:eastAsia="黑体"/>
                <w:sz w:val="15"/>
                <w:szCs w:val="15"/>
              </w:rPr>
            </w:pPr>
          </w:p>
        </w:tc>
        <w:tc>
          <w:tcPr>
            <w:tcW w:w="598" w:type="dxa"/>
            <w:vMerge w:val="continue"/>
            <w:noWrap/>
          </w:tcPr>
          <w:p w14:paraId="6C39F604">
            <w:pPr>
              <w:spacing w:line="560" w:lineRule="exact"/>
              <w:rPr>
                <w:rFonts w:ascii="黑体" w:eastAsia="黑体"/>
                <w:sz w:val="15"/>
                <w:szCs w:val="15"/>
              </w:rPr>
            </w:pPr>
          </w:p>
        </w:tc>
        <w:tc>
          <w:tcPr>
            <w:tcW w:w="610" w:type="dxa"/>
            <w:vMerge w:val="continue"/>
            <w:noWrap/>
          </w:tcPr>
          <w:p w14:paraId="01014E58">
            <w:pPr>
              <w:spacing w:line="560" w:lineRule="exact"/>
              <w:rPr>
                <w:rFonts w:ascii="黑体" w:eastAsia="黑体"/>
                <w:sz w:val="15"/>
                <w:szCs w:val="15"/>
              </w:rPr>
            </w:pPr>
          </w:p>
        </w:tc>
        <w:tc>
          <w:tcPr>
            <w:tcW w:w="634" w:type="dxa"/>
            <w:noWrap/>
          </w:tcPr>
          <w:p w14:paraId="794A3B7A">
            <w:pPr>
              <w:spacing w:line="560" w:lineRule="exact"/>
              <w:rPr>
                <w:rFonts w:ascii="黑体" w:eastAsia="黑体"/>
                <w:sz w:val="15"/>
                <w:szCs w:val="15"/>
              </w:rPr>
            </w:pPr>
          </w:p>
        </w:tc>
        <w:tc>
          <w:tcPr>
            <w:tcW w:w="614" w:type="dxa"/>
            <w:noWrap/>
          </w:tcPr>
          <w:p w14:paraId="168A8C46">
            <w:pPr>
              <w:spacing w:line="560" w:lineRule="exact"/>
              <w:rPr>
                <w:rFonts w:ascii="黑体" w:eastAsia="黑体"/>
                <w:sz w:val="15"/>
                <w:szCs w:val="15"/>
              </w:rPr>
            </w:pPr>
          </w:p>
        </w:tc>
        <w:tc>
          <w:tcPr>
            <w:tcW w:w="542" w:type="dxa"/>
            <w:noWrap/>
          </w:tcPr>
          <w:p w14:paraId="136E3528">
            <w:pPr>
              <w:spacing w:line="560" w:lineRule="exact"/>
              <w:rPr>
                <w:rFonts w:ascii="黑体" w:eastAsia="黑体"/>
                <w:sz w:val="15"/>
                <w:szCs w:val="15"/>
              </w:rPr>
            </w:pPr>
          </w:p>
        </w:tc>
        <w:tc>
          <w:tcPr>
            <w:tcW w:w="542" w:type="dxa"/>
            <w:noWrap/>
          </w:tcPr>
          <w:p w14:paraId="59D9517D">
            <w:pPr>
              <w:spacing w:line="560" w:lineRule="exact"/>
              <w:rPr>
                <w:rFonts w:ascii="黑体" w:eastAsia="黑体"/>
                <w:sz w:val="15"/>
                <w:szCs w:val="15"/>
              </w:rPr>
            </w:pPr>
          </w:p>
        </w:tc>
        <w:tc>
          <w:tcPr>
            <w:tcW w:w="542" w:type="dxa"/>
            <w:noWrap/>
          </w:tcPr>
          <w:p w14:paraId="179EA287">
            <w:pPr>
              <w:spacing w:line="560" w:lineRule="exact"/>
              <w:rPr>
                <w:rFonts w:ascii="黑体" w:eastAsia="黑体"/>
                <w:sz w:val="15"/>
                <w:szCs w:val="15"/>
              </w:rPr>
            </w:pPr>
          </w:p>
        </w:tc>
      </w:tr>
      <w:tr w14:paraId="07577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trPr>
        <w:tc>
          <w:tcPr>
            <w:tcW w:w="847" w:type="dxa"/>
            <w:noWrap/>
            <w:vAlign w:val="center"/>
          </w:tcPr>
          <w:p w14:paraId="24212B51">
            <w:pPr>
              <w:spacing w:line="560" w:lineRule="exact"/>
              <w:jc w:val="center"/>
              <w:rPr>
                <w:rFonts w:ascii="黑体" w:eastAsia="黑体"/>
                <w:b/>
                <w:sz w:val="24"/>
              </w:rPr>
            </w:pPr>
            <w:r>
              <w:rPr>
                <w:rFonts w:hint="eastAsia" w:ascii="黑体" w:eastAsia="黑体"/>
                <w:b/>
                <w:sz w:val="24"/>
              </w:rPr>
              <w:t>三类</w:t>
            </w:r>
          </w:p>
        </w:tc>
        <w:tc>
          <w:tcPr>
            <w:tcW w:w="3830" w:type="dxa"/>
            <w:noWrap/>
          </w:tcPr>
          <w:p w14:paraId="7F3D716D">
            <w:pPr>
              <w:spacing w:line="560" w:lineRule="exact"/>
              <w:rPr>
                <w:rFonts w:ascii="黑体" w:eastAsia="黑体"/>
                <w:sz w:val="15"/>
                <w:szCs w:val="15"/>
              </w:rPr>
            </w:pPr>
            <w:r>
              <w:rPr>
                <w:rFonts w:hint="eastAsia" w:ascii="黑体" w:eastAsia="黑体"/>
                <w:sz w:val="15"/>
                <w:szCs w:val="15"/>
              </w:rPr>
              <w:t>榆树市、德惠市、农安县、蛟河市、桦甸市、舒兰市、磐石市、延边州（汪清县、安图县）双辽市、犁树市、伊通县、东辽县、东丰县、集安市、通化县、辉南县、柳河县、临江市、抚松县、靖宇县、长白县、扶余市、长岭县、乾安县、洮南市、大安市、镇赉县、通榆县</w:t>
            </w:r>
          </w:p>
        </w:tc>
        <w:tc>
          <w:tcPr>
            <w:tcW w:w="542" w:type="dxa"/>
            <w:noWrap/>
            <w:vAlign w:val="center"/>
          </w:tcPr>
          <w:p w14:paraId="0E893749">
            <w:pPr>
              <w:spacing w:line="560" w:lineRule="exact"/>
              <w:jc w:val="center"/>
              <w:rPr>
                <w:rFonts w:ascii="黑体" w:eastAsia="黑体"/>
                <w:sz w:val="15"/>
                <w:szCs w:val="15"/>
              </w:rPr>
            </w:pPr>
            <w:r>
              <w:rPr>
                <w:rFonts w:hint="eastAsia" w:ascii="黑体" w:eastAsia="黑体"/>
                <w:sz w:val="15"/>
                <w:szCs w:val="15"/>
              </w:rPr>
              <w:t>700</w:t>
            </w:r>
          </w:p>
        </w:tc>
        <w:tc>
          <w:tcPr>
            <w:tcW w:w="598" w:type="dxa"/>
            <w:noWrap/>
            <w:vAlign w:val="center"/>
          </w:tcPr>
          <w:p w14:paraId="1F717865">
            <w:pPr>
              <w:spacing w:line="560" w:lineRule="exact"/>
              <w:jc w:val="center"/>
              <w:rPr>
                <w:rFonts w:ascii="黑体" w:eastAsia="黑体"/>
                <w:sz w:val="15"/>
                <w:szCs w:val="15"/>
              </w:rPr>
            </w:pPr>
            <w:r>
              <w:rPr>
                <w:rFonts w:hint="eastAsia" w:ascii="黑体" w:eastAsia="黑体"/>
                <w:sz w:val="15"/>
                <w:szCs w:val="15"/>
              </w:rPr>
              <w:t>380</w:t>
            </w:r>
          </w:p>
        </w:tc>
        <w:tc>
          <w:tcPr>
            <w:tcW w:w="610" w:type="dxa"/>
            <w:noWrap/>
            <w:vAlign w:val="center"/>
          </w:tcPr>
          <w:p w14:paraId="39F85C7A">
            <w:pPr>
              <w:spacing w:line="560" w:lineRule="exact"/>
              <w:jc w:val="center"/>
              <w:rPr>
                <w:rFonts w:ascii="黑体" w:eastAsia="黑体"/>
                <w:sz w:val="15"/>
                <w:szCs w:val="15"/>
              </w:rPr>
            </w:pPr>
            <w:r>
              <w:rPr>
                <w:rFonts w:hint="eastAsia" w:ascii="黑体" w:eastAsia="黑体"/>
                <w:sz w:val="15"/>
                <w:szCs w:val="15"/>
              </w:rPr>
              <w:t>280</w:t>
            </w:r>
          </w:p>
        </w:tc>
        <w:tc>
          <w:tcPr>
            <w:tcW w:w="634" w:type="dxa"/>
            <w:noWrap/>
          </w:tcPr>
          <w:p w14:paraId="121862D4">
            <w:pPr>
              <w:spacing w:line="560" w:lineRule="exact"/>
              <w:rPr>
                <w:rFonts w:ascii="黑体" w:eastAsia="黑体"/>
                <w:sz w:val="15"/>
                <w:szCs w:val="15"/>
              </w:rPr>
            </w:pPr>
          </w:p>
        </w:tc>
        <w:tc>
          <w:tcPr>
            <w:tcW w:w="614" w:type="dxa"/>
            <w:noWrap/>
          </w:tcPr>
          <w:p w14:paraId="4FCA4D36">
            <w:pPr>
              <w:spacing w:line="560" w:lineRule="exact"/>
              <w:rPr>
                <w:rFonts w:ascii="黑体" w:eastAsia="黑体"/>
                <w:sz w:val="15"/>
                <w:szCs w:val="15"/>
              </w:rPr>
            </w:pPr>
          </w:p>
        </w:tc>
        <w:tc>
          <w:tcPr>
            <w:tcW w:w="542" w:type="dxa"/>
            <w:noWrap/>
          </w:tcPr>
          <w:p w14:paraId="0AAE9FCC">
            <w:pPr>
              <w:spacing w:line="560" w:lineRule="exact"/>
              <w:rPr>
                <w:rFonts w:ascii="黑体" w:eastAsia="黑体"/>
                <w:sz w:val="15"/>
                <w:szCs w:val="15"/>
              </w:rPr>
            </w:pPr>
          </w:p>
        </w:tc>
        <w:tc>
          <w:tcPr>
            <w:tcW w:w="542" w:type="dxa"/>
            <w:noWrap/>
          </w:tcPr>
          <w:p w14:paraId="6F44A2B7">
            <w:pPr>
              <w:spacing w:line="560" w:lineRule="exact"/>
              <w:rPr>
                <w:rFonts w:ascii="黑体" w:eastAsia="黑体"/>
                <w:sz w:val="15"/>
                <w:szCs w:val="15"/>
              </w:rPr>
            </w:pPr>
          </w:p>
        </w:tc>
        <w:tc>
          <w:tcPr>
            <w:tcW w:w="542" w:type="dxa"/>
            <w:noWrap/>
          </w:tcPr>
          <w:p w14:paraId="3F4E77F0">
            <w:pPr>
              <w:spacing w:line="560" w:lineRule="exact"/>
              <w:rPr>
                <w:rFonts w:ascii="黑体" w:eastAsia="黑体"/>
                <w:sz w:val="15"/>
                <w:szCs w:val="15"/>
              </w:rPr>
            </w:pPr>
          </w:p>
        </w:tc>
      </w:tr>
    </w:tbl>
    <w:p w14:paraId="2A946D1D">
      <w:pPr>
        <w:spacing w:line="560" w:lineRule="exact"/>
        <w:jc w:val="center"/>
        <w:rPr>
          <w:rFonts w:ascii="黑体" w:hAnsi="仿宋" w:eastAsia="黑体" w:cs="宋体"/>
          <w:b/>
          <w:bCs/>
          <w:sz w:val="44"/>
          <w:szCs w:val="44"/>
        </w:rPr>
      </w:pPr>
      <w:r>
        <w:rPr>
          <w:rFonts w:hint="eastAsia" w:ascii="黑体" w:hAnsi="仿宋" w:eastAsia="黑体" w:cs="宋体"/>
          <w:b/>
          <w:bCs/>
          <w:sz w:val="44"/>
          <w:szCs w:val="44"/>
        </w:rPr>
        <w:t>财务票据管理办法</w:t>
      </w:r>
    </w:p>
    <w:p w14:paraId="6364B9DE">
      <w:pPr>
        <w:tabs>
          <w:tab w:val="left" w:pos="720"/>
        </w:tabs>
        <w:spacing w:line="560" w:lineRule="exact"/>
        <w:ind w:firstLine="640" w:firstLineChars="200"/>
        <w:rPr>
          <w:rFonts w:ascii="仿宋_GB2312" w:hAnsi="仿宋" w:eastAsia="仿宋_GB2312" w:cs="宋体"/>
          <w:sz w:val="32"/>
          <w:szCs w:val="32"/>
        </w:rPr>
      </w:pPr>
    </w:p>
    <w:p w14:paraId="195D79DF">
      <w:pPr>
        <w:tabs>
          <w:tab w:val="left" w:pos="720"/>
        </w:tabs>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单位为加强票据管理，规范票据业务，明确管理责任，特制定本办理办法。</w:t>
      </w:r>
    </w:p>
    <w:p w14:paraId="13D5F36A">
      <w:pPr>
        <w:tabs>
          <w:tab w:val="left" w:pos="720"/>
        </w:tabs>
        <w:spacing w:line="560" w:lineRule="exact"/>
        <w:ind w:firstLine="643" w:firstLineChars="200"/>
        <w:rPr>
          <w:rFonts w:ascii="仿宋_GB2312" w:hAnsi="仿宋" w:eastAsia="仿宋_GB2312" w:cs="宋体"/>
          <w:sz w:val="32"/>
          <w:szCs w:val="32"/>
        </w:rPr>
      </w:pPr>
      <w:r>
        <w:rPr>
          <w:rFonts w:hint="eastAsia" w:ascii="仿宋_GB2312" w:hAnsi="仿宋" w:eastAsia="仿宋_GB2312" w:cs="宋体"/>
          <w:b/>
          <w:bCs/>
          <w:sz w:val="32"/>
          <w:szCs w:val="32"/>
        </w:rPr>
        <w:t>第一条</w:t>
      </w:r>
      <w:r>
        <w:rPr>
          <w:rFonts w:hint="eastAsia" w:ascii="仿宋_GB2312" w:hAnsi="仿宋" w:eastAsia="仿宋_GB2312" w:cs="宋体"/>
          <w:sz w:val="32"/>
          <w:szCs w:val="32"/>
        </w:rPr>
        <w:t xml:space="preserve"> 财务票据包括银行票据和非银行票据。银行票据包括支票、贷记凭证等；非银行票据包括收据、各种税票、社</w:t>
      </w:r>
    </w:p>
    <w:p w14:paraId="7358191A">
      <w:pPr>
        <w:tabs>
          <w:tab w:val="left" w:pos="720"/>
        </w:tabs>
        <w:spacing w:line="560" w:lineRule="exact"/>
        <w:rPr>
          <w:rFonts w:ascii="仿宋_GB2312" w:hAnsi="仿宋" w:eastAsia="仿宋_GB2312" w:cs="宋体"/>
          <w:sz w:val="32"/>
          <w:szCs w:val="32"/>
        </w:rPr>
      </w:pPr>
      <w:r>
        <w:rPr>
          <w:rFonts w:hint="eastAsia" w:ascii="仿宋_GB2312" w:hAnsi="仿宋" w:eastAsia="仿宋_GB2312" w:cs="宋体"/>
          <w:sz w:val="32"/>
          <w:szCs w:val="32"/>
        </w:rPr>
        <w:t>保票据等。</w:t>
      </w:r>
    </w:p>
    <w:p w14:paraId="17789A59">
      <w:pPr>
        <w:tabs>
          <w:tab w:val="left" w:pos="720"/>
          <w:tab w:val="left" w:pos="900"/>
        </w:tabs>
        <w:spacing w:line="560" w:lineRule="exact"/>
        <w:ind w:firstLine="645"/>
        <w:jc w:val="left"/>
        <w:rPr>
          <w:rFonts w:ascii="仿宋_GB2312" w:hAnsi="仿宋" w:eastAsia="仿宋_GB2312" w:cs="宋体"/>
          <w:sz w:val="32"/>
          <w:szCs w:val="32"/>
        </w:rPr>
      </w:pPr>
      <w:r>
        <w:rPr>
          <w:rFonts w:hint="eastAsia" w:ascii="仿宋_GB2312" w:hAnsi="仿宋" w:eastAsia="仿宋_GB2312" w:cs="宋体"/>
          <w:b/>
          <w:bCs/>
          <w:sz w:val="32"/>
          <w:szCs w:val="32"/>
        </w:rPr>
        <w:t>第二条</w:t>
      </w:r>
      <w:r>
        <w:rPr>
          <w:rFonts w:hint="eastAsia" w:ascii="仿宋_GB2312" w:hAnsi="仿宋" w:eastAsia="仿宋_GB2312" w:cs="宋体"/>
          <w:sz w:val="32"/>
          <w:szCs w:val="32"/>
        </w:rPr>
        <w:t xml:space="preserve"> 票据实行专人、专账、专柜管理，建立票据管理台帐，向有关部门报送票据的使用情况。负责保管票据的人员对发票等各类票据的申领、启用、核销应当履行手续，并做好票据的保管和序时登记工作。保管人员要配置单独的保险柜等保管设备，并做到人走柜锁。</w:t>
      </w:r>
    </w:p>
    <w:p w14:paraId="45D30EDE">
      <w:pPr>
        <w:tabs>
          <w:tab w:val="left" w:pos="720"/>
          <w:tab w:val="left" w:pos="900"/>
        </w:tabs>
        <w:spacing w:line="560" w:lineRule="exact"/>
        <w:ind w:firstLine="645"/>
        <w:jc w:val="left"/>
        <w:rPr>
          <w:rFonts w:ascii="仿宋_GB2312" w:hAnsi="仿宋" w:eastAsia="仿宋_GB2312" w:cs="宋体"/>
          <w:sz w:val="32"/>
          <w:szCs w:val="32"/>
        </w:rPr>
      </w:pPr>
      <w:r>
        <w:rPr>
          <w:rFonts w:hint="eastAsia" w:ascii="仿宋_GB2312" w:hAnsi="仿宋" w:eastAsia="仿宋_GB2312" w:cs="宋体"/>
          <w:b/>
          <w:bCs/>
          <w:sz w:val="32"/>
          <w:szCs w:val="32"/>
        </w:rPr>
        <w:t>第三条</w:t>
      </w:r>
      <w:r>
        <w:rPr>
          <w:rFonts w:hint="eastAsia" w:ascii="仿宋_GB2312" w:hAnsi="仿宋" w:eastAsia="仿宋_GB2312" w:cs="宋体"/>
          <w:sz w:val="32"/>
          <w:szCs w:val="32"/>
        </w:rPr>
        <w:t xml:space="preserve"> 出纳人员担任银行票据的保管业务，经单位领导指定的人员负责非银行票据的保管。非银行票据的保管使用两分开原则，不得由一人兼任，非银行票据领用后由领用人保管，领用的收据由出纳保管。</w:t>
      </w:r>
    </w:p>
    <w:p w14:paraId="4EADCEF6">
      <w:pPr>
        <w:tabs>
          <w:tab w:val="left" w:pos="720"/>
          <w:tab w:val="left" w:pos="900"/>
        </w:tabs>
        <w:spacing w:line="560" w:lineRule="exact"/>
        <w:ind w:firstLine="643" w:firstLineChars="200"/>
        <w:rPr>
          <w:rFonts w:ascii="仿宋_GB2312" w:hAnsi="仿宋" w:eastAsia="仿宋_GB2312" w:cs="宋体"/>
          <w:sz w:val="32"/>
          <w:szCs w:val="32"/>
        </w:rPr>
      </w:pPr>
      <w:r>
        <w:rPr>
          <w:rFonts w:hint="eastAsia" w:ascii="仿宋_GB2312" w:hAnsi="仿宋" w:eastAsia="仿宋_GB2312" w:cs="宋体"/>
          <w:b/>
          <w:bCs/>
          <w:sz w:val="32"/>
          <w:szCs w:val="32"/>
        </w:rPr>
        <w:t>第四条</w:t>
      </w:r>
      <w:r>
        <w:rPr>
          <w:rFonts w:hint="eastAsia" w:ascii="仿宋_GB2312" w:hAnsi="仿宋" w:eastAsia="仿宋_GB2312" w:cs="宋体"/>
          <w:sz w:val="32"/>
          <w:szCs w:val="32"/>
        </w:rPr>
        <w:t xml:space="preserve"> 不得转让、出借、代开、买卖、擅自销毁、涂改票据，不得擅自扩大票据适用范围，不得开具虚假票据，不得将财政票据与税务发票或者其他票据互相串用、替代。</w:t>
      </w:r>
    </w:p>
    <w:p w14:paraId="36417D5B">
      <w:pPr>
        <w:tabs>
          <w:tab w:val="left" w:pos="720"/>
          <w:tab w:val="left" w:pos="900"/>
        </w:tabs>
        <w:spacing w:line="560" w:lineRule="exact"/>
        <w:ind w:firstLine="643" w:firstLineChars="200"/>
        <w:rPr>
          <w:rFonts w:ascii="仿宋_GB2312" w:hAnsi="仿宋" w:eastAsia="仿宋_GB2312" w:cs="宋体"/>
          <w:sz w:val="32"/>
          <w:szCs w:val="32"/>
        </w:rPr>
      </w:pPr>
      <w:r>
        <w:rPr>
          <w:rFonts w:hint="eastAsia" w:ascii="仿宋_GB2312" w:hAnsi="仿宋" w:eastAsia="仿宋_GB2312" w:cs="宋体"/>
          <w:b/>
          <w:bCs/>
          <w:sz w:val="32"/>
          <w:szCs w:val="32"/>
        </w:rPr>
        <w:t>第五条</w:t>
      </w:r>
      <w:r>
        <w:rPr>
          <w:rFonts w:hint="eastAsia" w:ascii="仿宋_GB2312" w:hAnsi="仿宋" w:eastAsia="仿宋_GB2312" w:cs="宋体"/>
          <w:sz w:val="32"/>
          <w:szCs w:val="32"/>
        </w:rPr>
        <w:t xml:space="preserve"> 办理有关票据业务必须由分管财务领导审核，出纳员根据审核无误的原始凭证收取、支付银行票据，收取款项时应开具收据。</w:t>
      </w:r>
    </w:p>
    <w:p w14:paraId="0BEB8827">
      <w:pPr>
        <w:autoSpaceDE w:val="0"/>
        <w:autoSpaceDN w:val="0"/>
        <w:adjustRightInd w:val="0"/>
        <w:spacing w:line="560" w:lineRule="exact"/>
        <w:ind w:firstLine="643" w:firstLineChars="200"/>
        <w:jc w:val="left"/>
        <w:rPr>
          <w:rFonts w:ascii="仿宋_GB2312" w:hAnsi="仿宋" w:eastAsia="仿宋_GB2312" w:cs="宋体"/>
          <w:sz w:val="32"/>
          <w:szCs w:val="32"/>
        </w:rPr>
      </w:pPr>
      <w:r>
        <w:rPr>
          <w:rFonts w:hint="eastAsia" w:ascii="仿宋_GB2312" w:hAnsi="仿宋" w:eastAsia="仿宋_GB2312" w:cs="宋体"/>
          <w:b/>
          <w:bCs/>
          <w:sz w:val="32"/>
          <w:szCs w:val="32"/>
        </w:rPr>
        <w:t>第六条</w:t>
      </w:r>
      <w:r>
        <w:rPr>
          <w:rFonts w:hint="eastAsia" w:ascii="仿宋_GB2312" w:hAnsi="仿宋" w:eastAsia="仿宋_GB2312" w:cs="宋体"/>
          <w:sz w:val="32"/>
          <w:szCs w:val="32"/>
        </w:rPr>
        <w:t xml:space="preserve"> 银行票据、收据必须顺号签发，因填写错误等原因而作废的票据，应当加盖作废戳记或者注明“作废”字样，并完整保存各联次，已开出的作废票据，由票据开具人员负责收回，不得擅自销毁。</w:t>
      </w:r>
    </w:p>
    <w:p w14:paraId="07A51B5C">
      <w:pPr>
        <w:tabs>
          <w:tab w:val="left" w:pos="720"/>
          <w:tab w:val="left" w:pos="900"/>
        </w:tabs>
        <w:spacing w:line="560" w:lineRule="exact"/>
        <w:ind w:firstLine="643" w:firstLineChars="200"/>
        <w:rPr>
          <w:rFonts w:ascii="仿宋_GB2312" w:hAnsi="仿宋" w:eastAsia="仿宋_GB2312" w:cs="宋体"/>
          <w:sz w:val="32"/>
          <w:szCs w:val="32"/>
        </w:rPr>
      </w:pPr>
      <w:r>
        <w:rPr>
          <w:rFonts w:hint="eastAsia" w:ascii="仿宋_GB2312" w:hAnsi="仿宋" w:eastAsia="仿宋_GB2312" w:cs="宋体"/>
          <w:b/>
          <w:bCs/>
          <w:sz w:val="32"/>
          <w:szCs w:val="32"/>
        </w:rPr>
        <w:t>第七条</w:t>
      </w:r>
      <w:r>
        <w:rPr>
          <w:rFonts w:hint="eastAsia" w:ascii="仿宋_GB2312" w:hAnsi="仿宋" w:eastAsia="仿宋_GB2312" w:cs="宋体"/>
          <w:sz w:val="32"/>
          <w:szCs w:val="32"/>
        </w:rPr>
        <w:t xml:space="preserve"> 票据开具时候应该注意单位名称（全称）、金额大小写规范、项目名称准确，规范单据填写正楷，字迹清晰；单据在填写过程中出现错误，不得撕毁单据，必须保持单据完整，并加盖作废章。</w:t>
      </w:r>
    </w:p>
    <w:p w14:paraId="24E296B0">
      <w:pPr>
        <w:tabs>
          <w:tab w:val="left" w:pos="720"/>
          <w:tab w:val="left" w:pos="900"/>
        </w:tabs>
        <w:spacing w:line="560" w:lineRule="exact"/>
        <w:ind w:firstLine="643" w:firstLineChars="200"/>
        <w:rPr>
          <w:rFonts w:ascii="仿宋_GB2312" w:hAnsi="仿宋" w:eastAsia="仿宋_GB2312" w:cs="宋体"/>
          <w:sz w:val="32"/>
          <w:szCs w:val="32"/>
        </w:rPr>
      </w:pPr>
      <w:r>
        <w:rPr>
          <w:rFonts w:hint="eastAsia" w:ascii="仿宋_GB2312" w:hAnsi="仿宋" w:eastAsia="仿宋_GB2312" w:cs="宋体"/>
          <w:b/>
          <w:bCs/>
          <w:sz w:val="32"/>
          <w:szCs w:val="32"/>
        </w:rPr>
        <w:t>第八条</w:t>
      </w:r>
      <w:r>
        <w:rPr>
          <w:rFonts w:hint="eastAsia" w:ascii="仿宋_GB2312" w:hAnsi="仿宋" w:eastAsia="仿宋_GB2312" w:cs="宋体"/>
          <w:sz w:val="32"/>
          <w:szCs w:val="32"/>
        </w:rPr>
        <w:t xml:space="preserve"> 出纳收到银行票据时，应认真审核，及时入账，对不合规票据及时向分管财务领导反映，由分管财务领导确定解决方案。</w:t>
      </w:r>
    </w:p>
    <w:p w14:paraId="306473A9">
      <w:pPr>
        <w:tabs>
          <w:tab w:val="left" w:pos="720"/>
          <w:tab w:val="left" w:pos="900"/>
        </w:tabs>
        <w:spacing w:line="560" w:lineRule="exact"/>
        <w:ind w:firstLine="643" w:firstLineChars="200"/>
        <w:rPr>
          <w:rFonts w:ascii="仿宋_GB2312" w:hAnsi="仿宋" w:eastAsia="仿宋_GB2312" w:cs="宋体"/>
          <w:sz w:val="32"/>
          <w:szCs w:val="32"/>
        </w:rPr>
      </w:pPr>
      <w:r>
        <w:rPr>
          <w:rFonts w:hint="eastAsia" w:ascii="仿宋_GB2312" w:hAnsi="仿宋" w:eastAsia="仿宋_GB2312" w:cs="宋体"/>
          <w:b/>
          <w:bCs/>
          <w:sz w:val="32"/>
          <w:szCs w:val="32"/>
        </w:rPr>
        <w:t>第九条</w:t>
      </w:r>
      <w:r>
        <w:rPr>
          <w:rFonts w:hint="eastAsia" w:ascii="仿宋_GB2312" w:hAnsi="仿宋" w:eastAsia="仿宋_GB2312" w:cs="宋体"/>
          <w:sz w:val="32"/>
          <w:szCs w:val="32"/>
        </w:rPr>
        <w:t xml:space="preserve"> 已缴纳的税票、社保凭证等非银行票据应由专人及时取回，妥善保管，做到以后有查可依。</w:t>
      </w:r>
    </w:p>
    <w:p w14:paraId="58FD5910">
      <w:pPr>
        <w:tabs>
          <w:tab w:val="left" w:pos="720"/>
          <w:tab w:val="left" w:pos="900"/>
        </w:tabs>
        <w:spacing w:line="560" w:lineRule="exact"/>
        <w:ind w:firstLine="643" w:firstLineChars="200"/>
        <w:rPr>
          <w:rFonts w:ascii="仿宋_GB2312" w:hAnsi="仿宋" w:eastAsia="仿宋_GB2312" w:cs="宋体"/>
          <w:sz w:val="32"/>
          <w:szCs w:val="32"/>
        </w:rPr>
      </w:pPr>
      <w:r>
        <w:rPr>
          <w:rFonts w:hint="eastAsia" w:ascii="仿宋_GB2312" w:hAnsi="仿宋" w:eastAsia="仿宋_GB2312" w:cs="宋体"/>
          <w:b/>
          <w:bCs/>
          <w:sz w:val="32"/>
          <w:szCs w:val="32"/>
        </w:rPr>
        <w:t>第十条</w:t>
      </w:r>
      <w:r>
        <w:rPr>
          <w:rFonts w:hint="eastAsia" w:ascii="仿宋_GB2312" w:hAnsi="仿宋" w:eastAsia="仿宋_GB2312" w:cs="宋体"/>
          <w:sz w:val="32"/>
          <w:szCs w:val="32"/>
        </w:rPr>
        <w:t xml:space="preserve"> 票据管理人员应建立备查登记簿。发生有关票据行为时，应及时登记备查簿。 </w:t>
      </w:r>
    </w:p>
    <w:p w14:paraId="7E728E80">
      <w:pPr>
        <w:tabs>
          <w:tab w:val="left" w:pos="720"/>
          <w:tab w:val="left" w:pos="900"/>
        </w:tabs>
        <w:spacing w:line="560" w:lineRule="exact"/>
        <w:ind w:firstLine="643" w:firstLineChars="200"/>
        <w:rPr>
          <w:rFonts w:ascii="仿宋_GB2312" w:hAnsi="仿宋" w:eastAsia="仿宋_GB2312" w:cs="宋体"/>
          <w:sz w:val="32"/>
          <w:szCs w:val="32"/>
        </w:rPr>
      </w:pPr>
      <w:r>
        <w:rPr>
          <w:rFonts w:hint="eastAsia" w:ascii="仿宋_GB2312" w:hAnsi="仿宋" w:eastAsia="仿宋_GB2312" w:cs="宋体"/>
          <w:b/>
          <w:bCs/>
          <w:sz w:val="32"/>
          <w:szCs w:val="32"/>
        </w:rPr>
        <w:t>第十一条</w:t>
      </w:r>
      <w:r>
        <w:rPr>
          <w:rFonts w:hint="eastAsia" w:ascii="仿宋_GB2312" w:hAnsi="仿宋" w:eastAsia="仿宋_GB2312" w:cs="宋体"/>
          <w:sz w:val="32"/>
          <w:szCs w:val="32"/>
        </w:rPr>
        <w:t xml:space="preserve"> 财务人员在发现票据遗失、票据出错和票据不实等情况时，应尽快采取相应的措施，对重大事故财务人员应及时向单位领导汇报。</w:t>
      </w:r>
    </w:p>
    <w:p w14:paraId="382A999A">
      <w:pPr>
        <w:tabs>
          <w:tab w:val="left" w:pos="720"/>
          <w:tab w:val="left" w:pos="900"/>
        </w:tabs>
        <w:spacing w:line="560" w:lineRule="exact"/>
        <w:ind w:firstLine="643" w:firstLineChars="200"/>
        <w:rPr>
          <w:rFonts w:ascii="仿宋_GB2312" w:hAnsi="仿宋" w:eastAsia="仿宋_GB2312" w:cs="宋体"/>
          <w:sz w:val="32"/>
          <w:szCs w:val="32"/>
        </w:rPr>
      </w:pPr>
      <w:r>
        <w:rPr>
          <w:rFonts w:hint="eastAsia" w:ascii="仿宋_GB2312" w:hAnsi="仿宋" w:eastAsia="仿宋_GB2312" w:cs="宋体"/>
          <w:b/>
          <w:bCs/>
          <w:sz w:val="32"/>
          <w:szCs w:val="32"/>
        </w:rPr>
        <w:t>第十二条</w:t>
      </w:r>
      <w:r>
        <w:rPr>
          <w:rFonts w:hint="eastAsia" w:ascii="仿宋_GB2312" w:hAnsi="仿宋" w:eastAsia="仿宋_GB2312" w:cs="宋体"/>
          <w:sz w:val="32"/>
          <w:szCs w:val="32"/>
        </w:rPr>
        <w:t xml:space="preserve"> 票据保管人员调动工作或离职时，应编制票据移交明细表，在财务领导的监督下逐笔确认移交，确认无误后，由监督人和后任财务人员 在交接明细表上签名确认。</w:t>
      </w:r>
    </w:p>
    <w:p w14:paraId="0832A3DE">
      <w:pPr>
        <w:autoSpaceDE w:val="0"/>
        <w:autoSpaceDN w:val="0"/>
        <w:adjustRightInd w:val="0"/>
        <w:spacing w:line="560" w:lineRule="exact"/>
        <w:ind w:firstLine="643" w:firstLineChars="200"/>
        <w:jc w:val="left"/>
        <w:rPr>
          <w:rFonts w:ascii="仿宋_GB2312" w:hAnsi="仿宋" w:eastAsia="仿宋_GB2312" w:cs="宋体"/>
          <w:sz w:val="32"/>
          <w:szCs w:val="32"/>
        </w:rPr>
      </w:pPr>
      <w:r>
        <w:rPr>
          <w:rFonts w:hint="eastAsia" w:ascii="仿宋_GB2312" w:hAnsi="仿宋" w:eastAsia="仿宋_GB2312" w:cs="宋体"/>
          <w:b/>
          <w:bCs/>
          <w:sz w:val="32"/>
          <w:szCs w:val="32"/>
        </w:rPr>
        <w:t>第十三条</w:t>
      </w:r>
      <w:r>
        <w:rPr>
          <w:rFonts w:hint="eastAsia" w:ascii="仿宋_GB2312" w:hAnsi="仿宋" w:eastAsia="仿宋_GB2312" w:cs="宋体"/>
          <w:sz w:val="32"/>
          <w:szCs w:val="32"/>
        </w:rPr>
        <w:t xml:space="preserve"> 票据使用完毕，票据保管人员要按顺序清理票据存根、装订成册、妥善保管，票据存根保存期满需要销毁的，由票据保管人员报财务负责人审批后，核销业务由专人分工负责，到有关部门办理相应票据销毁手续。</w:t>
      </w:r>
    </w:p>
    <w:p w14:paraId="7E4D2A5B">
      <w:pPr>
        <w:tabs>
          <w:tab w:val="left" w:pos="720"/>
          <w:tab w:val="left" w:pos="900"/>
        </w:tabs>
        <w:spacing w:line="560" w:lineRule="exact"/>
        <w:ind w:firstLine="643" w:firstLineChars="200"/>
        <w:rPr>
          <w:rFonts w:ascii="仿宋_GB2312" w:hAnsi="仿宋" w:eastAsia="仿宋_GB2312" w:cs="宋体"/>
          <w:sz w:val="32"/>
          <w:szCs w:val="32"/>
        </w:rPr>
      </w:pPr>
      <w:r>
        <w:rPr>
          <w:rFonts w:hint="eastAsia" w:ascii="仿宋_GB2312" w:hAnsi="仿宋" w:eastAsia="仿宋_GB2312" w:cs="宋体"/>
          <w:b/>
          <w:bCs/>
          <w:sz w:val="32"/>
          <w:szCs w:val="32"/>
        </w:rPr>
        <w:t>第十四条</w:t>
      </w:r>
      <w:r>
        <w:rPr>
          <w:rFonts w:hint="eastAsia" w:ascii="仿宋_GB2312" w:hAnsi="仿宋" w:eastAsia="仿宋_GB2312" w:cs="宋体"/>
          <w:sz w:val="32"/>
          <w:szCs w:val="32"/>
        </w:rPr>
        <w:t xml:space="preserve"> 本规定适用于所有财务人员，如有违反究其相关责任。</w:t>
      </w:r>
    </w:p>
    <w:p w14:paraId="3973F40E">
      <w:pPr>
        <w:spacing w:line="560" w:lineRule="exact"/>
        <w:jc w:val="center"/>
        <w:rPr>
          <w:rFonts w:ascii="黑体" w:hAnsi="黑体" w:eastAsia="黑体" w:cs="宋体"/>
          <w:b/>
          <w:sz w:val="44"/>
          <w:szCs w:val="44"/>
        </w:rPr>
      </w:pPr>
      <w:r>
        <w:rPr>
          <w:rFonts w:hint="eastAsia" w:ascii="黑体" w:hAnsi="黑体" w:eastAsia="黑体" w:cs="宋体"/>
          <w:b/>
          <w:sz w:val="44"/>
          <w:szCs w:val="44"/>
        </w:rPr>
        <w:t>财务印鉴管理办法</w:t>
      </w:r>
    </w:p>
    <w:p w14:paraId="2CB8F6E4">
      <w:pPr>
        <w:spacing w:line="560" w:lineRule="exact"/>
        <w:ind w:firstLine="640" w:firstLineChars="200"/>
        <w:rPr>
          <w:rFonts w:ascii="仿宋_GB2312" w:hAnsi="仿宋" w:eastAsia="仿宋_GB2312" w:cs="宋体"/>
          <w:sz w:val="32"/>
          <w:szCs w:val="32"/>
        </w:rPr>
      </w:pPr>
    </w:p>
    <w:p w14:paraId="4E651FD1">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为加强财务印鉴保管、使用、销毁等工作的管理，明确相关责任，结合本单位工作情况，制度本管理办法。</w:t>
      </w:r>
    </w:p>
    <w:p w14:paraId="7490AB1B">
      <w:pPr>
        <w:spacing w:line="560" w:lineRule="exact"/>
        <w:ind w:firstLine="643" w:firstLineChars="200"/>
        <w:rPr>
          <w:rFonts w:ascii="仿宋_GB2312" w:hAnsi="仿宋" w:eastAsia="仿宋_GB2312" w:cs="宋体"/>
          <w:sz w:val="32"/>
          <w:szCs w:val="32"/>
        </w:rPr>
      </w:pPr>
      <w:r>
        <w:rPr>
          <w:rFonts w:hint="eastAsia" w:ascii="仿宋_GB2312" w:hAnsi="仿宋" w:eastAsia="仿宋_GB2312" w:cs="宋体"/>
          <w:b/>
          <w:bCs/>
          <w:sz w:val="32"/>
          <w:szCs w:val="32"/>
        </w:rPr>
        <w:t>第一条</w:t>
      </w:r>
      <w:r>
        <w:rPr>
          <w:rFonts w:hint="eastAsia" w:ascii="仿宋_GB2312" w:hAnsi="仿宋" w:eastAsia="仿宋_GB2312" w:cs="宋体"/>
          <w:sz w:val="32"/>
          <w:szCs w:val="32"/>
        </w:rPr>
        <w:t xml:space="preserve"> 财务印鉴及单位法人印鉴（银行留存同版）由单位领导指定人员分别保管，配置保险柜等保管设备。</w:t>
      </w:r>
    </w:p>
    <w:p w14:paraId="1AD79D6B">
      <w:pPr>
        <w:spacing w:line="560" w:lineRule="exact"/>
        <w:ind w:firstLine="643" w:firstLineChars="200"/>
        <w:rPr>
          <w:rFonts w:ascii="仿宋_GB2312" w:hAnsi="仿宋" w:eastAsia="仿宋_GB2312" w:cs="宋体"/>
          <w:sz w:val="32"/>
          <w:szCs w:val="32"/>
        </w:rPr>
      </w:pPr>
      <w:r>
        <w:rPr>
          <w:rFonts w:hint="eastAsia" w:ascii="仿宋_GB2312" w:hAnsi="仿宋" w:eastAsia="仿宋_GB2312" w:cs="宋体"/>
          <w:b/>
          <w:bCs/>
          <w:sz w:val="32"/>
          <w:szCs w:val="32"/>
        </w:rPr>
        <w:t>第二条</w:t>
      </w:r>
      <w:r>
        <w:rPr>
          <w:rFonts w:hint="eastAsia" w:ascii="仿宋_GB2312" w:hAnsi="仿宋" w:eastAsia="仿宋_GB2312" w:cs="宋体"/>
          <w:sz w:val="32"/>
          <w:szCs w:val="32"/>
        </w:rPr>
        <w:t xml:space="preserve"> 财务人员使用印鉴时，保障印章清晰无误，出现印鉴使用错误时，做好票据作废登记工作，业务部门及外单位使用财务印鉴时，由单位领导同意后，履行登记、签批手续，严禁将财务印鉴擅自带出财务室，因工作需要使用，由单位领导审批，办理登记手续，由财务人员负责保管使用。</w:t>
      </w:r>
    </w:p>
    <w:p w14:paraId="7E567786">
      <w:pPr>
        <w:spacing w:line="560" w:lineRule="exact"/>
        <w:ind w:firstLine="643" w:firstLineChars="200"/>
        <w:rPr>
          <w:rFonts w:ascii="仿宋_GB2312" w:hAnsi="仿宋" w:eastAsia="仿宋_GB2312" w:cs="宋体"/>
          <w:sz w:val="32"/>
          <w:szCs w:val="32"/>
        </w:rPr>
      </w:pPr>
      <w:r>
        <w:rPr>
          <w:rFonts w:hint="eastAsia" w:ascii="仿宋_GB2312" w:hAnsi="仿宋" w:eastAsia="仿宋_GB2312" w:cs="宋体"/>
          <w:b/>
          <w:bCs/>
          <w:sz w:val="32"/>
          <w:szCs w:val="32"/>
        </w:rPr>
        <w:t>第三条</w:t>
      </w:r>
      <w:r>
        <w:rPr>
          <w:rFonts w:hint="eastAsia" w:ascii="仿宋_GB2312" w:hAnsi="仿宋" w:eastAsia="仿宋_GB2312" w:cs="宋体"/>
          <w:sz w:val="32"/>
          <w:szCs w:val="32"/>
        </w:rPr>
        <w:t xml:space="preserve"> 财务印鉴变更，应严格履行变更审批手续，做好登记存档工作。变更印鉴后，及时启用新印鉴，并做好银行、财政等部门相关变更手续工作，对旧印鉴进行销毁或归还，做好登记备查工作。</w:t>
      </w:r>
    </w:p>
    <w:p w14:paraId="0612C822">
      <w:pPr>
        <w:spacing w:line="560" w:lineRule="exact"/>
        <w:rPr>
          <w:rFonts w:ascii="仿宋_GB2312" w:hAnsi="仿宋" w:eastAsia="仿宋_GB2312" w:cs="宋体"/>
          <w:sz w:val="32"/>
          <w:szCs w:val="32"/>
        </w:rPr>
      </w:pPr>
    </w:p>
    <w:p w14:paraId="57C02A9E">
      <w:pPr>
        <w:tabs>
          <w:tab w:val="left" w:pos="720"/>
          <w:tab w:val="left" w:pos="900"/>
        </w:tabs>
        <w:spacing w:line="560" w:lineRule="exact"/>
        <w:ind w:firstLine="482" w:firstLineChars="150"/>
        <w:jc w:val="center"/>
        <w:rPr>
          <w:rFonts w:ascii="黑体" w:hAnsi="仿宋" w:eastAsia="黑体" w:cs="宋体"/>
          <w:b/>
          <w:sz w:val="32"/>
          <w:szCs w:val="32"/>
        </w:rPr>
      </w:pPr>
    </w:p>
    <w:p w14:paraId="658483B0">
      <w:pPr>
        <w:spacing w:line="560" w:lineRule="exact"/>
        <w:jc w:val="center"/>
        <w:rPr>
          <w:rFonts w:ascii="黑体" w:hAnsi="仿宋" w:eastAsia="黑体" w:cs="宋体"/>
          <w:b/>
          <w:bCs/>
          <w:sz w:val="44"/>
          <w:szCs w:val="44"/>
        </w:rPr>
      </w:pPr>
      <w:r>
        <w:rPr>
          <w:rFonts w:hint="eastAsia" w:ascii="黑体" w:hAnsi="仿宋" w:eastAsia="黑体" w:cs="宋体"/>
          <w:b/>
          <w:bCs/>
          <w:sz w:val="44"/>
          <w:szCs w:val="44"/>
        </w:rPr>
        <w:t>财务报告制度</w:t>
      </w:r>
    </w:p>
    <w:p w14:paraId="668DDD49">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为了更好的反映单位一定时期财务状况和预算执行结果，财务部门应准确、及时编制财务报告，定期向主管部门和财政部门及其他有关的报表使用者报告预算执行情况，经济活动状况。</w:t>
      </w:r>
    </w:p>
    <w:p w14:paraId="0B97BBE1">
      <w:pPr>
        <w:spacing w:line="560" w:lineRule="exact"/>
        <w:ind w:firstLine="643" w:firstLineChars="200"/>
        <w:rPr>
          <w:rFonts w:ascii="仿宋_GB2312" w:hAnsi="仿宋" w:eastAsia="仿宋_GB2312" w:cs="宋体"/>
          <w:sz w:val="32"/>
          <w:szCs w:val="32"/>
        </w:rPr>
      </w:pPr>
      <w:r>
        <w:rPr>
          <w:rFonts w:hint="eastAsia" w:ascii="仿宋_GB2312" w:hAnsi="仿宋" w:eastAsia="仿宋_GB2312" w:cs="宋体"/>
          <w:b/>
          <w:bCs/>
          <w:sz w:val="32"/>
          <w:szCs w:val="32"/>
        </w:rPr>
        <w:t>第一条</w:t>
      </w:r>
      <w:r>
        <w:rPr>
          <w:rFonts w:hint="eastAsia" w:ascii="仿宋_GB2312" w:hAnsi="仿宋" w:eastAsia="仿宋_GB2312" w:cs="宋体"/>
          <w:sz w:val="32"/>
          <w:szCs w:val="32"/>
        </w:rPr>
        <w:t xml:space="preserve"> 财务报告内部审批领导小组</w:t>
      </w:r>
    </w:p>
    <w:p w14:paraId="0D2357ED">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组  长：局长</w:t>
      </w:r>
    </w:p>
    <w:p w14:paraId="561D749B">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副组长：分管财务工作领导、分管业务工作领导</w:t>
      </w:r>
    </w:p>
    <w:p w14:paraId="1E1EB7C3">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成  员：办公室主任、副主任、纪检人员、财务人员 </w:t>
      </w:r>
    </w:p>
    <w:p w14:paraId="001480C1">
      <w:pPr>
        <w:spacing w:line="560" w:lineRule="exact"/>
        <w:ind w:firstLine="643" w:firstLineChars="200"/>
        <w:rPr>
          <w:rFonts w:ascii="仿宋_GB2312" w:hAnsi="仿宋" w:eastAsia="仿宋_GB2312" w:cs="宋体"/>
          <w:sz w:val="32"/>
          <w:szCs w:val="32"/>
        </w:rPr>
      </w:pPr>
      <w:r>
        <w:rPr>
          <w:rFonts w:hint="eastAsia" w:ascii="仿宋_GB2312" w:hAnsi="仿宋" w:eastAsia="仿宋_GB2312" w:cs="宋体"/>
          <w:b/>
          <w:bCs/>
          <w:sz w:val="32"/>
          <w:szCs w:val="32"/>
        </w:rPr>
        <w:t>第二条</w:t>
      </w:r>
      <w:r>
        <w:rPr>
          <w:rFonts w:hint="eastAsia" w:ascii="仿宋_GB2312" w:hAnsi="仿宋" w:eastAsia="仿宋_GB2312" w:cs="宋体"/>
          <w:sz w:val="32"/>
          <w:szCs w:val="32"/>
        </w:rPr>
        <w:t xml:space="preserve"> 财务报告编制、实施要求</w:t>
      </w:r>
    </w:p>
    <w:p w14:paraId="50F23717">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财务报告编制人员要掌握政策法规、清理往来款项、核对账目、财产清查等内容，要做到： 统一格式、数字真实、内容完整、报送及时，单位所有涉及财务报告报送工作，均需领导小组审批，组长签批，编制报告人员要以财务真实数据为基础，合理、正确、及时报送。财务情况说明详实，重大支出项目、重大国有资产变化单独反应。对预算编制与执行、资产使用、收入支出状况进行分析，做好相关分析指标。</w:t>
      </w:r>
    </w:p>
    <w:p w14:paraId="264E6C08">
      <w:pPr>
        <w:tabs>
          <w:tab w:val="left" w:pos="360"/>
          <w:tab w:val="left" w:pos="540"/>
        </w:tabs>
        <w:spacing w:line="560" w:lineRule="exact"/>
        <w:ind w:firstLine="643" w:firstLineChars="200"/>
        <w:rPr>
          <w:rFonts w:ascii="仿宋_GB2312" w:hAnsi="仿宋" w:eastAsia="仿宋_GB2312" w:cs="宋体"/>
          <w:sz w:val="32"/>
          <w:szCs w:val="32"/>
        </w:rPr>
      </w:pPr>
      <w:r>
        <w:rPr>
          <w:rFonts w:hint="eastAsia" w:ascii="仿宋_GB2312" w:hAnsi="仿宋" w:eastAsia="仿宋_GB2312" w:cs="宋体"/>
          <w:b/>
          <w:bCs/>
          <w:sz w:val="32"/>
          <w:szCs w:val="32"/>
        </w:rPr>
        <w:t>第三条</w:t>
      </w:r>
      <w:r>
        <w:rPr>
          <w:rFonts w:hint="eastAsia" w:ascii="仿宋_GB2312" w:hAnsi="仿宋" w:eastAsia="仿宋_GB2312" w:cs="宋体"/>
          <w:sz w:val="32"/>
          <w:szCs w:val="32"/>
        </w:rPr>
        <w:t xml:space="preserve"> 财务报告的体系 </w:t>
      </w:r>
    </w:p>
    <w:p w14:paraId="28B7A225">
      <w:pPr>
        <w:spacing w:line="560" w:lineRule="exact"/>
        <w:ind w:firstLine="480" w:firstLineChars="150"/>
        <w:rPr>
          <w:rFonts w:ascii="仿宋_GB2312" w:hAnsi="仿宋" w:eastAsia="仿宋_GB2312" w:cs="宋体"/>
          <w:sz w:val="32"/>
          <w:szCs w:val="32"/>
        </w:rPr>
      </w:pPr>
      <w:r>
        <w:rPr>
          <w:rFonts w:hint="eastAsia" w:ascii="仿宋_GB2312" w:hAnsi="仿宋" w:eastAsia="仿宋_GB2312" w:cs="宋体"/>
          <w:sz w:val="32"/>
          <w:szCs w:val="32"/>
        </w:rPr>
        <w:t>（1）财务报表 ：资产负债表、收入支出表、财政拨款收入支出表、附注</w:t>
      </w:r>
    </w:p>
    <w:p w14:paraId="3EE3C067">
      <w:pPr>
        <w:tabs>
          <w:tab w:val="left" w:pos="720"/>
        </w:tabs>
        <w:spacing w:line="560" w:lineRule="exact"/>
        <w:ind w:firstLine="480" w:firstLineChars="150"/>
        <w:rPr>
          <w:rFonts w:ascii="仿宋_GB2312" w:hAnsi="仿宋" w:eastAsia="仿宋_GB2312" w:cs="宋体"/>
          <w:sz w:val="32"/>
          <w:szCs w:val="32"/>
        </w:rPr>
      </w:pPr>
      <w:r>
        <w:rPr>
          <w:rFonts w:hint="eastAsia" w:ascii="仿宋_GB2312" w:hAnsi="仿宋" w:eastAsia="仿宋_GB2312" w:cs="宋体"/>
          <w:sz w:val="32"/>
          <w:szCs w:val="32"/>
        </w:rPr>
        <w:t xml:space="preserve">（2）相关的信息和资料     </w:t>
      </w:r>
    </w:p>
    <w:p w14:paraId="798D49DE">
      <w:pPr>
        <w:tabs>
          <w:tab w:val="left" w:pos="720"/>
          <w:tab w:val="left" w:pos="900"/>
        </w:tabs>
        <w:spacing w:line="560" w:lineRule="exact"/>
        <w:ind w:firstLine="482" w:firstLineChars="150"/>
        <w:jc w:val="center"/>
        <w:rPr>
          <w:rFonts w:ascii="黑体" w:hAnsi="仿宋" w:eastAsia="黑体" w:cs="宋体"/>
          <w:b/>
          <w:sz w:val="32"/>
          <w:szCs w:val="32"/>
        </w:rPr>
      </w:pPr>
    </w:p>
    <w:p w14:paraId="42DCC5AE">
      <w:pPr>
        <w:spacing w:line="560" w:lineRule="exact"/>
        <w:rPr>
          <w:rFonts w:ascii="楷体" w:hAnsi="楷体" w:eastAsia="楷体"/>
          <w:b/>
          <w:sz w:val="96"/>
          <w:szCs w:val="96"/>
        </w:rPr>
      </w:pPr>
    </w:p>
    <w:p w14:paraId="4E057FC3">
      <w:pPr>
        <w:spacing w:line="560" w:lineRule="exact"/>
        <w:jc w:val="center"/>
        <w:rPr>
          <w:rFonts w:ascii="黑体" w:hAnsi="仿宋" w:eastAsia="黑体" w:cs="宋体"/>
          <w:b/>
          <w:bCs/>
          <w:sz w:val="44"/>
          <w:szCs w:val="44"/>
        </w:rPr>
      </w:pPr>
      <w:r>
        <w:rPr>
          <w:rFonts w:hint="eastAsia" w:ascii="黑体" w:hAnsi="仿宋" w:eastAsia="黑体" w:cs="宋体"/>
          <w:b/>
          <w:bCs/>
          <w:sz w:val="44"/>
          <w:szCs w:val="44"/>
        </w:rPr>
        <w:t>会计档案管理办法</w:t>
      </w:r>
    </w:p>
    <w:p w14:paraId="36E5F109">
      <w:pPr>
        <w:spacing w:line="560" w:lineRule="exact"/>
        <w:ind w:firstLine="660"/>
        <w:rPr>
          <w:rFonts w:ascii="仿宋_GB2312" w:hAnsi="仿宋" w:eastAsia="仿宋_GB2312" w:cs="宋体"/>
          <w:sz w:val="32"/>
          <w:szCs w:val="32"/>
        </w:rPr>
      </w:pPr>
    </w:p>
    <w:p w14:paraId="7649E1F5">
      <w:pPr>
        <w:spacing w:line="560" w:lineRule="exact"/>
        <w:ind w:firstLine="660"/>
        <w:rPr>
          <w:rFonts w:ascii="仿宋_GB2312" w:hAnsi="仿宋" w:eastAsia="仿宋_GB2312" w:cs="宋体"/>
          <w:sz w:val="32"/>
          <w:szCs w:val="32"/>
        </w:rPr>
      </w:pPr>
      <w:r>
        <w:rPr>
          <w:rFonts w:hint="eastAsia" w:ascii="仿宋_GB2312" w:hAnsi="仿宋" w:eastAsia="仿宋_GB2312" w:cs="宋体"/>
          <w:sz w:val="32"/>
          <w:szCs w:val="32"/>
        </w:rPr>
        <w:t>为了加强单位会计档案管理,有效保护和利用会计档案，进一步完善会计档案管理工作，具体实施如下：</w:t>
      </w:r>
    </w:p>
    <w:p w14:paraId="7E429F98">
      <w:pPr>
        <w:tabs>
          <w:tab w:val="left" w:pos="1080"/>
        </w:tabs>
        <w:spacing w:line="560" w:lineRule="exact"/>
        <w:ind w:left="420" w:leftChars="200" w:firstLine="321" w:firstLineChars="100"/>
        <w:rPr>
          <w:rFonts w:ascii="仿宋_GB2312" w:hAnsi="仿宋" w:eastAsia="仿宋_GB2312" w:cs="宋体"/>
          <w:sz w:val="32"/>
          <w:szCs w:val="32"/>
        </w:rPr>
      </w:pPr>
      <w:r>
        <w:rPr>
          <w:rFonts w:hint="eastAsia" w:ascii="仿宋_GB2312" w:hAnsi="仿宋" w:eastAsia="仿宋_GB2312" w:cs="宋体"/>
          <w:b/>
          <w:bCs/>
          <w:sz w:val="32"/>
          <w:szCs w:val="32"/>
        </w:rPr>
        <w:t>第一条</w:t>
      </w:r>
      <w:r>
        <w:rPr>
          <w:rFonts w:hint="eastAsia" w:ascii="仿宋_GB2312" w:hAnsi="仿宋" w:eastAsia="仿宋_GB2312" w:cs="宋体"/>
          <w:sz w:val="32"/>
          <w:szCs w:val="32"/>
        </w:rPr>
        <w:t xml:space="preserve"> 设立会计档案管理、监督岗位人员</w:t>
      </w:r>
    </w:p>
    <w:p w14:paraId="7408F090">
      <w:pPr>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管理人员：  办公室人员负责</w:t>
      </w:r>
    </w:p>
    <w:p w14:paraId="441C8B21">
      <w:pPr>
        <w:tabs>
          <w:tab w:val="left" w:pos="360"/>
          <w:tab w:val="left" w:pos="720"/>
        </w:tabs>
        <w:spacing w:line="560" w:lineRule="exact"/>
        <w:ind w:firstLine="1280" w:firstLineChars="400"/>
        <w:rPr>
          <w:rFonts w:ascii="仿宋_GB2312" w:hAnsi="仿宋" w:eastAsia="仿宋_GB2312" w:cs="宋体"/>
          <w:sz w:val="32"/>
          <w:szCs w:val="32"/>
        </w:rPr>
      </w:pPr>
      <w:r>
        <w:rPr>
          <w:rFonts w:hint="eastAsia" w:ascii="仿宋_GB2312" w:hAnsi="仿宋" w:eastAsia="仿宋_GB2312" w:cs="宋体"/>
          <w:sz w:val="32"/>
          <w:szCs w:val="32"/>
        </w:rPr>
        <w:t>工作人员：  财务岗位人员负责</w:t>
      </w:r>
    </w:p>
    <w:p w14:paraId="5E0F3A48">
      <w:pPr>
        <w:spacing w:line="560" w:lineRule="exact"/>
        <w:ind w:firstLine="1280" w:firstLineChars="400"/>
        <w:rPr>
          <w:rFonts w:ascii="仿宋_GB2312" w:hAnsi="仿宋" w:eastAsia="仿宋_GB2312" w:cs="宋体"/>
          <w:sz w:val="32"/>
          <w:szCs w:val="32"/>
        </w:rPr>
      </w:pPr>
      <w:r>
        <w:rPr>
          <w:rFonts w:hint="eastAsia" w:ascii="仿宋_GB2312" w:hAnsi="仿宋" w:eastAsia="仿宋_GB2312" w:cs="宋体"/>
          <w:sz w:val="32"/>
          <w:szCs w:val="32"/>
        </w:rPr>
        <w:t>监督人员：  纪委人员负责</w:t>
      </w:r>
    </w:p>
    <w:p w14:paraId="73AD86EA">
      <w:pPr>
        <w:tabs>
          <w:tab w:val="left" w:pos="900"/>
        </w:tabs>
        <w:spacing w:line="560" w:lineRule="exact"/>
        <w:ind w:firstLine="660"/>
        <w:rPr>
          <w:rFonts w:ascii="仿宋_GB2312" w:hAnsi="仿宋" w:eastAsia="仿宋_GB2312" w:cs="宋体"/>
          <w:sz w:val="32"/>
          <w:szCs w:val="32"/>
        </w:rPr>
      </w:pPr>
      <w:r>
        <w:rPr>
          <w:rFonts w:hint="eastAsia" w:ascii="仿宋_GB2312" w:hAnsi="仿宋" w:eastAsia="仿宋_GB2312" w:cs="宋体"/>
          <w:b/>
          <w:bCs/>
          <w:sz w:val="32"/>
          <w:szCs w:val="32"/>
        </w:rPr>
        <w:t>第二条</w:t>
      </w:r>
      <w:r>
        <w:rPr>
          <w:rFonts w:hint="eastAsia" w:ascii="仿宋_GB2312" w:hAnsi="仿宋" w:eastAsia="仿宋_GB2312" w:cs="宋体"/>
          <w:sz w:val="32"/>
          <w:szCs w:val="32"/>
        </w:rPr>
        <w:t xml:space="preserve"> 会计档案的管理方法</w:t>
      </w:r>
    </w:p>
    <w:p w14:paraId="0283DCAF">
      <w:pPr>
        <w:tabs>
          <w:tab w:val="left" w:pos="900"/>
        </w:tabs>
        <w:spacing w:line="560" w:lineRule="exact"/>
        <w:ind w:firstLine="660"/>
        <w:rPr>
          <w:rFonts w:ascii="仿宋_GB2312" w:hAnsi="仿宋" w:eastAsia="仿宋_GB2312" w:cs="宋体"/>
          <w:sz w:val="32"/>
          <w:szCs w:val="32"/>
        </w:rPr>
      </w:pPr>
      <w:r>
        <w:rPr>
          <w:rFonts w:hint="eastAsia" w:ascii="仿宋_GB2312" w:hAnsi="仿宋" w:eastAsia="仿宋_GB2312" w:cs="宋体"/>
          <w:sz w:val="32"/>
          <w:szCs w:val="32"/>
        </w:rPr>
        <w:t>1、严格执行2016年1月1日起施行的财政部、国家档案局令79号《会计档案管理办法》。</w:t>
      </w:r>
    </w:p>
    <w:p w14:paraId="5392F7C8">
      <w:pPr>
        <w:tabs>
          <w:tab w:val="left" w:pos="720"/>
          <w:tab w:val="left" w:pos="900"/>
        </w:tabs>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2、按照管理办法的要求做好会计档案的立卷、归档、保管，确保会计档案妥善保管、有序存放、方便查阅、严防毁损、散失和泄密。</w:t>
      </w:r>
    </w:p>
    <w:p w14:paraId="068182F5">
      <w:pPr>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2、查阅和销毁会计资料要严格履行手续，未经财务负责人、主管局长批准会计档案不得借出使用。如有查阅会计资料，要求出示查阅人的有效身份证明或单位介绍信办理登记，经科室负责人和主管局长审批后，方可提供查阅或者复制，禁防查阅人在会计档案上涂改、拆封和抽换，查阅后要及时将会计资料归回原处。</w:t>
      </w:r>
    </w:p>
    <w:p w14:paraId="546C2442">
      <w:pPr>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3、磁性介质方式保存的会计档案，按照财政部和省局的有关规定执行。</w:t>
      </w:r>
    </w:p>
    <w:p w14:paraId="6DC31679">
      <w:pPr>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4、每个会计年度终了后，要及时将全年的会计资料进行整理登记造册，按要求归档立卷。</w:t>
      </w:r>
    </w:p>
    <w:p w14:paraId="424D86E6">
      <w:pPr>
        <w:spacing w:line="560" w:lineRule="exact"/>
        <w:rPr>
          <w:rFonts w:ascii="仿宋_GB2312" w:hAnsi="仿宋" w:eastAsia="仿宋_GB2312" w:cs="宋体"/>
          <w:sz w:val="32"/>
          <w:szCs w:val="32"/>
        </w:rPr>
      </w:pPr>
      <w:r>
        <w:rPr>
          <w:rFonts w:hint="eastAsia" w:ascii="仿宋_GB2312" w:hAnsi="仿宋" w:eastAsia="仿宋_GB2312" w:cs="宋体"/>
          <w:sz w:val="32"/>
          <w:szCs w:val="32"/>
        </w:rPr>
        <w:t xml:space="preserve">    5、定期检查档案室的安全设施，如发现水、电等异样情况及时报告科室负责人，确保会计资料安全、完整。</w:t>
      </w:r>
    </w:p>
    <w:p w14:paraId="230D2EB5">
      <w:pPr>
        <w:spacing w:line="560" w:lineRule="exact"/>
        <w:ind w:firstLine="660"/>
        <w:rPr>
          <w:rFonts w:ascii="仿宋_GB2312" w:hAnsi="仿宋" w:eastAsia="仿宋_GB2312" w:cs="宋体"/>
          <w:sz w:val="32"/>
          <w:szCs w:val="32"/>
        </w:rPr>
      </w:pPr>
      <w:r>
        <w:rPr>
          <w:rFonts w:hint="eastAsia" w:ascii="仿宋_GB2312" w:hAnsi="仿宋" w:eastAsia="仿宋_GB2312" w:cs="宋体"/>
          <w:sz w:val="32"/>
          <w:szCs w:val="32"/>
        </w:rPr>
        <w:t>6、妥善保管会计档案室钥匙，不得随意外借他人。</w:t>
      </w:r>
    </w:p>
    <w:p w14:paraId="55953591">
      <w:pPr>
        <w:spacing w:line="560" w:lineRule="exact"/>
        <w:ind w:firstLine="660"/>
        <w:rPr>
          <w:rFonts w:ascii="仿宋_GB2312" w:hAnsi="仿宋" w:eastAsia="仿宋_GB2312" w:cs="宋体"/>
          <w:sz w:val="32"/>
          <w:szCs w:val="32"/>
        </w:rPr>
      </w:pPr>
      <w:r>
        <w:rPr>
          <w:rFonts w:hint="eastAsia" w:ascii="仿宋_GB2312" w:hAnsi="仿宋" w:eastAsia="仿宋_GB2312" w:cs="宋体"/>
          <w:sz w:val="32"/>
          <w:szCs w:val="32"/>
        </w:rPr>
        <w:t>7、会计档案的保管期限分为永久、定期两类。定期保管期限一般分为10年和30年。</w:t>
      </w:r>
    </w:p>
    <w:p w14:paraId="572C5F8E">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 xml:space="preserve">8、完成科室负责人交办的其他临时性工作。    </w:t>
      </w:r>
    </w:p>
    <w:p w14:paraId="1BE5D204">
      <w:pPr>
        <w:autoSpaceDE w:val="0"/>
        <w:autoSpaceDN w:val="0"/>
        <w:adjustRightInd w:val="0"/>
        <w:spacing w:line="560" w:lineRule="exact"/>
        <w:jc w:val="center"/>
        <w:rPr>
          <w:rFonts w:ascii="黑体" w:hAnsi="黑体" w:eastAsia="黑体"/>
          <w:b/>
          <w:sz w:val="44"/>
          <w:szCs w:val="44"/>
        </w:rPr>
      </w:pPr>
    </w:p>
    <w:p w14:paraId="56697E59">
      <w:pPr>
        <w:autoSpaceDE w:val="0"/>
        <w:autoSpaceDN w:val="0"/>
        <w:adjustRightInd w:val="0"/>
        <w:spacing w:line="560" w:lineRule="exact"/>
        <w:jc w:val="center"/>
        <w:rPr>
          <w:rFonts w:ascii="黑体" w:hAnsi="黑体" w:eastAsia="黑体"/>
          <w:b/>
          <w:sz w:val="44"/>
          <w:szCs w:val="44"/>
        </w:rPr>
      </w:pPr>
      <w:r>
        <w:rPr>
          <w:rFonts w:hint="eastAsia" w:ascii="黑体" w:hAnsi="黑体" w:eastAsia="黑体"/>
          <w:b/>
          <w:sz w:val="44"/>
          <w:szCs w:val="44"/>
        </w:rPr>
        <w:t>附   则</w:t>
      </w:r>
    </w:p>
    <w:p w14:paraId="3E180384">
      <w:pPr>
        <w:autoSpaceDE w:val="0"/>
        <w:autoSpaceDN w:val="0"/>
        <w:adjustRightInd w:val="0"/>
        <w:spacing w:line="560" w:lineRule="exact"/>
        <w:jc w:val="left"/>
        <w:rPr>
          <w:rFonts w:ascii="仿宋_GB2312" w:hAnsi="华文仿宋" w:eastAsia="仿宋_GB2312"/>
          <w:b/>
          <w:sz w:val="32"/>
          <w:szCs w:val="32"/>
        </w:rPr>
      </w:pPr>
      <w:r>
        <w:rPr>
          <w:rFonts w:hint="eastAsia" w:ascii="黑体" w:hAnsi="黑体" w:eastAsia="黑体"/>
          <w:b/>
          <w:sz w:val="32"/>
          <w:szCs w:val="32"/>
        </w:rPr>
        <w:t>第一条</w:t>
      </w:r>
      <w:r>
        <w:rPr>
          <w:rFonts w:hint="eastAsia" w:ascii="仿宋_GB2312" w:hAnsi="黑体" w:eastAsia="仿宋_GB2312"/>
          <w:b/>
          <w:sz w:val="32"/>
          <w:szCs w:val="32"/>
        </w:rPr>
        <w:t xml:space="preserve"> </w:t>
      </w:r>
      <w:r>
        <w:rPr>
          <w:rFonts w:hint="eastAsia" w:ascii="仿宋_GB2312" w:hAnsi="华文仿宋" w:eastAsia="仿宋_GB2312"/>
          <w:sz w:val="32"/>
          <w:szCs w:val="32"/>
        </w:rPr>
        <w:t>本制度是单位内部财务管理的基本制度，单位相关人员应严格遵守本制度的各项规定，切实加强单位财务具体实施工作，更好的规范经济业务活动，提高财务工作的效率与效果。</w:t>
      </w:r>
    </w:p>
    <w:p w14:paraId="56ADC7BA">
      <w:pPr>
        <w:spacing w:line="560" w:lineRule="exact"/>
        <w:rPr>
          <w:rFonts w:ascii="仿宋_GB2312" w:hAnsi="华文仿宋" w:eastAsia="仿宋_GB2312"/>
          <w:sz w:val="32"/>
          <w:szCs w:val="32"/>
        </w:rPr>
      </w:pPr>
      <w:r>
        <w:rPr>
          <w:rFonts w:hint="eastAsia" w:ascii="黑体" w:hAnsi="黑体" w:eastAsia="黑体"/>
          <w:b/>
          <w:sz w:val="32"/>
          <w:szCs w:val="32"/>
        </w:rPr>
        <w:t xml:space="preserve">第二条 </w:t>
      </w:r>
      <w:r>
        <w:rPr>
          <w:rFonts w:hint="eastAsia" w:ascii="仿宋_GB2312" w:hAnsi="华文仿宋" w:eastAsia="仿宋_GB2312"/>
          <w:sz w:val="32"/>
          <w:szCs w:val="32"/>
        </w:rPr>
        <w:t>本单位</w:t>
      </w:r>
      <w:r>
        <w:rPr>
          <w:rFonts w:hint="eastAsia" w:ascii="仿宋_GB2312" w:hAnsi="仿宋" w:eastAsia="仿宋_GB2312" w:cs="楷体"/>
          <w:sz w:val="32"/>
          <w:szCs w:val="32"/>
        </w:rPr>
        <w:t>财务管理制度正处于逐步完善过程，有关的规章制度内容属试行阶段，在今后的实际工作中根据具体情况进行不断改进，以适应司法行政工作发展需要。</w:t>
      </w:r>
    </w:p>
    <w:p w14:paraId="1BFB34C3">
      <w:pPr>
        <w:autoSpaceDE w:val="0"/>
        <w:autoSpaceDN w:val="0"/>
        <w:adjustRightInd w:val="0"/>
        <w:spacing w:line="560" w:lineRule="exact"/>
        <w:jc w:val="left"/>
        <w:rPr>
          <w:rFonts w:ascii="仿宋_GB2312" w:hAnsi="华文仿宋" w:eastAsia="仿宋_GB2312"/>
          <w:sz w:val="32"/>
          <w:szCs w:val="32"/>
        </w:rPr>
      </w:pPr>
      <w:r>
        <w:rPr>
          <w:rFonts w:hint="eastAsia" w:ascii="黑体" w:hAnsi="黑体" w:eastAsia="黑体"/>
          <w:b/>
          <w:sz w:val="32"/>
          <w:szCs w:val="32"/>
        </w:rPr>
        <w:t>第三条</w:t>
      </w:r>
      <w:r>
        <w:rPr>
          <w:rFonts w:hint="eastAsia" w:ascii="仿宋_GB2312" w:hAnsi="黑体" w:eastAsia="仿宋_GB2312"/>
          <w:sz w:val="32"/>
          <w:szCs w:val="32"/>
        </w:rPr>
        <w:t xml:space="preserve"> </w:t>
      </w:r>
      <w:r>
        <w:rPr>
          <w:rFonts w:hint="eastAsia" w:ascii="仿宋_GB2312" w:hAnsi="华文仿宋" w:eastAsia="仿宋_GB2312"/>
          <w:sz w:val="32"/>
          <w:szCs w:val="32"/>
        </w:rPr>
        <w:t>本制度全局各单位财务活动真实合法，资金使用安全，各项收支业务审批程序口径统一，执行制度有章可依，本制度使用全局各单位，请直属事业单位、分局严格落实各项制度要求，确保财务活动合法、有效开展。本制度由局机关办公室负责解释，自2018年4月开始实施。</w:t>
      </w:r>
    </w:p>
    <w:p w14:paraId="6583031D">
      <w:pPr>
        <w:rPr>
          <w:rFonts w:ascii="仿宋_GB2312" w:hAnsi="华文仿宋" w:eastAsia="仿宋_GB2312"/>
          <w:sz w:val="32"/>
          <w:szCs w:val="32"/>
        </w:rPr>
      </w:pPr>
      <w:r>
        <w:rPr>
          <w:rFonts w:hint="eastAsia" w:ascii="仿宋_GB2312" w:hAnsi="华文仿宋" w:eastAsia="仿宋_GB2312"/>
          <w:sz w:val="32"/>
          <w:szCs w:val="32"/>
        </w:rPr>
        <w:br w:type="page"/>
      </w:r>
    </w:p>
    <w:p w14:paraId="179A50A3">
      <w:pPr>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白城市公共法律服务“12348”法律服务热线</w:t>
      </w:r>
    </w:p>
    <w:p w14:paraId="3A93139E">
      <w:pPr>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窗口服务工作制度</w:t>
      </w:r>
    </w:p>
    <w:p w14:paraId="34DF0831">
      <w:pPr>
        <w:spacing w:line="560" w:lineRule="exact"/>
        <w:jc w:val="center"/>
        <w:rPr>
          <w:rFonts w:ascii="黑体" w:hAnsi="黑体" w:eastAsia="黑体"/>
          <w:sz w:val="32"/>
          <w:szCs w:val="32"/>
        </w:rPr>
      </w:pPr>
    </w:p>
    <w:p w14:paraId="2371E717">
      <w:pPr>
        <w:spacing w:line="560" w:lineRule="exact"/>
        <w:jc w:val="center"/>
        <w:rPr>
          <w:rFonts w:ascii="黑体" w:hAnsi="黑体" w:eastAsia="黑体"/>
          <w:sz w:val="32"/>
          <w:szCs w:val="32"/>
        </w:rPr>
      </w:pPr>
      <w:r>
        <w:rPr>
          <w:rFonts w:hint="eastAsia" w:ascii="黑体" w:hAnsi="黑体" w:eastAsia="黑体"/>
          <w:sz w:val="32"/>
          <w:szCs w:val="32"/>
        </w:rPr>
        <w:t>第一章  总则</w:t>
      </w:r>
    </w:p>
    <w:p w14:paraId="5D37AB73">
      <w:pPr>
        <w:spacing w:line="560" w:lineRule="exact"/>
        <w:ind w:firstLine="643" w:firstLineChars="200"/>
        <w:rPr>
          <w:rFonts w:ascii="仿宋" w:hAnsi="仿宋" w:eastAsia="仿宋" w:cs="仿宋_GB2312"/>
          <w:color w:val="000000"/>
          <w:kern w:val="0"/>
          <w:sz w:val="32"/>
          <w:szCs w:val="32"/>
        </w:rPr>
      </w:pPr>
      <w:r>
        <w:rPr>
          <w:rFonts w:hint="eastAsia" w:ascii="仿宋" w:hAnsi="仿宋" w:eastAsia="仿宋" w:cs="仿宋_GB2312"/>
          <w:b/>
          <w:bCs/>
          <w:color w:val="000000"/>
          <w:kern w:val="0"/>
          <w:sz w:val="32"/>
          <w:szCs w:val="32"/>
        </w:rPr>
        <w:t>第一条</w:t>
      </w:r>
      <w:r>
        <w:rPr>
          <w:rFonts w:hint="eastAsia" w:ascii="仿宋" w:hAnsi="仿宋" w:eastAsia="仿宋" w:cs="仿宋_GB2312"/>
          <w:color w:val="000000"/>
          <w:kern w:val="0"/>
          <w:sz w:val="32"/>
          <w:szCs w:val="32"/>
        </w:rPr>
        <w:t xml:space="preserve"> </w:t>
      </w:r>
      <w:r>
        <w:rPr>
          <w:rFonts w:ascii="仿宋" w:hAnsi="仿宋" w:eastAsia="仿宋" w:cs="仿宋_GB2312"/>
          <w:color w:val="000000"/>
          <w:kern w:val="0"/>
          <w:sz w:val="32"/>
          <w:szCs w:val="32"/>
        </w:rPr>
        <w:t>为规范对12348</w:t>
      </w:r>
      <w:r>
        <w:rPr>
          <w:rFonts w:hint="eastAsia" w:ascii="仿宋" w:hAnsi="仿宋" w:eastAsia="仿宋" w:cs="仿宋_GB2312"/>
          <w:color w:val="000000"/>
          <w:kern w:val="0"/>
          <w:sz w:val="32"/>
          <w:szCs w:val="32"/>
        </w:rPr>
        <w:t>法律服务热线工作人员</w:t>
      </w:r>
      <w:r>
        <w:rPr>
          <w:rFonts w:ascii="仿宋" w:hAnsi="仿宋" w:eastAsia="仿宋" w:cs="仿宋_GB2312"/>
          <w:color w:val="000000"/>
          <w:kern w:val="0"/>
          <w:sz w:val="32"/>
          <w:szCs w:val="32"/>
        </w:rPr>
        <w:t>的管理,发挥其在以为群众提供智能化、亲情化、高效、快捷、优质的法律咨询服务的积极作用，推进依法行政、法治政府建设，制定本</w:t>
      </w:r>
      <w:r>
        <w:rPr>
          <w:rFonts w:hint="eastAsia" w:ascii="仿宋" w:hAnsi="仿宋" w:eastAsia="仿宋" w:cs="仿宋_GB2312"/>
          <w:color w:val="000000"/>
          <w:kern w:val="0"/>
          <w:sz w:val="32"/>
          <w:szCs w:val="32"/>
        </w:rPr>
        <w:t>工作</w:t>
      </w:r>
      <w:r>
        <w:rPr>
          <w:rFonts w:ascii="仿宋" w:hAnsi="仿宋" w:eastAsia="仿宋" w:cs="仿宋_GB2312"/>
          <w:color w:val="000000"/>
          <w:kern w:val="0"/>
          <w:sz w:val="32"/>
          <w:szCs w:val="32"/>
        </w:rPr>
        <w:t>制度。</w:t>
      </w:r>
    </w:p>
    <w:p w14:paraId="1FDB0F5E">
      <w:pPr>
        <w:spacing w:line="56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bCs/>
          <w:sz w:val="32"/>
          <w:szCs w:val="32"/>
        </w:rPr>
        <w:t>第二条</w:t>
      </w:r>
      <w:r>
        <w:rPr>
          <w:rFonts w:hint="eastAsia" w:ascii="仿宋" w:hAnsi="仿宋" w:eastAsia="仿宋"/>
          <w:sz w:val="32"/>
          <w:szCs w:val="32"/>
        </w:rPr>
        <w:t xml:space="preserve"> 本工作制度主要作为对全市“12348”各条法律服务热线开展日常管理和评价考核的工作依据；</w:t>
      </w:r>
      <w:r>
        <w:rPr>
          <w:rFonts w:ascii="仿宋" w:hAnsi="仿宋" w:eastAsia="仿宋" w:cs="仿宋_GB2312"/>
          <w:color w:val="000000"/>
          <w:kern w:val="0"/>
          <w:sz w:val="32"/>
          <w:szCs w:val="32"/>
        </w:rPr>
        <w:t>作为12348</w:t>
      </w:r>
      <w:r>
        <w:rPr>
          <w:rFonts w:hint="eastAsia" w:ascii="仿宋" w:hAnsi="仿宋" w:eastAsia="仿宋" w:cs="仿宋_GB2312"/>
          <w:color w:val="000000"/>
          <w:kern w:val="0"/>
          <w:sz w:val="32"/>
          <w:szCs w:val="32"/>
        </w:rPr>
        <w:t>法律服务热线工作人员</w:t>
      </w:r>
      <w:r>
        <w:rPr>
          <w:rFonts w:ascii="仿宋" w:hAnsi="仿宋" w:eastAsia="仿宋" w:cs="仿宋_GB2312"/>
          <w:color w:val="000000"/>
          <w:kern w:val="0"/>
          <w:sz w:val="32"/>
          <w:szCs w:val="32"/>
        </w:rPr>
        <w:t>续聘、解聘及调整的依据。</w:t>
      </w:r>
    </w:p>
    <w:p w14:paraId="5AA5E650">
      <w:pPr>
        <w:spacing w:line="560" w:lineRule="exact"/>
        <w:jc w:val="center"/>
        <w:rPr>
          <w:rFonts w:ascii="黑体" w:hAnsi="黑体" w:eastAsia="黑体"/>
          <w:sz w:val="32"/>
          <w:szCs w:val="32"/>
        </w:rPr>
      </w:pPr>
      <w:r>
        <w:rPr>
          <w:rFonts w:hint="eastAsia" w:ascii="黑体" w:hAnsi="黑体" w:eastAsia="黑体"/>
          <w:sz w:val="32"/>
          <w:szCs w:val="32"/>
        </w:rPr>
        <w:t>第二章</w:t>
      </w:r>
      <w:r>
        <w:rPr>
          <w:rFonts w:ascii="黑体" w:hAnsi="黑体" w:eastAsia="黑体" w:cs="黑体"/>
          <w:color w:val="000000"/>
          <w:kern w:val="0"/>
          <w:sz w:val="32"/>
          <w:szCs w:val="32"/>
        </w:rPr>
        <w:t>12348</w:t>
      </w:r>
      <w:r>
        <w:rPr>
          <w:rFonts w:hint="eastAsia" w:ascii="黑体" w:hAnsi="黑体" w:eastAsia="黑体" w:cs="黑体"/>
          <w:color w:val="000000"/>
          <w:kern w:val="0"/>
          <w:sz w:val="32"/>
          <w:szCs w:val="32"/>
        </w:rPr>
        <w:t>”法律服务热线</w:t>
      </w:r>
      <w:r>
        <w:rPr>
          <w:rFonts w:hint="eastAsia" w:ascii="黑体" w:hAnsi="黑体" w:eastAsia="黑体"/>
          <w:sz w:val="32"/>
          <w:szCs w:val="32"/>
        </w:rPr>
        <w:t>日常管理</w:t>
      </w:r>
    </w:p>
    <w:p w14:paraId="18C26207">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第三条</w:t>
      </w:r>
      <w:r>
        <w:rPr>
          <w:rFonts w:hint="eastAsia" w:ascii="仿宋" w:hAnsi="仿宋" w:eastAsia="仿宋"/>
          <w:sz w:val="32"/>
          <w:szCs w:val="32"/>
        </w:rPr>
        <w:t xml:space="preserve"> </w:t>
      </w:r>
      <w:r>
        <w:rPr>
          <w:rFonts w:ascii="仿宋" w:hAnsi="仿宋" w:eastAsia="仿宋"/>
          <w:sz w:val="32"/>
          <w:szCs w:val="32"/>
        </w:rPr>
        <w:t>“</w:t>
      </w:r>
      <w:r>
        <w:rPr>
          <w:rFonts w:hint="eastAsia" w:ascii="仿宋" w:hAnsi="仿宋" w:eastAsia="仿宋"/>
          <w:sz w:val="32"/>
          <w:szCs w:val="32"/>
        </w:rPr>
        <w:t>12348</w:t>
      </w:r>
      <w:r>
        <w:rPr>
          <w:rFonts w:ascii="仿宋" w:hAnsi="仿宋" w:eastAsia="仿宋"/>
          <w:sz w:val="32"/>
          <w:szCs w:val="32"/>
        </w:rPr>
        <w:t>”法律咨询热线平台实行专职值班制度，指定专门人员负责“</w:t>
      </w:r>
      <w:r>
        <w:rPr>
          <w:rFonts w:hint="eastAsia" w:ascii="仿宋" w:hAnsi="仿宋" w:eastAsia="仿宋"/>
          <w:sz w:val="32"/>
          <w:szCs w:val="32"/>
        </w:rPr>
        <w:t>12348</w:t>
      </w:r>
      <w:r>
        <w:rPr>
          <w:rFonts w:ascii="仿宋" w:hAnsi="仿宋" w:eastAsia="仿宋"/>
          <w:sz w:val="32"/>
          <w:szCs w:val="32"/>
        </w:rPr>
        <w:t>”法律咨询热线的接听和咨询解答工作</w:t>
      </w:r>
      <w:r>
        <w:rPr>
          <w:rFonts w:hint="eastAsia" w:ascii="仿宋" w:hAnsi="仿宋" w:eastAsia="仿宋"/>
          <w:sz w:val="32"/>
          <w:szCs w:val="32"/>
        </w:rPr>
        <w:t>。</w:t>
      </w:r>
    </w:p>
    <w:p w14:paraId="32D64062">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第四条</w:t>
      </w:r>
      <w:r>
        <w:rPr>
          <w:rFonts w:ascii="仿宋" w:hAnsi="仿宋" w:eastAsia="仿宋"/>
          <w:sz w:val="32"/>
          <w:szCs w:val="32"/>
        </w:rPr>
        <w:t>“</w:t>
      </w:r>
      <w:r>
        <w:rPr>
          <w:rFonts w:hint="eastAsia" w:ascii="仿宋" w:hAnsi="仿宋" w:eastAsia="仿宋"/>
          <w:sz w:val="32"/>
          <w:szCs w:val="32"/>
        </w:rPr>
        <w:t>12348</w:t>
      </w:r>
      <w:r>
        <w:rPr>
          <w:rFonts w:ascii="仿宋" w:hAnsi="仿宋" w:eastAsia="仿宋"/>
          <w:sz w:val="32"/>
          <w:szCs w:val="32"/>
        </w:rPr>
        <w:t>”法律服务热线法律咨询热线平台值班时间为：周一至周五，上午：</w:t>
      </w:r>
      <w:r>
        <w:rPr>
          <w:rFonts w:hint="eastAsia" w:ascii="仿宋" w:hAnsi="仿宋" w:eastAsia="仿宋"/>
          <w:sz w:val="32"/>
          <w:szCs w:val="32"/>
        </w:rPr>
        <w:t>8：30-11：15；下午：1：30-4：30。</w:t>
      </w:r>
    </w:p>
    <w:p w14:paraId="30CE78C9">
      <w:pPr>
        <w:widowControl/>
        <w:spacing w:line="560" w:lineRule="exact"/>
        <w:ind w:firstLine="643" w:firstLineChars="200"/>
        <w:jc w:val="left"/>
        <w:rPr>
          <w:rFonts w:ascii="仿宋" w:hAnsi="仿宋" w:eastAsia="仿宋" w:cs="仿宋_GB2312"/>
          <w:color w:val="000000"/>
          <w:kern w:val="0"/>
          <w:sz w:val="32"/>
          <w:szCs w:val="32"/>
        </w:rPr>
      </w:pPr>
      <w:r>
        <w:rPr>
          <w:rFonts w:hint="eastAsia" w:ascii="仿宋" w:hAnsi="仿宋" w:eastAsia="仿宋" w:cs="仿宋_GB2312"/>
          <w:b/>
          <w:bCs/>
          <w:color w:val="000000"/>
          <w:kern w:val="0"/>
          <w:sz w:val="32"/>
          <w:szCs w:val="32"/>
        </w:rPr>
        <w:t>第五条</w:t>
      </w:r>
      <w:r>
        <w:rPr>
          <w:rFonts w:hint="eastAsia" w:ascii="仿宋" w:hAnsi="仿宋" w:eastAsia="仿宋" w:cs="仿宋_GB2312"/>
          <w:color w:val="000000"/>
          <w:kern w:val="0"/>
          <w:sz w:val="32"/>
          <w:szCs w:val="32"/>
        </w:rPr>
        <w:t xml:space="preserve"> 服务热线接线员严格遵守工作纪律，不迟到、不早退，工作时间保证至少有一名值班人员在岗，禁止脱岗，如因特殊情况确需暂时离岗的，应向管理人员请假并作好交接工作。</w:t>
      </w:r>
    </w:p>
    <w:p w14:paraId="52E708C5">
      <w:pPr>
        <w:widowControl/>
        <w:spacing w:line="560" w:lineRule="exact"/>
        <w:ind w:firstLine="643" w:firstLineChars="200"/>
        <w:jc w:val="left"/>
        <w:rPr>
          <w:rFonts w:ascii="仿宋" w:hAnsi="仿宋" w:eastAsia="仿宋" w:cs="仿宋_GB2312"/>
          <w:color w:val="000000"/>
          <w:kern w:val="0"/>
          <w:sz w:val="32"/>
          <w:szCs w:val="32"/>
        </w:rPr>
      </w:pPr>
      <w:r>
        <w:rPr>
          <w:rFonts w:hint="eastAsia" w:ascii="仿宋" w:hAnsi="仿宋" w:eastAsia="仿宋" w:cs="仿宋_GB2312"/>
          <w:b/>
          <w:bCs/>
          <w:color w:val="000000"/>
          <w:kern w:val="0"/>
          <w:sz w:val="32"/>
          <w:szCs w:val="32"/>
        </w:rPr>
        <w:t>第六条</w:t>
      </w:r>
      <w:r>
        <w:rPr>
          <w:rFonts w:hint="eastAsia" w:ascii="仿宋" w:hAnsi="仿宋" w:eastAsia="仿宋" w:cs="仿宋_GB2312"/>
          <w:color w:val="000000"/>
          <w:kern w:val="0"/>
          <w:sz w:val="32"/>
          <w:szCs w:val="32"/>
        </w:rPr>
        <w:t xml:space="preserve"> 使用文明、规范、准确用语，用普通话接答电话，服务态度热情，不得态度生硬、与当事人发生口角，解答过程中不做与接答电话无关的事情。</w:t>
      </w:r>
    </w:p>
    <w:p w14:paraId="1523E11D">
      <w:pPr>
        <w:widowControl/>
        <w:spacing w:line="560" w:lineRule="exact"/>
        <w:ind w:firstLine="643" w:firstLineChars="200"/>
        <w:jc w:val="left"/>
        <w:rPr>
          <w:rFonts w:ascii="仿宋" w:hAnsi="仿宋" w:eastAsia="仿宋" w:cs="仿宋_GB2312"/>
          <w:color w:val="000000"/>
          <w:kern w:val="0"/>
          <w:sz w:val="32"/>
          <w:szCs w:val="32"/>
        </w:rPr>
      </w:pPr>
      <w:r>
        <w:rPr>
          <w:rFonts w:hint="eastAsia" w:ascii="仿宋" w:hAnsi="仿宋" w:eastAsia="仿宋" w:cs="仿宋_GB2312"/>
          <w:b/>
          <w:bCs/>
          <w:color w:val="000000"/>
          <w:kern w:val="0"/>
          <w:sz w:val="32"/>
          <w:szCs w:val="32"/>
        </w:rPr>
        <w:t>第七条</w:t>
      </w:r>
      <w:r>
        <w:rPr>
          <w:rFonts w:hint="eastAsia" w:ascii="仿宋" w:hAnsi="仿宋" w:eastAsia="仿宋" w:cs="仿宋_GB2312"/>
          <w:color w:val="000000"/>
          <w:kern w:val="0"/>
          <w:sz w:val="32"/>
          <w:szCs w:val="32"/>
        </w:rPr>
        <w:t xml:space="preserve"> 值班人员不得擅自关闭电话或者使电话处于占线状态。</w:t>
      </w:r>
    </w:p>
    <w:p w14:paraId="0B4279ED">
      <w:pPr>
        <w:widowControl/>
        <w:spacing w:line="560" w:lineRule="exact"/>
        <w:ind w:firstLine="643" w:firstLineChars="200"/>
        <w:jc w:val="left"/>
        <w:rPr>
          <w:rFonts w:ascii="仿宋" w:hAnsi="仿宋" w:eastAsia="仿宋" w:cs="仿宋_GB2312"/>
          <w:color w:val="000000"/>
          <w:kern w:val="0"/>
          <w:sz w:val="32"/>
          <w:szCs w:val="32"/>
        </w:rPr>
      </w:pPr>
      <w:r>
        <w:rPr>
          <w:rFonts w:hint="eastAsia" w:ascii="仿宋" w:hAnsi="仿宋" w:eastAsia="仿宋" w:cs="仿宋_GB2312"/>
          <w:b/>
          <w:bCs/>
          <w:color w:val="000000"/>
          <w:kern w:val="0"/>
          <w:sz w:val="32"/>
          <w:szCs w:val="32"/>
        </w:rPr>
        <w:t>第八条</w:t>
      </w:r>
      <w:r>
        <w:rPr>
          <w:rFonts w:hint="eastAsia" w:ascii="仿宋" w:hAnsi="仿宋" w:eastAsia="仿宋" w:cs="仿宋_GB2312"/>
          <w:color w:val="000000"/>
          <w:kern w:val="0"/>
          <w:sz w:val="32"/>
          <w:szCs w:val="32"/>
        </w:rPr>
        <w:t xml:space="preserve"> 接答人员应对来电逐一登记，对于当事人咨询的内容及自己给予的解答作概括性记载。</w:t>
      </w:r>
    </w:p>
    <w:p w14:paraId="420D2DD3">
      <w:pPr>
        <w:widowControl/>
        <w:spacing w:line="560" w:lineRule="exact"/>
        <w:ind w:firstLine="643" w:firstLineChars="200"/>
        <w:jc w:val="left"/>
        <w:rPr>
          <w:rFonts w:ascii="仿宋" w:hAnsi="仿宋" w:eastAsia="仿宋" w:cs="仿宋_GB2312"/>
          <w:color w:val="000000"/>
          <w:kern w:val="0"/>
          <w:sz w:val="32"/>
          <w:szCs w:val="32"/>
        </w:rPr>
      </w:pPr>
      <w:r>
        <w:rPr>
          <w:rFonts w:hint="eastAsia" w:ascii="仿宋" w:hAnsi="仿宋" w:eastAsia="仿宋" w:cs="仿宋_GB2312"/>
          <w:b/>
          <w:bCs/>
          <w:color w:val="000000"/>
          <w:kern w:val="0"/>
          <w:sz w:val="32"/>
          <w:szCs w:val="32"/>
        </w:rPr>
        <w:t>第九条</w:t>
      </w:r>
      <w:r>
        <w:rPr>
          <w:rFonts w:hint="eastAsia" w:ascii="仿宋" w:hAnsi="仿宋" w:eastAsia="仿宋" w:cs="仿宋_GB2312"/>
          <w:color w:val="000000"/>
          <w:kern w:val="0"/>
          <w:sz w:val="32"/>
          <w:szCs w:val="32"/>
        </w:rPr>
        <w:t xml:space="preserve"> 回答当事人提出的问题应当以法律、法规或者有关规范性文件为依据，并明确告知对方“我们提供的解答意见，仅供参考”。</w:t>
      </w:r>
    </w:p>
    <w:p w14:paraId="390CD492">
      <w:pPr>
        <w:widowControl/>
        <w:spacing w:line="560" w:lineRule="exact"/>
        <w:ind w:firstLine="643" w:firstLineChars="200"/>
        <w:jc w:val="left"/>
        <w:rPr>
          <w:rFonts w:ascii="仿宋" w:hAnsi="仿宋" w:eastAsia="仿宋" w:cs="仿宋_GB2312"/>
          <w:color w:val="000000"/>
          <w:kern w:val="0"/>
          <w:sz w:val="32"/>
          <w:szCs w:val="32"/>
        </w:rPr>
      </w:pPr>
      <w:r>
        <w:rPr>
          <w:rFonts w:hint="eastAsia" w:ascii="仿宋" w:hAnsi="仿宋" w:eastAsia="仿宋" w:cs="仿宋_GB2312"/>
          <w:b/>
          <w:bCs/>
          <w:color w:val="000000"/>
          <w:kern w:val="0"/>
          <w:sz w:val="32"/>
          <w:szCs w:val="32"/>
        </w:rPr>
        <w:t>第十条</w:t>
      </w:r>
      <w:r>
        <w:rPr>
          <w:rFonts w:hint="eastAsia" w:ascii="仿宋" w:hAnsi="仿宋" w:eastAsia="仿宋" w:cs="仿宋_GB2312"/>
          <w:color w:val="000000"/>
          <w:kern w:val="0"/>
          <w:sz w:val="32"/>
          <w:szCs w:val="32"/>
        </w:rPr>
        <w:t xml:space="preserve"> 当事人咨询不属于本座席职责范围的，但属于司法行政其他职责的，应当指导当事人咨询相关坐席；所涉事项不属于司法行政系统职责范围的，应当做好解释工作并正确指导当事人向有关职能部门咨询。</w:t>
      </w:r>
    </w:p>
    <w:p w14:paraId="28538505">
      <w:pPr>
        <w:widowControl/>
        <w:spacing w:line="560" w:lineRule="exact"/>
        <w:ind w:firstLine="643" w:firstLineChars="200"/>
        <w:jc w:val="left"/>
        <w:rPr>
          <w:rFonts w:ascii="仿宋" w:hAnsi="仿宋" w:eastAsia="仿宋" w:cs="仿宋_GB2312"/>
          <w:color w:val="000000"/>
          <w:kern w:val="0"/>
          <w:sz w:val="32"/>
          <w:szCs w:val="32"/>
        </w:rPr>
      </w:pPr>
      <w:r>
        <w:rPr>
          <w:rFonts w:hint="eastAsia" w:ascii="仿宋" w:hAnsi="仿宋" w:eastAsia="仿宋" w:cs="仿宋_GB2312"/>
          <w:b/>
          <w:bCs/>
          <w:color w:val="000000"/>
          <w:kern w:val="0"/>
          <w:sz w:val="32"/>
          <w:szCs w:val="32"/>
        </w:rPr>
        <w:t>第十一条</w:t>
      </w:r>
      <w:r>
        <w:rPr>
          <w:rFonts w:hint="eastAsia" w:ascii="仿宋" w:hAnsi="仿宋" w:eastAsia="仿宋" w:cs="仿宋_GB2312"/>
          <w:color w:val="000000"/>
          <w:kern w:val="0"/>
          <w:sz w:val="32"/>
          <w:szCs w:val="32"/>
        </w:rPr>
        <w:t xml:space="preserve"> 在值班接答期间不得会客，不得占用专线接听私人电话，与人聊天，不准在工作区域喧哗、谈笑。</w:t>
      </w:r>
    </w:p>
    <w:p w14:paraId="775C0FFC">
      <w:pPr>
        <w:widowControl/>
        <w:spacing w:line="560" w:lineRule="exact"/>
        <w:ind w:firstLine="643" w:firstLineChars="200"/>
        <w:jc w:val="left"/>
        <w:rPr>
          <w:rFonts w:ascii="仿宋" w:hAnsi="仿宋" w:eastAsia="仿宋" w:cs="仿宋_GB2312"/>
          <w:color w:val="000000"/>
          <w:kern w:val="0"/>
          <w:sz w:val="32"/>
          <w:szCs w:val="32"/>
        </w:rPr>
      </w:pPr>
      <w:r>
        <w:rPr>
          <w:rFonts w:hint="eastAsia" w:ascii="仿宋" w:hAnsi="仿宋" w:eastAsia="仿宋" w:cs="仿宋_GB2312"/>
          <w:b/>
          <w:bCs/>
          <w:color w:val="000000"/>
          <w:kern w:val="0"/>
          <w:sz w:val="32"/>
          <w:szCs w:val="32"/>
        </w:rPr>
        <w:t>第十二条</w:t>
      </w:r>
      <w:r>
        <w:rPr>
          <w:rFonts w:hint="eastAsia" w:ascii="仿宋" w:hAnsi="仿宋" w:eastAsia="仿宋" w:cs="仿宋_GB2312"/>
          <w:color w:val="000000"/>
          <w:kern w:val="0"/>
          <w:sz w:val="32"/>
          <w:szCs w:val="32"/>
        </w:rPr>
        <w:t xml:space="preserve"> 值班人员不得在解答咨询在明示或者暗示自己所在的法律服务机构，不得利用工作便利为个人或者机构揽接、介绍有偿法律服务；</w:t>
      </w:r>
    </w:p>
    <w:p w14:paraId="1307770D">
      <w:pPr>
        <w:widowControl/>
        <w:spacing w:line="560" w:lineRule="exact"/>
        <w:ind w:firstLine="643" w:firstLineChars="200"/>
        <w:jc w:val="left"/>
        <w:rPr>
          <w:rFonts w:ascii="仿宋" w:hAnsi="仿宋" w:eastAsia="仿宋" w:cs="仿宋_GB2312"/>
          <w:color w:val="000000"/>
          <w:kern w:val="0"/>
          <w:sz w:val="32"/>
          <w:szCs w:val="32"/>
        </w:rPr>
      </w:pPr>
      <w:r>
        <w:rPr>
          <w:rFonts w:hint="eastAsia" w:ascii="仿宋" w:hAnsi="仿宋" w:eastAsia="仿宋" w:cs="仿宋_GB2312"/>
          <w:b/>
          <w:bCs/>
          <w:color w:val="000000"/>
          <w:kern w:val="0"/>
          <w:sz w:val="32"/>
          <w:szCs w:val="32"/>
        </w:rPr>
        <w:t>第十三条</w:t>
      </w:r>
      <w:r>
        <w:rPr>
          <w:rFonts w:hint="eastAsia" w:ascii="仿宋" w:hAnsi="仿宋" w:eastAsia="仿宋" w:cs="仿宋_GB2312"/>
          <w:color w:val="000000"/>
          <w:kern w:val="0"/>
          <w:sz w:val="32"/>
          <w:szCs w:val="32"/>
        </w:rPr>
        <w:t xml:space="preserve"> 对在咨询中了解到的咨询者个人信息的要严格保密，不得泄露；</w:t>
      </w:r>
    </w:p>
    <w:p w14:paraId="455B4B1E">
      <w:pPr>
        <w:widowControl/>
        <w:spacing w:line="560" w:lineRule="exact"/>
        <w:jc w:val="center"/>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第三章 12348法律服务热线保障</w:t>
      </w:r>
    </w:p>
    <w:p w14:paraId="1CBC212C">
      <w:pPr>
        <w:widowControl/>
        <w:spacing w:line="560" w:lineRule="exact"/>
        <w:ind w:firstLine="643" w:firstLineChars="200"/>
        <w:jc w:val="left"/>
        <w:rPr>
          <w:rFonts w:ascii="仿宋" w:hAnsi="仿宋" w:eastAsia="仿宋" w:cs="仿宋_GB2312"/>
          <w:color w:val="000000"/>
          <w:kern w:val="0"/>
          <w:sz w:val="32"/>
          <w:szCs w:val="32"/>
        </w:rPr>
      </w:pPr>
      <w:r>
        <w:rPr>
          <w:rFonts w:hint="eastAsia" w:ascii="仿宋" w:hAnsi="仿宋" w:eastAsia="仿宋" w:cs="仿宋_GB2312"/>
          <w:b/>
          <w:bCs/>
          <w:color w:val="000000"/>
          <w:kern w:val="0"/>
          <w:sz w:val="32"/>
          <w:szCs w:val="32"/>
        </w:rPr>
        <w:t>第十四条</w:t>
      </w:r>
      <w:r>
        <w:rPr>
          <w:rFonts w:hint="eastAsia" w:ascii="仿宋" w:hAnsi="仿宋" w:eastAsia="仿宋" w:cs="仿宋_GB2312"/>
          <w:color w:val="000000"/>
          <w:kern w:val="0"/>
          <w:sz w:val="32"/>
          <w:szCs w:val="32"/>
        </w:rPr>
        <w:t xml:space="preserve"> 坐席值班人员应当爱护设备，发现设备故障应及时与系统维护人员联系，对故障和维护情况做好登记。</w:t>
      </w:r>
    </w:p>
    <w:p w14:paraId="5B6216F2">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第十五条</w:t>
      </w:r>
      <w:r>
        <w:rPr>
          <w:rFonts w:hint="eastAsia" w:ascii="仿宋" w:hAnsi="仿宋" w:eastAsia="仿宋"/>
          <w:sz w:val="32"/>
          <w:szCs w:val="32"/>
        </w:rPr>
        <w:t xml:space="preserve"> 白城市司法局公共法律服务管理科负责协调、沟通管理工作。</w:t>
      </w:r>
    </w:p>
    <w:p w14:paraId="748D7E9D">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第十六条</w:t>
      </w:r>
      <w:r>
        <w:rPr>
          <w:rFonts w:hint="eastAsia" w:ascii="仿宋" w:hAnsi="仿宋" w:eastAsia="仿宋"/>
          <w:sz w:val="32"/>
          <w:szCs w:val="32"/>
        </w:rPr>
        <w:t xml:space="preserve"> </w:t>
      </w:r>
      <w:r>
        <w:rPr>
          <w:rFonts w:ascii="仿宋" w:hAnsi="仿宋" w:eastAsia="仿宋"/>
          <w:sz w:val="32"/>
          <w:szCs w:val="32"/>
        </w:rPr>
        <w:t>白城市司法局办公室负责法律服务热线的日常维护、管理工作，保证“</w:t>
      </w:r>
      <w:r>
        <w:rPr>
          <w:rFonts w:hint="eastAsia" w:ascii="仿宋" w:hAnsi="仿宋" w:eastAsia="仿宋"/>
          <w:sz w:val="32"/>
          <w:szCs w:val="32"/>
        </w:rPr>
        <w:t>12348</w:t>
      </w:r>
      <w:r>
        <w:rPr>
          <w:rFonts w:ascii="仿宋" w:hAnsi="仿宋" w:eastAsia="仿宋"/>
          <w:sz w:val="32"/>
          <w:szCs w:val="32"/>
        </w:rPr>
        <w:t>”法律服务热线的正常运行。</w:t>
      </w:r>
      <w:r>
        <w:rPr>
          <w:rFonts w:hint="eastAsia" w:ascii="仿宋" w:hAnsi="仿宋" w:eastAsia="仿宋"/>
          <w:sz w:val="32"/>
          <w:szCs w:val="32"/>
        </w:rPr>
        <w:t>负责“12348”法律服务咨询热线的纸张、打印等日常办公用品保障。</w:t>
      </w:r>
    </w:p>
    <w:p w14:paraId="60991907">
      <w:pPr>
        <w:spacing w:line="560" w:lineRule="exact"/>
        <w:jc w:val="center"/>
        <w:rPr>
          <w:rFonts w:ascii="仿宋" w:hAnsi="仿宋" w:eastAsia="仿宋"/>
          <w:sz w:val="32"/>
          <w:szCs w:val="32"/>
        </w:rPr>
      </w:pPr>
      <w:r>
        <w:rPr>
          <w:rFonts w:hint="eastAsia" w:ascii="黑体" w:hAnsi="黑体" w:eastAsia="黑体" w:cs="仿宋_GB2312"/>
          <w:color w:val="000000"/>
          <w:kern w:val="0"/>
          <w:sz w:val="32"/>
          <w:szCs w:val="32"/>
        </w:rPr>
        <w:t>第四章 12348法律服务热线</w:t>
      </w:r>
      <w:r>
        <w:rPr>
          <w:rFonts w:hint="eastAsia" w:ascii="黑体" w:hAnsi="黑体" w:eastAsia="黑体" w:cs="黑体"/>
          <w:color w:val="000000"/>
          <w:kern w:val="0"/>
          <w:sz w:val="32"/>
          <w:szCs w:val="32"/>
        </w:rPr>
        <w:t>考核评价</w:t>
      </w:r>
    </w:p>
    <w:p w14:paraId="02E4CCF0">
      <w:pPr>
        <w:widowControl/>
        <w:spacing w:line="560" w:lineRule="exact"/>
        <w:ind w:firstLine="803" w:firstLineChars="250"/>
        <w:jc w:val="left"/>
        <w:rPr>
          <w:rFonts w:ascii="仿宋" w:hAnsi="仿宋" w:eastAsia="仿宋" w:cs="仿宋_GB2312"/>
          <w:kern w:val="0"/>
          <w:sz w:val="32"/>
          <w:szCs w:val="32"/>
        </w:rPr>
      </w:pPr>
      <w:r>
        <w:rPr>
          <w:rFonts w:hint="eastAsia" w:ascii="仿宋" w:hAnsi="仿宋" w:eastAsia="仿宋" w:cs="仿宋_GB2312"/>
          <w:b/>
          <w:bCs/>
          <w:kern w:val="0"/>
          <w:sz w:val="32"/>
          <w:szCs w:val="32"/>
        </w:rPr>
        <w:t>第十七条</w:t>
      </w:r>
      <w:r>
        <w:rPr>
          <w:rFonts w:hint="eastAsia" w:ascii="仿宋" w:hAnsi="仿宋" w:eastAsia="仿宋" w:cs="仿宋_GB2312"/>
          <w:kern w:val="0"/>
          <w:sz w:val="32"/>
          <w:szCs w:val="32"/>
        </w:rPr>
        <w:t xml:space="preserve"> </w:t>
      </w:r>
      <w:r>
        <w:rPr>
          <w:rFonts w:ascii="仿宋" w:hAnsi="仿宋" w:eastAsia="仿宋" w:cs="仿宋_GB2312"/>
          <w:kern w:val="0"/>
          <w:sz w:val="32"/>
          <w:szCs w:val="32"/>
        </w:rPr>
        <w:t>12348</w:t>
      </w:r>
      <w:r>
        <w:rPr>
          <w:rFonts w:hint="eastAsia" w:ascii="仿宋" w:hAnsi="仿宋" w:eastAsia="仿宋" w:cs="仿宋_GB2312"/>
          <w:kern w:val="0"/>
          <w:sz w:val="32"/>
          <w:szCs w:val="32"/>
        </w:rPr>
        <w:t>法律服务热线工作人员实行年度考核，</w:t>
      </w:r>
      <w:r>
        <w:rPr>
          <w:rFonts w:ascii="仿宋" w:hAnsi="仿宋" w:eastAsia="仿宋" w:cs="仿宋_GB2312"/>
          <w:kern w:val="0"/>
          <w:sz w:val="32"/>
          <w:szCs w:val="32"/>
        </w:rPr>
        <w:t>每年4月30日前</w:t>
      </w:r>
      <w:r>
        <w:rPr>
          <w:rFonts w:hint="eastAsia" w:ascii="仿宋" w:hAnsi="仿宋" w:eastAsia="仿宋" w:cs="仿宋_GB2312"/>
          <w:kern w:val="0"/>
          <w:sz w:val="32"/>
          <w:szCs w:val="32"/>
        </w:rPr>
        <w:t>由相关负责部门进行评定，最终作出评定结论</w:t>
      </w:r>
      <w:r>
        <w:rPr>
          <w:rFonts w:ascii="仿宋" w:hAnsi="仿宋" w:eastAsia="仿宋" w:cs="仿宋_GB2312"/>
          <w:kern w:val="0"/>
          <w:sz w:val="32"/>
          <w:szCs w:val="32"/>
        </w:rPr>
        <w:t>。</w:t>
      </w:r>
    </w:p>
    <w:p w14:paraId="456A7DD6">
      <w:pPr>
        <w:widowControl/>
        <w:spacing w:line="560" w:lineRule="exact"/>
        <w:ind w:firstLine="803" w:firstLineChars="250"/>
        <w:jc w:val="left"/>
        <w:rPr>
          <w:rFonts w:ascii="仿宋" w:hAnsi="仿宋" w:eastAsia="仿宋"/>
          <w:sz w:val="32"/>
          <w:szCs w:val="32"/>
        </w:rPr>
      </w:pPr>
      <w:r>
        <w:rPr>
          <w:rFonts w:hint="eastAsia" w:ascii="仿宋" w:hAnsi="仿宋" w:eastAsia="仿宋" w:cs="仿宋_GB2312"/>
          <w:b/>
          <w:bCs/>
          <w:kern w:val="0"/>
          <w:sz w:val="32"/>
          <w:szCs w:val="32"/>
        </w:rPr>
        <w:t>第十八条</w:t>
      </w:r>
      <w:r>
        <w:rPr>
          <w:rFonts w:hint="eastAsia" w:ascii="仿宋" w:hAnsi="仿宋" w:eastAsia="仿宋" w:cs="仿宋_GB2312"/>
          <w:kern w:val="0"/>
          <w:sz w:val="32"/>
          <w:szCs w:val="32"/>
        </w:rPr>
        <w:t xml:space="preserve"> </w:t>
      </w:r>
      <w:r>
        <w:rPr>
          <w:rFonts w:ascii="仿宋" w:hAnsi="仿宋" w:eastAsia="仿宋" w:cs="仿宋_GB2312"/>
          <w:kern w:val="0"/>
          <w:sz w:val="32"/>
          <w:szCs w:val="32"/>
        </w:rPr>
        <w:t>12348</w:t>
      </w:r>
      <w:r>
        <w:rPr>
          <w:rFonts w:hint="eastAsia" w:ascii="仿宋" w:hAnsi="仿宋" w:eastAsia="仿宋" w:cs="仿宋_GB2312"/>
          <w:kern w:val="0"/>
          <w:sz w:val="32"/>
          <w:szCs w:val="32"/>
        </w:rPr>
        <w:t>法律服务热线工作人员</w:t>
      </w:r>
      <w:r>
        <w:rPr>
          <w:rFonts w:ascii="仿宋" w:hAnsi="仿宋" w:eastAsia="仿宋" w:cs="仿宋_GB2312"/>
          <w:kern w:val="0"/>
          <w:sz w:val="32"/>
          <w:szCs w:val="32"/>
        </w:rPr>
        <w:t>考核结果为不合格的，由</w:t>
      </w:r>
      <w:r>
        <w:rPr>
          <w:rFonts w:hint="eastAsia" w:ascii="仿宋" w:hAnsi="仿宋" w:eastAsia="仿宋" w:cs="仿宋_GB2312"/>
          <w:kern w:val="0"/>
          <w:sz w:val="32"/>
          <w:szCs w:val="32"/>
        </w:rPr>
        <w:t>相关负责部门核定并由聘用机构</w:t>
      </w:r>
      <w:r>
        <w:rPr>
          <w:rFonts w:ascii="仿宋" w:hAnsi="仿宋" w:eastAsia="仿宋" w:cs="仿宋_GB2312"/>
          <w:kern w:val="0"/>
          <w:sz w:val="32"/>
          <w:szCs w:val="32"/>
        </w:rPr>
        <w:t>批准后不再续聘。</w:t>
      </w:r>
    </w:p>
    <w:p w14:paraId="5A384F9F">
      <w:pPr>
        <w:rPr>
          <w:rFonts w:ascii="仿宋_GB2312" w:hAnsi="华文仿宋" w:eastAsia="仿宋_GB2312"/>
          <w:sz w:val="32"/>
          <w:szCs w:val="32"/>
          <w:lang w:val="zh-CN"/>
        </w:rPr>
      </w:pPr>
      <w:r>
        <w:rPr>
          <w:rFonts w:hint="eastAsia" w:ascii="仿宋_GB2312" w:hAnsi="华文仿宋" w:eastAsia="仿宋_GB2312"/>
          <w:sz w:val="32"/>
          <w:szCs w:val="32"/>
          <w:lang w:val="zh-CN"/>
        </w:rPr>
        <w:br w:type="page"/>
      </w:r>
    </w:p>
    <w:p w14:paraId="1048C84B">
      <w:pP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    白城市司法局关爱式提醒谈话教育制度</w:t>
      </w:r>
    </w:p>
    <w:p w14:paraId="707EB034">
      <w:pPr>
        <w:spacing w:line="560" w:lineRule="exact"/>
        <w:ind w:firstLine="640" w:firstLineChars="200"/>
        <w:rPr>
          <w:rFonts w:ascii="仿宋" w:hAnsi="仿宋" w:eastAsia="仿宋"/>
          <w:sz w:val="32"/>
          <w:szCs w:val="32"/>
        </w:rPr>
      </w:pPr>
    </w:p>
    <w:p w14:paraId="6F85264D">
      <w:pPr>
        <w:spacing w:line="560" w:lineRule="exact"/>
        <w:ind w:firstLine="640" w:firstLineChars="200"/>
        <w:rPr>
          <w:rFonts w:ascii="仿宋" w:hAnsi="仿宋" w:eastAsia="仿宋"/>
          <w:sz w:val="32"/>
          <w:szCs w:val="32"/>
        </w:rPr>
      </w:pPr>
      <w:r>
        <w:rPr>
          <w:rFonts w:hint="eastAsia" w:ascii="仿宋" w:hAnsi="仿宋" w:eastAsia="仿宋"/>
          <w:sz w:val="32"/>
          <w:szCs w:val="32"/>
        </w:rPr>
        <w:t>为深入落实中央八项规定精神，坚决防止发生不廉洁行为，结合我局实际，制定关爱式谈话制度，对系统内有升学、婚庆等事宜的党员干部开展关爱式提醒谈话。</w:t>
      </w:r>
    </w:p>
    <w:p w14:paraId="292B2322">
      <w:pPr>
        <w:spacing w:line="560" w:lineRule="exact"/>
        <w:ind w:firstLine="640" w:firstLineChars="200"/>
        <w:rPr>
          <w:rFonts w:ascii="黑体" w:hAnsi="黑体" w:eastAsia="黑体"/>
          <w:sz w:val="32"/>
          <w:szCs w:val="32"/>
        </w:rPr>
      </w:pPr>
      <w:r>
        <w:rPr>
          <w:rFonts w:hint="eastAsia" w:ascii="黑体" w:hAnsi="黑体" w:eastAsia="黑体"/>
          <w:sz w:val="32"/>
          <w:szCs w:val="32"/>
        </w:rPr>
        <w:t>第一条 谈话对象：</w:t>
      </w:r>
    </w:p>
    <w:p w14:paraId="06EA7800">
      <w:pPr>
        <w:spacing w:line="560" w:lineRule="exact"/>
        <w:ind w:firstLine="640" w:firstLineChars="200"/>
        <w:rPr>
          <w:rFonts w:ascii="仿宋" w:hAnsi="仿宋" w:eastAsia="仿宋"/>
          <w:sz w:val="32"/>
          <w:szCs w:val="32"/>
        </w:rPr>
      </w:pPr>
      <w:r>
        <w:rPr>
          <w:rFonts w:hint="eastAsia" w:ascii="仿宋" w:hAnsi="仿宋" w:eastAsia="仿宋"/>
          <w:sz w:val="32"/>
          <w:szCs w:val="32"/>
        </w:rPr>
        <w:t>有升学、婚庆等事宜的党员干部。</w:t>
      </w:r>
    </w:p>
    <w:p w14:paraId="569F29E5">
      <w:pPr>
        <w:spacing w:line="560" w:lineRule="exact"/>
        <w:ind w:firstLine="640" w:firstLineChars="200"/>
        <w:rPr>
          <w:rFonts w:ascii="黑体" w:hAnsi="黑体" w:eastAsia="黑体"/>
          <w:sz w:val="32"/>
          <w:szCs w:val="32"/>
        </w:rPr>
      </w:pPr>
      <w:r>
        <w:rPr>
          <w:rFonts w:hint="eastAsia" w:ascii="黑体" w:hAnsi="黑体" w:eastAsia="黑体"/>
          <w:sz w:val="32"/>
          <w:szCs w:val="32"/>
        </w:rPr>
        <w:t>第二条 谈话内容</w:t>
      </w:r>
    </w:p>
    <w:p w14:paraId="532ADF97">
      <w:pPr>
        <w:spacing w:line="560" w:lineRule="exact"/>
        <w:ind w:firstLine="640" w:firstLineChars="200"/>
        <w:rPr>
          <w:rFonts w:ascii="仿宋" w:hAnsi="仿宋" w:eastAsia="仿宋"/>
          <w:sz w:val="32"/>
          <w:szCs w:val="32"/>
        </w:rPr>
      </w:pPr>
      <w:r>
        <w:rPr>
          <w:rFonts w:hint="eastAsia" w:ascii="楷体" w:hAnsi="楷体" w:eastAsia="楷体"/>
          <w:sz w:val="32"/>
          <w:szCs w:val="32"/>
        </w:rPr>
        <w:t>一是明确相关规定和要求。</w:t>
      </w:r>
      <w:r>
        <w:rPr>
          <w:rFonts w:hint="eastAsia" w:ascii="仿宋" w:hAnsi="仿宋" w:eastAsia="仿宋"/>
          <w:sz w:val="32"/>
          <w:szCs w:val="32"/>
        </w:rPr>
        <w:t>重申《关于严禁党员干部利用操办婚庆丧葬事宜借机敛财的暂行规定》中“五不准”的要求，严禁党员干部借升学、婚庆等事宜大操大办、设宴敛财；党员干部为子女及家庭成员操办升学等事宜，只允许小型宴请近亲属（与党员干部有直系血亲关系、三代以内旁系血亲关系及近姻亲关系的人员）；严禁采取分期分批、不同地点以近亲属名义等方式变相大操大办。</w:t>
      </w:r>
    </w:p>
    <w:p w14:paraId="1FF13145">
      <w:pPr>
        <w:spacing w:line="560" w:lineRule="exact"/>
        <w:ind w:firstLine="640" w:firstLineChars="200"/>
        <w:rPr>
          <w:rFonts w:ascii="仿宋" w:hAnsi="仿宋" w:eastAsia="仿宋"/>
          <w:sz w:val="32"/>
          <w:szCs w:val="32"/>
        </w:rPr>
      </w:pPr>
      <w:r>
        <w:rPr>
          <w:rFonts w:hint="eastAsia" w:ascii="楷体" w:hAnsi="楷体" w:eastAsia="楷体"/>
          <w:sz w:val="32"/>
          <w:szCs w:val="32"/>
        </w:rPr>
        <w:t>二是明确违反规定的后果。</w:t>
      </w:r>
      <w:r>
        <w:rPr>
          <w:rFonts w:hint="eastAsia" w:ascii="仿宋" w:hAnsi="仿宋" w:eastAsia="仿宋"/>
          <w:sz w:val="32"/>
          <w:szCs w:val="32"/>
        </w:rPr>
        <w:t>党员干部违反相关规定，操办升学婚庆等事宜、收敛钱财的，依情节轻重追究党纪政纪责任，一律点名道姓公开曝光，并追究责任。</w:t>
      </w:r>
    </w:p>
    <w:p w14:paraId="5975BD44">
      <w:pPr>
        <w:spacing w:line="560" w:lineRule="exact"/>
        <w:ind w:firstLine="640" w:firstLineChars="200"/>
        <w:rPr>
          <w:rFonts w:ascii="黑体" w:hAnsi="黑体" w:eastAsia="黑体"/>
          <w:sz w:val="32"/>
          <w:szCs w:val="32"/>
        </w:rPr>
      </w:pPr>
      <w:r>
        <w:rPr>
          <w:rFonts w:hint="eastAsia" w:ascii="黑体" w:hAnsi="黑体" w:eastAsia="黑体"/>
          <w:sz w:val="32"/>
          <w:szCs w:val="32"/>
        </w:rPr>
        <w:t>第三条 程序和方法</w:t>
      </w:r>
    </w:p>
    <w:p w14:paraId="3693386A">
      <w:pPr>
        <w:spacing w:line="560" w:lineRule="exact"/>
        <w:ind w:firstLine="640" w:firstLineChars="200"/>
        <w:rPr>
          <w:rFonts w:ascii="仿宋" w:hAnsi="仿宋" w:eastAsia="仿宋"/>
          <w:sz w:val="32"/>
          <w:szCs w:val="32"/>
        </w:rPr>
      </w:pPr>
      <w:r>
        <w:rPr>
          <w:rFonts w:hint="eastAsia" w:ascii="楷体" w:hAnsi="楷体" w:eastAsia="楷体"/>
          <w:sz w:val="32"/>
          <w:szCs w:val="32"/>
        </w:rPr>
        <w:t>一要登记造册。</w:t>
      </w:r>
      <w:r>
        <w:rPr>
          <w:rFonts w:hint="eastAsia" w:ascii="仿宋" w:hAnsi="仿宋" w:eastAsia="仿宋"/>
          <w:sz w:val="32"/>
          <w:szCs w:val="32"/>
        </w:rPr>
        <w:t>党员干部办理升序、婚庆等事宜，实行报告制度。各科室、直属单位对报告情况要及时登记造册，并通过调查、全面了解情况，防止发生漏报、不及时报告等问题。</w:t>
      </w:r>
    </w:p>
    <w:p w14:paraId="1CFE5896">
      <w:pPr>
        <w:spacing w:line="560" w:lineRule="exact"/>
        <w:ind w:firstLine="640" w:firstLineChars="200"/>
        <w:rPr>
          <w:rFonts w:ascii="仿宋" w:hAnsi="仿宋" w:eastAsia="仿宋"/>
          <w:sz w:val="32"/>
          <w:szCs w:val="32"/>
        </w:rPr>
      </w:pPr>
      <w:r>
        <w:rPr>
          <w:rFonts w:hint="eastAsia" w:ascii="楷体" w:hAnsi="楷体" w:eastAsia="楷体"/>
          <w:sz w:val="32"/>
          <w:szCs w:val="32"/>
        </w:rPr>
        <w:t>二要谈话提醒。</w:t>
      </w:r>
      <w:r>
        <w:rPr>
          <w:rFonts w:hint="eastAsia" w:ascii="仿宋" w:hAnsi="仿宋" w:eastAsia="仿宋"/>
          <w:sz w:val="32"/>
          <w:szCs w:val="32"/>
        </w:rPr>
        <w:t>谈话可以采取个别谈话或集体谈话的方式进行。对谈话开展情况，要做好记录。</w:t>
      </w:r>
    </w:p>
    <w:p w14:paraId="219B3CD2">
      <w:pPr>
        <w:spacing w:line="560" w:lineRule="exact"/>
        <w:ind w:firstLine="640" w:firstLineChars="200"/>
        <w:rPr>
          <w:rFonts w:ascii="仿宋" w:hAnsi="仿宋" w:eastAsia="仿宋"/>
          <w:sz w:val="32"/>
          <w:szCs w:val="32"/>
        </w:rPr>
      </w:pPr>
      <w:r>
        <w:rPr>
          <w:rFonts w:hint="eastAsia" w:ascii="楷体" w:hAnsi="楷体" w:eastAsia="楷体"/>
          <w:sz w:val="32"/>
          <w:szCs w:val="32"/>
        </w:rPr>
        <w:t>三要签字备案。</w:t>
      </w:r>
      <w:r>
        <w:rPr>
          <w:rFonts w:hint="eastAsia" w:ascii="仿宋" w:hAnsi="仿宋" w:eastAsia="仿宋"/>
          <w:sz w:val="32"/>
          <w:szCs w:val="32"/>
        </w:rPr>
        <w:t>接受谈话提醒的党员干部要签订廉洁办理升学婚庆等事宜的承诺书，由局机关纪检工作人员留存备案。</w:t>
      </w:r>
    </w:p>
    <w:p w14:paraId="3174BD6F">
      <w:pPr>
        <w:rPr>
          <w:rFonts w:ascii="仿宋" w:hAnsi="仿宋" w:eastAsia="仿宋"/>
          <w:sz w:val="32"/>
          <w:szCs w:val="32"/>
        </w:rPr>
      </w:pPr>
      <w:r>
        <w:rPr>
          <w:rFonts w:ascii="仿宋" w:hAnsi="仿宋" w:eastAsia="仿宋"/>
          <w:sz w:val="32"/>
          <w:szCs w:val="32"/>
        </w:rPr>
        <w:br w:type="page"/>
      </w:r>
    </w:p>
    <w:p w14:paraId="2595D568">
      <w:pPr>
        <w:snapToGrid w:val="0"/>
        <w:spacing w:line="56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白城市司法局局长办公会议事规则</w:t>
      </w:r>
    </w:p>
    <w:p w14:paraId="0F4E3032">
      <w:pPr>
        <w:snapToGrid w:val="0"/>
        <w:spacing w:line="560" w:lineRule="exact"/>
        <w:ind w:firstLine="1044" w:firstLineChars="200"/>
        <w:jc w:val="center"/>
        <w:rPr>
          <w:rFonts w:ascii="仿宋" w:hAnsi="仿宋" w:eastAsia="仿宋" w:cs="仿宋"/>
          <w:b/>
          <w:bCs/>
          <w:sz w:val="52"/>
          <w:szCs w:val="52"/>
        </w:rPr>
      </w:pPr>
    </w:p>
    <w:p w14:paraId="0283C534">
      <w:pPr>
        <w:pStyle w:val="7"/>
        <w:shd w:val="clear" w:color="auto" w:fill="FFFFFF"/>
        <w:snapToGrid w:val="0"/>
        <w:spacing w:before="0" w:beforeAutospacing="0" w:after="0" w:afterAutospacing="0" w:line="560" w:lineRule="exact"/>
        <w:ind w:firstLine="640" w:firstLineChars="200"/>
        <w:jc w:val="both"/>
        <w:rPr>
          <w:rFonts w:ascii="仿宋_GB2312" w:hAnsi="微软雅黑" w:eastAsia="仿宋_GB2312" w:cs="仿宋_GB2312"/>
          <w:color w:val="333333"/>
          <w:sz w:val="32"/>
          <w:szCs w:val="32"/>
          <w:shd w:val="clear" w:color="auto" w:fill="FFFFFF"/>
        </w:rPr>
      </w:pPr>
      <w:r>
        <w:rPr>
          <w:rFonts w:hint="eastAsia" w:ascii="黑体" w:hAnsi="微软雅黑" w:eastAsia="黑体" w:cs="仿宋_GB2312"/>
          <w:color w:val="333333"/>
          <w:sz w:val="32"/>
          <w:szCs w:val="32"/>
          <w:shd w:val="clear" w:color="auto" w:fill="FFFFFF"/>
        </w:rPr>
        <w:t>第一条</w:t>
      </w:r>
      <w:r>
        <w:rPr>
          <w:rFonts w:ascii="黑体" w:hAnsi="微软雅黑" w:eastAsia="黑体" w:cs="仿宋_GB2312"/>
          <w:color w:val="333333"/>
          <w:sz w:val="32"/>
          <w:szCs w:val="32"/>
          <w:shd w:val="clear" w:color="auto" w:fill="FFFFFF"/>
        </w:rPr>
        <w:t xml:space="preserve"> </w:t>
      </w:r>
      <w:r>
        <w:rPr>
          <w:rFonts w:hint="eastAsia" w:ascii="仿宋_GB2312" w:hAnsi="微软雅黑" w:eastAsia="仿宋_GB2312" w:cs="仿宋_GB2312"/>
          <w:color w:val="333333"/>
          <w:sz w:val="32"/>
          <w:szCs w:val="32"/>
          <w:shd w:val="clear" w:color="auto" w:fill="FFFFFF"/>
        </w:rPr>
        <w:t>为进一步推进局长办公会议制度化、规范化，提高科学决策、民主决策、依法决策的能力，提升工作效率，推动各项工作有序开展，根据有关规定，结合司法行政工作实际，特制定本议事规则。</w:t>
      </w:r>
    </w:p>
    <w:p w14:paraId="294E86D6">
      <w:pPr>
        <w:pStyle w:val="7"/>
        <w:shd w:val="clear" w:color="auto" w:fill="FFFFFF"/>
        <w:snapToGrid w:val="0"/>
        <w:spacing w:before="0" w:beforeAutospacing="0" w:after="0" w:afterAutospacing="0" w:line="560" w:lineRule="exact"/>
        <w:ind w:firstLine="640" w:firstLineChars="200"/>
        <w:jc w:val="both"/>
        <w:rPr>
          <w:rFonts w:ascii="黑体" w:hAnsi="微软雅黑" w:eastAsia="黑体" w:cs="仿宋_GB2312"/>
          <w:color w:val="333333"/>
          <w:sz w:val="32"/>
          <w:szCs w:val="32"/>
          <w:shd w:val="clear" w:color="auto" w:fill="FFFFFF"/>
        </w:rPr>
      </w:pPr>
      <w:r>
        <w:rPr>
          <w:rFonts w:hint="eastAsia" w:ascii="黑体" w:hAnsi="微软雅黑" w:eastAsia="黑体" w:cs="仿宋_GB2312"/>
          <w:color w:val="333333"/>
          <w:sz w:val="32"/>
          <w:szCs w:val="32"/>
          <w:shd w:val="clear" w:color="auto" w:fill="FFFFFF"/>
        </w:rPr>
        <w:t>第二条</w:t>
      </w:r>
      <w:r>
        <w:rPr>
          <w:rFonts w:ascii="黑体" w:hAnsi="微软雅黑" w:eastAsia="黑体" w:cs="仿宋_GB2312"/>
          <w:color w:val="333333"/>
          <w:sz w:val="32"/>
          <w:szCs w:val="32"/>
          <w:shd w:val="clear" w:color="auto" w:fill="FFFFFF"/>
        </w:rPr>
        <w:t xml:space="preserve"> </w:t>
      </w:r>
      <w:r>
        <w:rPr>
          <w:rFonts w:hint="eastAsia" w:ascii="黑体" w:hAnsi="微软雅黑" w:eastAsia="黑体" w:cs="仿宋_GB2312"/>
          <w:color w:val="333333"/>
          <w:sz w:val="32"/>
          <w:szCs w:val="32"/>
          <w:shd w:val="clear" w:color="auto" w:fill="FFFFFF"/>
        </w:rPr>
        <w:t>议事范围</w:t>
      </w:r>
    </w:p>
    <w:p w14:paraId="3E4BE549">
      <w:pPr>
        <w:pStyle w:val="7"/>
        <w:snapToGrid w:val="0"/>
        <w:spacing w:before="0" w:beforeAutospacing="0" w:after="0" w:afterAutospacing="0" w:line="560" w:lineRule="exact"/>
        <w:ind w:firstLine="640" w:firstLineChars="200"/>
        <w:jc w:val="both"/>
        <w:rPr>
          <w:rFonts w:ascii="仿宋_GB2312" w:eastAsia="仿宋_GB2312"/>
        </w:rPr>
      </w:pPr>
      <w:r>
        <w:rPr>
          <w:rFonts w:hint="eastAsia" w:ascii="仿宋_GB2312" w:hAnsi="微软雅黑" w:eastAsia="仿宋_GB2312" w:cs="仿宋_GB2312"/>
          <w:color w:val="333333"/>
          <w:sz w:val="32"/>
          <w:szCs w:val="32"/>
        </w:rPr>
        <w:t>（一）传达中央、省、市以及上级主管部门重要决定、重要会议精神，研究部署贯彻落实意见。</w:t>
      </w:r>
    </w:p>
    <w:p w14:paraId="552B6CFE">
      <w:pPr>
        <w:pStyle w:val="7"/>
        <w:snapToGrid w:val="0"/>
        <w:spacing w:before="0" w:beforeAutospacing="0" w:after="0" w:afterAutospacing="0" w:line="560" w:lineRule="exact"/>
        <w:ind w:firstLine="640" w:firstLineChars="200"/>
        <w:jc w:val="both"/>
        <w:rPr>
          <w:rFonts w:ascii="仿宋_GB2312" w:hAnsi="微软雅黑" w:eastAsia="仿宋_GB2312" w:cs="仿宋_GB2312"/>
          <w:color w:val="333333"/>
          <w:sz w:val="32"/>
          <w:szCs w:val="32"/>
        </w:rPr>
      </w:pPr>
      <w:r>
        <w:rPr>
          <w:rFonts w:hint="eastAsia" w:ascii="仿宋_GB2312" w:hAnsi="微软雅黑" w:eastAsia="仿宋_GB2312" w:cs="仿宋_GB2312"/>
          <w:color w:val="333333"/>
          <w:sz w:val="32"/>
          <w:szCs w:val="32"/>
        </w:rPr>
        <w:t>（二）研究年度工作要点、重点工作任务分解、年度工作总结；专项工作实施意见；协调解决各项工作在推进过程中遇到的难点问题。</w:t>
      </w:r>
    </w:p>
    <w:p w14:paraId="1D2B6EB7">
      <w:pPr>
        <w:pStyle w:val="7"/>
        <w:snapToGrid w:val="0"/>
        <w:spacing w:before="0" w:beforeAutospacing="0" w:after="0" w:afterAutospacing="0" w:line="560" w:lineRule="exact"/>
        <w:ind w:firstLine="640" w:firstLineChars="200"/>
        <w:jc w:val="both"/>
        <w:rPr>
          <w:rFonts w:ascii="仿宋_GB2312" w:hAnsi="微软雅黑" w:eastAsia="仿宋_GB2312" w:cs="仿宋_GB2312"/>
          <w:color w:val="333333"/>
          <w:sz w:val="32"/>
          <w:szCs w:val="32"/>
        </w:rPr>
      </w:pPr>
      <w:r>
        <w:rPr>
          <w:rFonts w:hint="eastAsia" w:ascii="仿宋_GB2312" w:hAnsi="微软雅黑" w:eastAsia="仿宋_GB2312" w:cs="仿宋_GB2312"/>
          <w:color w:val="333333"/>
          <w:sz w:val="32"/>
          <w:szCs w:val="32"/>
        </w:rPr>
        <w:t>（三）制定重大改革措施和管理办法。</w:t>
      </w:r>
    </w:p>
    <w:p w14:paraId="427A89FC">
      <w:pPr>
        <w:pStyle w:val="7"/>
        <w:snapToGrid w:val="0"/>
        <w:spacing w:before="0" w:beforeAutospacing="0" w:after="0" w:afterAutospacing="0" w:line="560" w:lineRule="exact"/>
        <w:ind w:firstLine="640" w:firstLineChars="200"/>
        <w:jc w:val="both"/>
        <w:rPr>
          <w:rFonts w:ascii="仿宋_GB2312" w:hAnsi="微软雅黑" w:eastAsia="仿宋_GB2312" w:cs="仿宋_GB2312"/>
          <w:color w:val="333333"/>
          <w:sz w:val="32"/>
          <w:szCs w:val="32"/>
          <w:u w:val="single"/>
        </w:rPr>
      </w:pPr>
      <w:r>
        <w:rPr>
          <w:rFonts w:hint="eastAsia" w:ascii="仿宋_GB2312" w:hAnsi="微软雅黑" w:eastAsia="仿宋_GB2312" w:cs="仿宋_GB2312"/>
          <w:color w:val="333333"/>
          <w:sz w:val="32"/>
          <w:szCs w:val="32"/>
        </w:rPr>
        <w:t>（四）审议和审定以行政名义发布的涉及全局行政工作的政策性文件及上报主管部门的重要文件。</w:t>
      </w:r>
    </w:p>
    <w:p w14:paraId="2B1895A7">
      <w:pPr>
        <w:pStyle w:val="7"/>
        <w:wordWrap w:val="0"/>
        <w:spacing w:before="0" w:beforeAutospacing="0" w:after="0" w:afterAutospacing="0" w:line="560" w:lineRule="exact"/>
        <w:ind w:firstLine="640" w:firstLineChars="200"/>
        <w:jc w:val="both"/>
        <w:rPr>
          <w:rFonts w:ascii="仿宋_GB2312" w:hAnsi="微软雅黑" w:eastAsia="仿宋_GB2312" w:cs="仿宋_GB2312"/>
          <w:color w:val="333333"/>
          <w:sz w:val="32"/>
          <w:szCs w:val="32"/>
        </w:rPr>
      </w:pPr>
      <w:r>
        <w:rPr>
          <w:rFonts w:hint="eastAsia" w:ascii="仿宋_GB2312" w:hAnsi="微软雅黑" w:eastAsia="仿宋_GB2312" w:cs="仿宋_GB2312"/>
          <w:color w:val="333333"/>
          <w:sz w:val="32"/>
          <w:szCs w:val="32"/>
        </w:rPr>
        <w:t>（五）研究讨论业务性行政规章制度及落实措施。</w:t>
      </w:r>
    </w:p>
    <w:p w14:paraId="4BA7B06A">
      <w:pPr>
        <w:pStyle w:val="7"/>
        <w:snapToGrid w:val="0"/>
        <w:spacing w:before="0" w:beforeAutospacing="0" w:after="0" w:afterAutospacing="0" w:line="560" w:lineRule="exact"/>
        <w:ind w:firstLine="640" w:firstLineChars="200"/>
        <w:jc w:val="both"/>
        <w:rPr>
          <w:rFonts w:ascii="仿宋_GB2312" w:hAnsi="微软雅黑" w:eastAsia="仿宋_GB2312" w:cs="仿宋_GB2312"/>
          <w:color w:val="333333"/>
          <w:sz w:val="32"/>
          <w:szCs w:val="32"/>
        </w:rPr>
      </w:pPr>
      <w:r>
        <w:rPr>
          <w:rFonts w:hint="eastAsia" w:ascii="仿宋_GB2312" w:hAnsi="微软雅黑" w:eastAsia="仿宋_GB2312" w:cs="仿宋_GB2312"/>
          <w:color w:val="333333"/>
          <w:sz w:val="32"/>
          <w:szCs w:val="32"/>
        </w:rPr>
        <w:t>（六）审议局财务预决算，提出经费使用和分配方案；审议重要资金投入、使用问题。并将审议结果提交局党组会议审定。</w:t>
      </w:r>
    </w:p>
    <w:p w14:paraId="77F7DF0A">
      <w:pPr>
        <w:pStyle w:val="7"/>
        <w:snapToGrid w:val="0"/>
        <w:spacing w:before="0" w:beforeAutospacing="0" w:after="0" w:afterAutospacing="0" w:line="560" w:lineRule="exact"/>
        <w:ind w:firstLine="640" w:firstLineChars="200"/>
        <w:jc w:val="both"/>
        <w:rPr>
          <w:rFonts w:ascii="仿宋_GB2312" w:hAnsi="微软雅黑" w:eastAsia="仿宋_GB2312" w:cs="仿宋_GB2312"/>
          <w:color w:val="333333"/>
          <w:sz w:val="32"/>
          <w:szCs w:val="32"/>
        </w:rPr>
      </w:pPr>
      <w:r>
        <w:rPr>
          <w:rFonts w:hint="eastAsia" w:ascii="仿宋_GB2312" w:hAnsi="微软雅黑" w:eastAsia="仿宋_GB2312" w:cs="仿宋_GB2312"/>
          <w:color w:val="333333"/>
          <w:sz w:val="32"/>
          <w:szCs w:val="32"/>
        </w:rPr>
        <w:t>（七）审议基础设施建设工作，并将审议结果提交局党组会议审定。</w:t>
      </w:r>
    </w:p>
    <w:p w14:paraId="4106B20E">
      <w:pPr>
        <w:pStyle w:val="7"/>
        <w:snapToGrid w:val="0"/>
        <w:spacing w:before="0" w:beforeAutospacing="0" w:after="0" w:afterAutospacing="0" w:line="560" w:lineRule="exact"/>
        <w:ind w:firstLine="640" w:firstLineChars="200"/>
        <w:jc w:val="both"/>
        <w:rPr>
          <w:rFonts w:ascii="仿宋_GB2312" w:hAnsi="微软雅黑" w:eastAsia="仿宋_GB2312" w:cs="仿宋_GB2312"/>
          <w:color w:val="333333"/>
          <w:sz w:val="32"/>
          <w:szCs w:val="32"/>
        </w:rPr>
      </w:pPr>
      <w:r>
        <w:rPr>
          <w:rFonts w:hint="eastAsia" w:ascii="仿宋_GB2312" w:hAnsi="微软雅黑" w:eastAsia="仿宋_GB2312" w:cs="仿宋_GB2312"/>
          <w:color w:val="333333"/>
          <w:sz w:val="32"/>
          <w:szCs w:val="32"/>
        </w:rPr>
        <w:t>（八）研究处理突发事件应急预案。</w:t>
      </w:r>
    </w:p>
    <w:p w14:paraId="03FE07B4">
      <w:pPr>
        <w:pStyle w:val="7"/>
        <w:snapToGrid w:val="0"/>
        <w:spacing w:before="0" w:beforeAutospacing="0" w:after="0" w:afterAutospacing="0" w:line="560" w:lineRule="exact"/>
        <w:ind w:firstLine="640" w:firstLineChars="200"/>
        <w:jc w:val="both"/>
        <w:rPr>
          <w:rFonts w:ascii="仿宋_GB2312" w:hAnsi="微软雅黑" w:eastAsia="仿宋_GB2312" w:cs="仿宋_GB2312"/>
          <w:color w:val="333333"/>
          <w:sz w:val="32"/>
          <w:szCs w:val="32"/>
        </w:rPr>
      </w:pPr>
      <w:r>
        <w:rPr>
          <w:rFonts w:hint="eastAsia" w:ascii="仿宋_GB2312" w:hAnsi="微软雅黑" w:eastAsia="仿宋_GB2312" w:cs="仿宋_GB2312"/>
          <w:color w:val="333333"/>
          <w:sz w:val="32"/>
          <w:szCs w:val="32"/>
        </w:rPr>
        <w:t>（九）贯彻落实局党组会议决定，通报相关工作执行情况。</w:t>
      </w:r>
    </w:p>
    <w:p w14:paraId="1778EC95">
      <w:pPr>
        <w:pStyle w:val="7"/>
        <w:snapToGrid w:val="0"/>
        <w:spacing w:before="0" w:beforeAutospacing="0" w:after="0" w:afterAutospacing="0" w:line="560" w:lineRule="exact"/>
        <w:ind w:firstLine="640" w:firstLineChars="200"/>
        <w:jc w:val="both"/>
        <w:rPr>
          <w:rFonts w:ascii="仿宋_GB2312" w:hAnsi="微软雅黑" w:eastAsia="仿宋_GB2312" w:cs="仿宋_GB2312"/>
          <w:color w:val="333333"/>
          <w:sz w:val="32"/>
          <w:szCs w:val="32"/>
        </w:rPr>
      </w:pPr>
      <w:r>
        <w:rPr>
          <w:rFonts w:hint="eastAsia" w:ascii="仿宋_GB2312" w:hAnsi="微软雅黑" w:eastAsia="仿宋_GB2312" w:cs="仿宋_GB2312"/>
          <w:color w:val="333333"/>
          <w:sz w:val="32"/>
          <w:szCs w:val="32"/>
        </w:rPr>
        <w:t>（十）应由局长办公会议研究决定的其他事项。</w:t>
      </w:r>
    </w:p>
    <w:p w14:paraId="5B4D05FF">
      <w:pPr>
        <w:pStyle w:val="7"/>
        <w:shd w:val="clear" w:color="auto" w:fill="FFFFFF"/>
        <w:snapToGrid w:val="0"/>
        <w:spacing w:before="0" w:beforeAutospacing="0" w:after="0" w:afterAutospacing="0" w:line="560" w:lineRule="exact"/>
        <w:ind w:firstLine="640" w:firstLineChars="200"/>
        <w:jc w:val="both"/>
        <w:rPr>
          <w:rFonts w:ascii="黑体" w:hAnsi="微软雅黑" w:eastAsia="黑体" w:cs="仿宋_GB2312"/>
          <w:color w:val="333333"/>
          <w:sz w:val="32"/>
          <w:szCs w:val="32"/>
          <w:shd w:val="clear" w:color="auto" w:fill="FFFFFF"/>
        </w:rPr>
      </w:pPr>
      <w:r>
        <w:rPr>
          <w:rFonts w:hint="eastAsia" w:ascii="黑体" w:hAnsi="微软雅黑" w:eastAsia="黑体" w:cs="仿宋_GB2312"/>
          <w:color w:val="333333"/>
          <w:sz w:val="32"/>
          <w:szCs w:val="32"/>
          <w:shd w:val="clear" w:color="auto" w:fill="FFFFFF"/>
        </w:rPr>
        <w:t>第三条</w:t>
      </w:r>
      <w:r>
        <w:rPr>
          <w:rFonts w:ascii="黑体" w:hAnsi="微软雅黑" w:eastAsia="黑体" w:cs="仿宋_GB2312"/>
          <w:color w:val="333333"/>
          <w:sz w:val="32"/>
          <w:szCs w:val="32"/>
          <w:shd w:val="clear" w:color="auto" w:fill="FFFFFF"/>
        </w:rPr>
        <w:t xml:space="preserve"> </w:t>
      </w:r>
      <w:r>
        <w:rPr>
          <w:rFonts w:hint="eastAsia" w:ascii="黑体" w:hAnsi="微软雅黑" w:eastAsia="黑体" w:cs="仿宋_GB2312"/>
          <w:color w:val="333333"/>
          <w:sz w:val="32"/>
          <w:szCs w:val="32"/>
          <w:shd w:val="clear" w:color="auto" w:fill="FFFFFF"/>
        </w:rPr>
        <w:t>议事原则</w:t>
      </w:r>
    </w:p>
    <w:p w14:paraId="26D2FC8C">
      <w:pPr>
        <w:pStyle w:val="7"/>
        <w:shd w:val="clear" w:color="auto" w:fill="FFFFFF"/>
        <w:snapToGrid w:val="0"/>
        <w:spacing w:before="0" w:beforeAutospacing="0" w:after="0" w:afterAutospacing="0" w:line="560" w:lineRule="exact"/>
        <w:ind w:firstLine="640" w:firstLineChars="200"/>
        <w:jc w:val="both"/>
        <w:rPr>
          <w:rFonts w:ascii="仿宋_GB2312" w:hAnsi="微软雅黑" w:eastAsia="仿宋_GB2312" w:cs="仿宋_GB2312"/>
          <w:color w:val="333333"/>
          <w:sz w:val="32"/>
          <w:szCs w:val="32"/>
          <w:shd w:val="clear" w:color="auto" w:fill="FFFFFF"/>
        </w:rPr>
      </w:pPr>
      <w:r>
        <w:rPr>
          <w:rFonts w:hint="eastAsia" w:ascii="仿宋_GB2312" w:hAnsi="微软雅黑" w:eastAsia="仿宋_GB2312" w:cs="仿宋_GB2312"/>
          <w:color w:val="333333"/>
          <w:sz w:val="32"/>
          <w:szCs w:val="32"/>
          <w:shd w:val="clear" w:color="auto" w:fill="FFFFFF"/>
        </w:rPr>
        <w:t>严格遵循“集体领导、民主集中、充分讨论、会议决定”的原则，实行局长负责制。会议由局长主持召开，局长不能参加时，局长可委托副局长主持召开。</w:t>
      </w:r>
    </w:p>
    <w:p w14:paraId="695A599B">
      <w:pPr>
        <w:pStyle w:val="7"/>
        <w:shd w:val="clear" w:color="auto" w:fill="FFFFFF"/>
        <w:snapToGrid w:val="0"/>
        <w:spacing w:before="0" w:beforeAutospacing="0" w:after="0" w:afterAutospacing="0" w:line="560" w:lineRule="exact"/>
        <w:ind w:firstLine="640" w:firstLineChars="200"/>
        <w:jc w:val="both"/>
        <w:rPr>
          <w:rFonts w:ascii="黑体" w:hAnsi="微软雅黑" w:eastAsia="黑体" w:cs="仿宋_GB2312"/>
          <w:color w:val="333333"/>
          <w:sz w:val="32"/>
          <w:szCs w:val="32"/>
          <w:shd w:val="clear" w:color="auto" w:fill="FFFFFF"/>
        </w:rPr>
      </w:pPr>
      <w:r>
        <w:rPr>
          <w:rFonts w:hint="eastAsia" w:ascii="黑体" w:hAnsi="微软雅黑" w:eastAsia="黑体" w:cs="仿宋_GB2312"/>
          <w:color w:val="333333"/>
          <w:sz w:val="32"/>
          <w:szCs w:val="32"/>
          <w:shd w:val="clear" w:color="auto" w:fill="FFFFFF"/>
        </w:rPr>
        <w:t>第四条</w:t>
      </w:r>
      <w:r>
        <w:rPr>
          <w:rFonts w:ascii="黑体" w:hAnsi="微软雅黑" w:eastAsia="黑体" w:cs="仿宋_GB2312"/>
          <w:color w:val="333333"/>
          <w:sz w:val="32"/>
          <w:szCs w:val="32"/>
          <w:shd w:val="clear" w:color="auto" w:fill="FFFFFF"/>
        </w:rPr>
        <w:t xml:space="preserve"> </w:t>
      </w:r>
      <w:r>
        <w:rPr>
          <w:rFonts w:hint="eastAsia" w:ascii="黑体" w:hAnsi="微软雅黑" w:eastAsia="黑体" w:cs="仿宋_GB2312"/>
          <w:color w:val="333333"/>
          <w:sz w:val="32"/>
          <w:szCs w:val="32"/>
          <w:shd w:val="clear" w:color="auto" w:fill="FFFFFF"/>
        </w:rPr>
        <w:t>人员组成</w:t>
      </w:r>
    </w:p>
    <w:p w14:paraId="2EBD3A82">
      <w:pPr>
        <w:pStyle w:val="7"/>
        <w:shd w:val="clear" w:color="auto" w:fill="FFFFFF"/>
        <w:snapToGrid w:val="0"/>
        <w:spacing w:before="0" w:beforeAutospacing="0" w:after="0" w:afterAutospacing="0" w:line="560" w:lineRule="exact"/>
        <w:ind w:firstLine="640" w:firstLineChars="200"/>
        <w:jc w:val="both"/>
        <w:rPr>
          <w:rFonts w:ascii="仿宋_GB2312" w:hAnsi="微软雅黑" w:eastAsia="仿宋_GB2312" w:cs="仿宋_GB2312"/>
          <w:color w:val="333333"/>
          <w:sz w:val="32"/>
          <w:szCs w:val="32"/>
          <w:shd w:val="clear" w:color="auto" w:fill="FFFFFF"/>
        </w:rPr>
      </w:pPr>
      <w:r>
        <w:rPr>
          <w:rFonts w:hint="eastAsia" w:ascii="仿宋_GB2312" w:hAnsi="微软雅黑" w:eastAsia="仿宋_GB2312" w:cs="仿宋_GB2312"/>
          <w:color w:val="333333"/>
          <w:sz w:val="32"/>
          <w:szCs w:val="32"/>
          <w:shd w:val="clear" w:color="auto" w:fill="FFFFFF"/>
        </w:rPr>
        <w:t>会议由局长、副局长、戒毒所主要负责人参加；</w:t>
      </w:r>
      <w:r>
        <w:rPr>
          <w:rFonts w:hint="eastAsia" w:ascii="仿宋_GB2312" w:eastAsia="仿宋_GB2312"/>
          <w:color w:val="000000"/>
          <w:sz w:val="32"/>
          <w:szCs w:val="32"/>
        </w:rPr>
        <w:t>处级非领导职务干部根据议题的需要列席，办公室主任</w:t>
      </w:r>
      <w:r>
        <w:rPr>
          <w:rFonts w:hint="eastAsia" w:ascii="仿宋_GB2312" w:hAnsi="微软雅黑" w:eastAsia="仿宋_GB2312" w:cs="仿宋_GB2312"/>
          <w:color w:val="333333"/>
          <w:sz w:val="32"/>
          <w:szCs w:val="32"/>
          <w:shd w:val="clear" w:color="auto" w:fill="FFFFFF"/>
        </w:rPr>
        <w:t>列席，根据工作需要由召集人确定其他列席人员。因故不能出席的，应向会议召集人请假。</w:t>
      </w:r>
    </w:p>
    <w:p w14:paraId="595D0A7F">
      <w:pPr>
        <w:pStyle w:val="7"/>
        <w:shd w:val="clear" w:color="auto" w:fill="FFFFFF"/>
        <w:snapToGrid w:val="0"/>
        <w:spacing w:before="0" w:beforeAutospacing="0" w:after="0" w:afterAutospacing="0" w:line="560" w:lineRule="exact"/>
        <w:ind w:firstLine="640" w:firstLineChars="200"/>
        <w:jc w:val="both"/>
        <w:rPr>
          <w:rFonts w:ascii="黑体" w:hAnsi="微软雅黑" w:eastAsia="黑体" w:cs="仿宋_GB2312"/>
          <w:color w:val="333333"/>
          <w:sz w:val="32"/>
          <w:szCs w:val="32"/>
          <w:shd w:val="clear" w:color="auto" w:fill="FFFFFF"/>
        </w:rPr>
      </w:pPr>
      <w:r>
        <w:rPr>
          <w:rFonts w:hint="eastAsia" w:ascii="黑体" w:hAnsi="微软雅黑" w:eastAsia="黑体" w:cs="仿宋_GB2312"/>
          <w:color w:val="333333"/>
          <w:sz w:val="32"/>
          <w:szCs w:val="32"/>
          <w:shd w:val="clear" w:color="auto" w:fill="FFFFFF"/>
        </w:rPr>
        <w:t>第五条</w:t>
      </w:r>
      <w:r>
        <w:rPr>
          <w:rFonts w:ascii="黑体" w:hAnsi="微软雅黑" w:eastAsia="黑体" w:cs="仿宋_GB2312"/>
          <w:color w:val="333333"/>
          <w:sz w:val="32"/>
          <w:szCs w:val="32"/>
          <w:shd w:val="clear" w:color="auto" w:fill="FFFFFF"/>
        </w:rPr>
        <w:t xml:space="preserve"> </w:t>
      </w:r>
      <w:r>
        <w:rPr>
          <w:rFonts w:hint="eastAsia" w:ascii="黑体" w:hAnsi="微软雅黑" w:eastAsia="黑体" w:cs="仿宋_GB2312"/>
          <w:color w:val="333333"/>
          <w:sz w:val="32"/>
          <w:szCs w:val="32"/>
          <w:shd w:val="clear" w:color="auto" w:fill="FFFFFF"/>
        </w:rPr>
        <w:t>议事时间</w:t>
      </w:r>
    </w:p>
    <w:p w14:paraId="35C03D77">
      <w:pPr>
        <w:pStyle w:val="7"/>
        <w:shd w:val="clear" w:color="auto" w:fill="FFFFFF"/>
        <w:snapToGrid w:val="0"/>
        <w:spacing w:before="0" w:beforeAutospacing="0" w:after="0" w:afterAutospacing="0" w:line="560" w:lineRule="exact"/>
        <w:ind w:firstLine="640" w:firstLineChars="200"/>
        <w:jc w:val="both"/>
        <w:rPr>
          <w:rFonts w:ascii="仿宋_GB2312" w:hAnsi="微软雅黑" w:eastAsia="仿宋_GB2312" w:cs="仿宋_GB2312"/>
          <w:color w:val="333333"/>
          <w:sz w:val="32"/>
          <w:szCs w:val="32"/>
          <w:shd w:val="clear" w:color="auto" w:fill="FFFFFF"/>
        </w:rPr>
      </w:pPr>
      <w:r>
        <w:rPr>
          <w:rFonts w:hint="eastAsia" w:ascii="仿宋_GB2312" w:hAnsi="微软雅黑" w:eastAsia="仿宋_GB2312" w:cs="仿宋_GB2312"/>
          <w:color w:val="333333"/>
          <w:sz w:val="32"/>
          <w:szCs w:val="32"/>
          <w:shd w:val="clear" w:color="auto" w:fill="FFFFFF"/>
        </w:rPr>
        <w:t>局长办公会议原则上每月召开一次。根据需要经局长同意可随时召开。</w:t>
      </w:r>
    </w:p>
    <w:p w14:paraId="71FF728F">
      <w:pPr>
        <w:pStyle w:val="7"/>
        <w:shd w:val="clear" w:color="auto" w:fill="FFFFFF"/>
        <w:snapToGrid w:val="0"/>
        <w:spacing w:before="0" w:beforeAutospacing="0" w:after="0" w:afterAutospacing="0" w:line="560" w:lineRule="exact"/>
        <w:ind w:firstLine="640" w:firstLineChars="200"/>
        <w:jc w:val="both"/>
        <w:rPr>
          <w:rFonts w:ascii="黑体" w:hAnsi="微软雅黑" w:eastAsia="黑体" w:cs="仿宋_GB2312"/>
          <w:color w:val="333333"/>
          <w:sz w:val="32"/>
          <w:szCs w:val="32"/>
          <w:shd w:val="clear" w:color="auto" w:fill="FFFFFF"/>
        </w:rPr>
      </w:pPr>
      <w:r>
        <w:rPr>
          <w:rFonts w:hint="eastAsia" w:ascii="黑体" w:hAnsi="微软雅黑" w:eastAsia="黑体" w:cs="仿宋_GB2312"/>
          <w:color w:val="333333"/>
          <w:sz w:val="32"/>
          <w:szCs w:val="32"/>
          <w:shd w:val="clear" w:color="auto" w:fill="FFFFFF"/>
        </w:rPr>
        <w:t>第六条</w:t>
      </w:r>
      <w:r>
        <w:rPr>
          <w:rFonts w:ascii="黑体" w:hAnsi="微软雅黑" w:eastAsia="黑体" w:cs="仿宋_GB2312"/>
          <w:color w:val="333333"/>
          <w:sz w:val="32"/>
          <w:szCs w:val="32"/>
          <w:shd w:val="clear" w:color="auto" w:fill="FFFFFF"/>
        </w:rPr>
        <w:t xml:space="preserve"> </w:t>
      </w:r>
      <w:r>
        <w:rPr>
          <w:rFonts w:hint="eastAsia" w:ascii="黑体" w:hAnsi="微软雅黑" w:eastAsia="黑体" w:cs="仿宋_GB2312"/>
          <w:color w:val="333333"/>
          <w:sz w:val="32"/>
          <w:szCs w:val="32"/>
          <w:shd w:val="clear" w:color="auto" w:fill="FFFFFF"/>
        </w:rPr>
        <w:t>议事程序</w:t>
      </w:r>
    </w:p>
    <w:p w14:paraId="226F652B">
      <w:pPr>
        <w:pStyle w:val="7"/>
        <w:shd w:val="clear" w:color="auto" w:fill="FFFFFF"/>
        <w:wordWrap w:val="0"/>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color w:val="333333"/>
          <w:sz w:val="32"/>
          <w:szCs w:val="32"/>
        </w:rPr>
        <w:t>（一）</w:t>
      </w:r>
      <w:r>
        <w:rPr>
          <w:rFonts w:hint="eastAsia" w:ascii="仿宋" w:hAnsi="仿宋" w:eastAsia="仿宋" w:cs="仿宋"/>
          <w:color w:val="333333"/>
          <w:sz w:val="32"/>
          <w:szCs w:val="32"/>
          <w:shd w:val="clear" w:color="auto" w:fill="FFFFFF"/>
        </w:rPr>
        <w:t>会前准备。议题实行会前申报制，由局长确定，一事一议，一般不在会上临时动议。拟提交会议讨论的议题，应事先充分酝酿。提交议题前要深入调查研究，广泛征求意见；议题内容涉及2个及以上单位（科室）时，主办单位（科室）要事先协商并取得一致意见。拟提交议题</w:t>
      </w:r>
      <w:r>
        <w:rPr>
          <w:rFonts w:hint="eastAsia" w:ascii="仿宋" w:hAnsi="仿宋" w:eastAsia="仿宋" w:cs="仿宋"/>
          <w:sz w:val="32"/>
          <w:szCs w:val="32"/>
        </w:rPr>
        <w:t>由分管局领导审议后向局长汇报审定。确定提交的议题，由</w:t>
      </w:r>
      <w:r>
        <w:rPr>
          <w:rFonts w:hint="eastAsia" w:ascii="仿宋" w:hAnsi="仿宋" w:eastAsia="仿宋" w:cs="仿宋"/>
          <w:color w:val="333333"/>
          <w:sz w:val="32"/>
          <w:szCs w:val="32"/>
          <w:shd w:val="clear" w:color="auto" w:fill="FFFFFF"/>
        </w:rPr>
        <w:t>提交单位（科室）填写《局长办公会议议题申报表》（见附件），附提请审议的汇报材料、议题有关情况的说明、有关附件等材料，</w:t>
      </w:r>
      <w:r>
        <w:rPr>
          <w:rFonts w:hint="eastAsia" w:ascii="仿宋" w:hAnsi="仿宋" w:eastAsia="仿宋" w:cs="仿宋"/>
          <w:sz w:val="32"/>
          <w:szCs w:val="32"/>
        </w:rPr>
        <w:t>经分管副局长、局长签字确认后，送局办公室报务。办公室对会议材料的格式、程序进行审核，如需补充材料或手续的，应及时通知提交</w:t>
      </w:r>
      <w:r>
        <w:rPr>
          <w:rFonts w:hint="eastAsia" w:ascii="仿宋" w:hAnsi="仿宋" w:eastAsia="仿宋" w:cs="仿宋"/>
          <w:color w:val="333333"/>
          <w:sz w:val="32"/>
          <w:szCs w:val="32"/>
          <w:shd w:val="clear" w:color="auto" w:fill="FFFFFF"/>
        </w:rPr>
        <w:t>单位（科室）</w:t>
      </w:r>
      <w:r>
        <w:rPr>
          <w:rFonts w:hint="eastAsia" w:ascii="仿宋" w:hAnsi="仿宋" w:eastAsia="仿宋" w:cs="仿宋"/>
          <w:sz w:val="32"/>
          <w:szCs w:val="32"/>
        </w:rPr>
        <w:t>。议题经办公室汇总报局长审定后（见附件），在会议召开前1个工作日将材料送各参会人员。</w:t>
      </w:r>
    </w:p>
    <w:p w14:paraId="22C5D604">
      <w:pPr>
        <w:pStyle w:val="7"/>
        <w:shd w:val="clear" w:color="auto" w:fill="FFFFFF"/>
        <w:wordWrap w:val="0"/>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color w:val="333333"/>
          <w:sz w:val="32"/>
          <w:szCs w:val="32"/>
        </w:rPr>
        <w:t>（二）</w:t>
      </w:r>
      <w:r>
        <w:rPr>
          <w:rFonts w:hint="eastAsia" w:ascii="仿宋" w:hAnsi="仿宋" w:eastAsia="仿宋" w:cs="仿宋"/>
          <w:sz w:val="32"/>
          <w:szCs w:val="32"/>
        </w:rPr>
        <w:t>会中决策。议题汇报人一般为</w:t>
      </w:r>
      <w:r>
        <w:rPr>
          <w:rFonts w:hint="eastAsia" w:ascii="仿宋" w:hAnsi="仿宋" w:eastAsia="仿宋" w:cs="仿宋"/>
          <w:color w:val="333333"/>
          <w:sz w:val="32"/>
          <w:szCs w:val="32"/>
          <w:shd w:val="clear" w:color="auto" w:fill="FFFFFF"/>
        </w:rPr>
        <w:t>单位（科室）</w:t>
      </w:r>
      <w:r>
        <w:rPr>
          <w:rFonts w:hint="eastAsia" w:ascii="仿宋" w:hAnsi="仿宋" w:eastAsia="仿宋" w:cs="仿宋"/>
          <w:sz w:val="32"/>
          <w:szCs w:val="32"/>
        </w:rPr>
        <w:t>主要负责人，发言应简明扼要，突出重点，如有会前征求意见的，相关情况一并汇报。各参会人员要充分发表意见，会议根据与会人员发表的意见，对审议的议题作出同意、不同意、修改、补充程序和材料后再次审议等决定。会议研究事项以会议主持人最终综合汇总确定意见为准。办公室指定专人负责记录，对会议时间、名称、主持人、出席成员、请假人员、列席人员、记录人员，每项议题讨论、表决情况及最后决定意见等作如实记录。会议纪要由办公室负责起草，经分管局领导审核后报局长签发。</w:t>
      </w:r>
    </w:p>
    <w:p w14:paraId="6919DCE2">
      <w:pPr>
        <w:pStyle w:val="7"/>
        <w:shd w:val="clear" w:color="auto" w:fill="FFFFFF"/>
        <w:wordWrap w:val="0"/>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color w:val="333333"/>
          <w:sz w:val="32"/>
          <w:szCs w:val="32"/>
        </w:rPr>
        <w:t>（三）</w:t>
      </w:r>
      <w:r>
        <w:rPr>
          <w:rFonts w:hint="eastAsia" w:ascii="仿宋" w:hAnsi="仿宋" w:eastAsia="仿宋" w:cs="仿宋"/>
          <w:sz w:val="32"/>
          <w:szCs w:val="32"/>
        </w:rPr>
        <w:t>会后落实。会议决定的重要事项，由局领导根据分工和职责组织实施，各相关</w:t>
      </w:r>
      <w:r>
        <w:rPr>
          <w:rFonts w:hint="eastAsia" w:ascii="仿宋" w:hAnsi="仿宋" w:eastAsia="仿宋" w:cs="仿宋"/>
          <w:color w:val="333333"/>
          <w:sz w:val="32"/>
          <w:szCs w:val="32"/>
          <w:shd w:val="clear" w:color="auto" w:fill="FFFFFF"/>
        </w:rPr>
        <w:t>单位（科室）</w:t>
      </w:r>
      <w:r>
        <w:rPr>
          <w:rFonts w:hint="eastAsia" w:ascii="仿宋" w:hAnsi="仿宋" w:eastAsia="仿宋" w:cs="仿宋"/>
          <w:sz w:val="32"/>
          <w:szCs w:val="32"/>
        </w:rPr>
        <w:t>负责落实。遇有分工和职责交叉的，由局长明确一名副局长牵头负责，各相关</w:t>
      </w:r>
      <w:r>
        <w:rPr>
          <w:rFonts w:hint="eastAsia" w:ascii="仿宋" w:hAnsi="仿宋" w:eastAsia="仿宋" w:cs="仿宋"/>
          <w:color w:val="333333"/>
          <w:sz w:val="32"/>
          <w:szCs w:val="32"/>
          <w:shd w:val="clear" w:color="auto" w:fill="FFFFFF"/>
        </w:rPr>
        <w:t>单位（科室）</w:t>
      </w:r>
      <w:r>
        <w:rPr>
          <w:rFonts w:hint="eastAsia" w:ascii="仿宋" w:hAnsi="仿宋" w:eastAsia="仿宋" w:cs="仿宋"/>
          <w:sz w:val="32"/>
          <w:szCs w:val="32"/>
        </w:rPr>
        <w:t>积极配合。办公室要加强督促检查和信息反馈，跟踪督办、确保落实，一般在下次局长办公会议召开时，就上次局长办公会议决定事项执行落实情况进行通报。根据工作进展和出现的新情况和新问题，如确需作调整或变更时，应及时提交局长办公会议再次审议决定。</w:t>
      </w:r>
    </w:p>
    <w:p w14:paraId="4041B78A">
      <w:pPr>
        <w:pStyle w:val="7"/>
        <w:shd w:val="clear" w:color="auto" w:fill="FFFFFF"/>
        <w:wordWrap w:val="0"/>
        <w:spacing w:before="0" w:beforeAutospacing="0" w:after="0" w:afterAutospacing="0" w:line="560" w:lineRule="exact"/>
        <w:ind w:firstLine="640" w:firstLineChars="200"/>
        <w:jc w:val="both"/>
        <w:rPr>
          <w:rFonts w:ascii="黑体" w:hAnsi="仿宋" w:eastAsia="黑体" w:cs="仿宋"/>
          <w:sz w:val="32"/>
          <w:szCs w:val="32"/>
        </w:rPr>
      </w:pPr>
      <w:r>
        <w:rPr>
          <w:rFonts w:hint="eastAsia" w:ascii="黑体" w:hAnsi="仿宋" w:eastAsia="黑体" w:cs="仿宋"/>
          <w:sz w:val="32"/>
          <w:szCs w:val="32"/>
        </w:rPr>
        <w:t>第七条</w:t>
      </w:r>
      <w:r>
        <w:rPr>
          <w:rFonts w:ascii="黑体" w:hAnsi="仿宋" w:eastAsia="黑体" w:cs="仿宋"/>
          <w:sz w:val="32"/>
          <w:szCs w:val="32"/>
        </w:rPr>
        <w:t xml:space="preserve"> </w:t>
      </w:r>
      <w:r>
        <w:rPr>
          <w:rFonts w:hint="eastAsia" w:ascii="黑体" w:hAnsi="仿宋" w:eastAsia="黑体" w:cs="仿宋"/>
          <w:sz w:val="32"/>
          <w:szCs w:val="32"/>
        </w:rPr>
        <w:t>解释权限</w:t>
      </w:r>
    </w:p>
    <w:p w14:paraId="1BC1FC45">
      <w:pPr>
        <w:pStyle w:val="7"/>
        <w:shd w:val="clear" w:color="auto" w:fill="FFFFFF"/>
        <w:wordWrap w:val="0"/>
        <w:spacing w:before="0" w:beforeAutospacing="0" w:after="0" w:afterAutospacing="0" w:line="56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本规则由办公室负责解释。规则所涉及的内容，凡法律法规另有规定或上级部门另有要求的，从其规定和要求。</w:t>
      </w:r>
    </w:p>
    <w:p w14:paraId="16FD52EA">
      <w:pPr>
        <w:pStyle w:val="7"/>
        <w:shd w:val="clear" w:color="auto" w:fill="FFFFFF"/>
        <w:snapToGrid w:val="0"/>
        <w:spacing w:before="0" w:beforeAutospacing="0" w:after="0" w:afterAutospacing="0" w:line="560" w:lineRule="exact"/>
        <w:ind w:firstLine="640" w:firstLineChars="200"/>
        <w:jc w:val="both"/>
        <w:rPr>
          <w:rFonts w:ascii="仿宋_GB2312" w:hAnsi="仿宋" w:eastAsia="仿宋_GB2312" w:cs="仿宋"/>
          <w:sz w:val="32"/>
          <w:szCs w:val="32"/>
        </w:rPr>
      </w:pPr>
      <w:r>
        <w:rPr>
          <w:rFonts w:hint="eastAsia" w:ascii="黑体" w:hAnsi="仿宋" w:eastAsia="黑体" w:cs="仿宋"/>
          <w:sz w:val="32"/>
          <w:szCs w:val="32"/>
        </w:rPr>
        <w:t>第八条</w:t>
      </w:r>
      <w:r>
        <w:rPr>
          <w:rFonts w:ascii="仿宋_GB2312" w:hAnsi="仿宋" w:eastAsia="仿宋_GB2312" w:cs="仿宋"/>
          <w:sz w:val="32"/>
          <w:szCs w:val="32"/>
        </w:rPr>
        <w:t xml:space="preserve"> </w:t>
      </w:r>
      <w:r>
        <w:rPr>
          <w:rFonts w:hint="eastAsia" w:ascii="仿宋_GB2312" w:hAnsi="仿宋" w:eastAsia="仿宋_GB2312" w:cs="仿宋"/>
          <w:sz w:val="32"/>
          <w:szCs w:val="32"/>
        </w:rPr>
        <w:t>本规则自印发之日起实施。</w:t>
      </w:r>
    </w:p>
    <w:p w14:paraId="7C6079E3">
      <w:pPr>
        <w:rPr>
          <w:rFonts w:ascii="仿宋_GB2312" w:hAnsi="仿宋" w:eastAsia="仿宋_GB2312" w:cs="仿宋"/>
          <w:sz w:val="32"/>
          <w:szCs w:val="32"/>
        </w:rPr>
      </w:pPr>
      <w:r>
        <w:rPr>
          <w:rFonts w:hint="eastAsia" w:ascii="仿宋_GB2312" w:hAnsi="仿宋" w:eastAsia="仿宋_GB2312" w:cs="仿宋"/>
          <w:sz w:val="32"/>
          <w:szCs w:val="32"/>
        </w:rPr>
        <w:br w:type="page"/>
      </w:r>
    </w:p>
    <w:p w14:paraId="6066D5DB">
      <w:pPr>
        <w:widowControl/>
        <w:jc w:val="center"/>
        <w:rPr>
          <w:rFonts w:ascii="方正小标宋_GBK" w:hAnsi="方正小标宋_GBK" w:eastAsia="方正小标宋_GBK" w:cs="方正小标宋_GBK"/>
          <w:color w:val="111111"/>
          <w:kern w:val="0"/>
          <w:sz w:val="44"/>
          <w:szCs w:val="44"/>
        </w:rPr>
      </w:pPr>
      <w:r>
        <w:rPr>
          <w:rFonts w:hint="eastAsia" w:ascii="方正小标宋_GBK" w:hAnsi="方正小标宋_GBK" w:eastAsia="方正小标宋_GBK" w:cs="方正小标宋_GBK"/>
          <w:color w:val="111111"/>
          <w:kern w:val="0"/>
          <w:sz w:val="44"/>
          <w:szCs w:val="44"/>
        </w:rPr>
        <w:t>中共白城市司法局党组议事规则</w:t>
      </w:r>
    </w:p>
    <w:p w14:paraId="1F5C22C9">
      <w:pPr>
        <w:widowControl/>
        <w:spacing w:line="560" w:lineRule="exact"/>
        <w:ind w:firstLine="640" w:firstLineChars="200"/>
        <w:jc w:val="left"/>
        <w:rPr>
          <w:rFonts w:ascii="仿宋" w:hAnsi="仿宋" w:eastAsia="仿宋" w:cs="仿宋"/>
          <w:color w:val="111111"/>
          <w:kern w:val="0"/>
          <w:sz w:val="32"/>
          <w:szCs w:val="32"/>
        </w:rPr>
      </w:pPr>
    </w:p>
    <w:p w14:paraId="7B308093">
      <w:pPr>
        <w:widowControl/>
        <w:spacing w:line="560" w:lineRule="exact"/>
        <w:ind w:firstLine="640" w:firstLineChars="200"/>
        <w:jc w:val="left"/>
        <w:rPr>
          <w:rFonts w:ascii="仿宋" w:hAnsi="仿宋" w:eastAsia="仿宋" w:cs="仿宋"/>
          <w:color w:val="111111"/>
          <w:kern w:val="0"/>
          <w:sz w:val="32"/>
          <w:szCs w:val="32"/>
        </w:rPr>
      </w:pPr>
      <w:r>
        <w:rPr>
          <w:rFonts w:hint="eastAsia" w:ascii="仿宋" w:hAnsi="仿宋" w:eastAsia="仿宋" w:cs="仿宋"/>
          <w:color w:val="111111"/>
          <w:kern w:val="0"/>
          <w:sz w:val="32"/>
          <w:szCs w:val="32"/>
        </w:rPr>
        <w:t>为全面贯彻执行党的民主集中制，完善和健全集体领导制度，提高科学决策、民主决策、依法决策水平，充分发挥党组的核心作用，根据《中国共产党章程》和《中国共产党党组工作条例（试行）》，结合工作实际，制定本规则。</w:t>
      </w:r>
    </w:p>
    <w:p w14:paraId="648FAD6C">
      <w:pPr>
        <w:widowControl/>
        <w:tabs>
          <w:tab w:val="left" w:pos="5646"/>
        </w:tabs>
        <w:spacing w:line="560" w:lineRule="exact"/>
        <w:jc w:val="left"/>
        <w:rPr>
          <w:rFonts w:ascii="仿宋" w:hAnsi="仿宋" w:eastAsia="仿宋" w:cs="仿宋"/>
          <w:color w:val="111111"/>
          <w:kern w:val="0"/>
          <w:sz w:val="32"/>
          <w:szCs w:val="32"/>
        </w:rPr>
      </w:pPr>
    </w:p>
    <w:p w14:paraId="44E1CC0C">
      <w:pPr>
        <w:widowControl/>
        <w:spacing w:line="560" w:lineRule="exact"/>
        <w:ind w:firstLine="643" w:firstLineChars="200"/>
        <w:jc w:val="center"/>
        <w:rPr>
          <w:rFonts w:ascii="仿宋" w:hAnsi="仿宋" w:eastAsia="仿宋" w:cs="仿宋"/>
          <w:b/>
          <w:bCs/>
          <w:color w:val="111111"/>
          <w:kern w:val="0"/>
          <w:sz w:val="32"/>
          <w:szCs w:val="32"/>
        </w:rPr>
      </w:pPr>
      <w:r>
        <w:rPr>
          <w:rFonts w:hint="eastAsia" w:ascii="仿宋" w:hAnsi="仿宋" w:eastAsia="仿宋" w:cs="仿宋"/>
          <w:b/>
          <w:bCs/>
          <w:color w:val="111111"/>
          <w:kern w:val="0"/>
          <w:sz w:val="32"/>
          <w:szCs w:val="32"/>
        </w:rPr>
        <w:t>第一章 基本原则</w:t>
      </w:r>
    </w:p>
    <w:p w14:paraId="31AAC326">
      <w:pPr>
        <w:widowControl/>
        <w:spacing w:line="560" w:lineRule="exact"/>
        <w:ind w:firstLine="643" w:firstLineChars="200"/>
        <w:jc w:val="left"/>
        <w:rPr>
          <w:rFonts w:ascii="仿宋" w:hAnsi="仿宋" w:eastAsia="仿宋" w:cs="仿宋"/>
          <w:color w:val="111111"/>
          <w:kern w:val="0"/>
          <w:sz w:val="32"/>
          <w:szCs w:val="32"/>
        </w:rPr>
      </w:pPr>
      <w:r>
        <w:rPr>
          <w:rFonts w:hint="eastAsia" w:ascii="仿宋" w:hAnsi="仿宋" w:eastAsia="仿宋" w:cs="仿宋"/>
          <w:b/>
          <w:bCs/>
          <w:color w:val="111111"/>
          <w:kern w:val="0"/>
          <w:sz w:val="32"/>
          <w:szCs w:val="32"/>
        </w:rPr>
        <w:t>第一条</w:t>
      </w:r>
      <w:r>
        <w:rPr>
          <w:rFonts w:hint="eastAsia" w:ascii="仿宋" w:hAnsi="仿宋" w:eastAsia="仿宋" w:cs="仿宋"/>
          <w:color w:val="111111"/>
          <w:kern w:val="0"/>
          <w:sz w:val="32"/>
          <w:szCs w:val="32"/>
        </w:rPr>
        <w:t xml:space="preserve"> 坚持党的领导，保证党的理论和路线方针政策贯彻落实。</w:t>
      </w:r>
    </w:p>
    <w:p w14:paraId="75F9E174">
      <w:pPr>
        <w:widowControl/>
        <w:spacing w:line="560" w:lineRule="exact"/>
        <w:ind w:firstLine="643" w:firstLineChars="200"/>
        <w:jc w:val="left"/>
        <w:rPr>
          <w:rFonts w:ascii="仿宋" w:hAnsi="仿宋" w:eastAsia="仿宋" w:cs="仿宋"/>
          <w:color w:val="111111"/>
          <w:kern w:val="0"/>
          <w:sz w:val="32"/>
          <w:szCs w:val="32"/>
        </w:rPr>
      </w:pPr>
      <w:r>
        <w:rPr>
          <w:rFonts w:hint="eastAsia" w:ascii="仿宋" w:hAnsi="仿宋" w:eastAsia="仿宋" w:cs="仿宋"/>
          <w:b/>
          <w:bCs/>
          <w:color w:val="111111"/>
          <w:kern w:val="0"/>
          <w:sz w:val="32"/>
          <w:szCs w:val="32"/>
        </w:rPr>
        <w:t>第二条</w:t>
      </w:r>
      <w:r>
        <w:rPr>
          <w:rFonts w:hint="eastAsia" w:ascii="仿宋" w:hAnsi="仿宋" w:eastAsia="仿宋" w:cs="仿宋"/>
          <w:color w:val="111111"/>
          <w:kern w:val="0"/>
          <w:sz w:val="32"/>
          <w:szCs w:val="32"/>
        </w:rPr>
        <w:t xml:space="preserve"> 坚持全面从严治党，依据党章和其他党内法规开展工作，落实党组管党治党责任。</w:t>
      </w:r>
    </w:p>
    <w:p w14:paraId="42EBC33A">
      <w:pPr>
        <w:widowControl/>
        <w:spacing w:line="560" w:lineRule="exact"/>
        <w:ind w:firstLine="643" w:firstLineChars="200"/>
        <w:jc w:val="left"/>
        <w:rPr>
          <w:rFonts w:ascii="仿宋" w:hAnsi="仿宋" w:eastAsia="仿宋" w:cs="仿宋"/>
          <w:color w:val="111111"/>
          <w:kern w:val="0"/>
          <w:sz w:val="32"/>
          <w:szCs w:val="32"/>
        </w:rPr>
      </w:pPr>
      <w:r>
        <w:rPr>
          <w:rFonts w:hint="eastAsia" w:ascii="仿宋" w:hAnsi="仿宋" w:eastAsia="仿宋" w:cs="仿宋"/>
          <w:b/>
          <w:bCs/>
          <w:color w:val="111111"/>
          <w:kern w:val="0"/>
          <w:sz w:val="32"/>
          <w:szCs w:val="32"/>
        </w:rPr>
        <w:t>第三条</w:t>
      </w:r>
      <w:r>
        <w:rPr>
          <w:rFonts w:hint="eastAsia" w:ascii="仿宋" w:hAnsi="仿宋" w:eastAsia="仿宋" w:cs="仿宋"/>
          <w:color w:val="111111"/>
          <w:kern w:val="0"/>
          <w:sz w:val="32"/>
          <w:szCs w:val="32"/>
        </w:rPr>
        <w:t xml:space="preserve"> 坚持民主集中制，确保党组的活力和党的团结统一。</w:t>
      </w:r>
    </w:p>
    <w:p w14:paraId="70E30F8B">
      <w:pPr>
        <w:widowControl/>
        <w:spacing w:line="560" w:lineRule="exact"/>
        <w:ind w:firstLine="643" w:firstLineChars="200"/>
        <w:jc w:val="left"/>
        <w:rPr>
          <w:rFonts w:ascii="仿宋" w:hAnsi="仿宋" w:eastAsia="仿宋" w:cs="仿宋"/>
          <w:color w:val="111111"/>
          <w:kern w:val="0"/>
          <w:sz w:val="32"/>
          <w:szCs w:val="32"/>
        </w:rPr>
      </w:pPr>
      <w:r>
        <w:rPr>
          <w:rFonts w:hint="eastAsia" w:ascii="仿宋" w:hAnsi="仿宋" w:eastAsia="仿宋" w:cs="仿宋"/>
          <w:b/>
          <w:bCs/>
          <w:color w:val="111111"/>
          <w:kern w:val="0"/>
          <w:sz w:val="32"/>
          <w:szCs w:val="32"/>
        </w:rPr>
        <w:t>第四条</w:t>
      </w:r>
      <w:r>
        <w:rPr>
          <w:rFonts w:hint="eastAsia" w:ascii="仿宋" w:hAnsi="仿宋" w:eastAsia="仿宋" w:cs="仿宋"/>
          <w:color w:val="111111"/>
          <w:kern w:val="0"/>
          <w:sz w:val="32"/>
          <w:szCs w:val="32"/>
        </w:rPr>
        <w:t xml:space="preserve"> 坚持集体领导制度，凡属党组职责范围内的事项，应当按照少数服从多数原则，由党组成员集体讨论决定。</w:t>
      </w:r>
    </w:p>
    <w:p w14:paraId="0A5DDD21">
      <w:pPr>
        <w:widowControl/>
        <w:spacing w:line="560" w:lineRule="exact"/>
        <w:ind w:firstLine="643" w:firstLineChars="200"/>
        <w:jc w:val="left"/>
        <w:rPr>
          <w:rFonts w:ascii="仿宋" w:hAnsi="仿宋" w:eastAsia="仿宋" w:cs="仿宋"/>
          <w:color w:val="111111"/>
          <w:kern w:val="0"/>
          <w:sz w:val="32"/>
          <w:szCs w:val="32"/>
        </w:rPr>
      </w:pPr>
      <w:r>
        <w:rPr>
          <w:rFonts w:hint="eastAsia" w:ascii="仿宋" w:hAnsi="仿宋" w:eastAsia="仿宋" w:cs="仿宋"/>
          <w:b/>
          <w:bCs/>
          <w:color w:val="111111"/>
          <w:kern w:val="0"/>
          <w:sz w:val="32"/>
          <w:szCs w:val="32"/>
        </w:rPr>
        <w:t>第五条</w:t>
      </w:r>
      <w:r>
        <w:rPr>
          <w:rFonts w:hint="eastAsia" w:ascii="仿宋" w:hAnsi="仿宋" w:eastAsia="仿宋" w:cs="仿宋"/>
          <w:color w:val="111111"/>
          <w:kern w:val="0"/>
          <w:sz w:val="32"/>
          <w:szCs w:val="32"/>
        </w:rPr>
        <w:t xml:space="preserve"> 坚持党组发挥领导核心作用与本单位领导班子依法依章程履行职责相统一，把党的主张通过法定、民主程序转化为本单位领导班子的决定。</w:t>
      </w:r>
    </w:p>
    <w:p w14:paraId="622AA11F">
      <w:pPr>
        <w:widowControl/>
        <w:spacing w:line="560" w:lineRule="exact"/>
        <w:jc w:val="center"/>
        <w:rPr>
          <w:rFonts w:ascii="仿宋" w:hAnsi="仿宋" w:eastAsia="仿宋" w:cs="仿宋"/>
          <w:color w:val="111111"/>
          <w:kern w:val="0"/>
          <w:sz w:val="32"/>
          <w:szCs w:val="32"/>
        </w:rPr>
      </w:pPr>
    </w:p>
    <w:p w14:paraId="1D050FBB">
      <w:pPr>
        <w:widowControl/>
        <w:spacing w:line="560" w:lineRule="exact"/>
        <w:ind w:firstLine="643" w:firstLineChars="200"/>
        <w:jc w:val="center"/>
        <w:rPr>
          <w:rFonts w:ascii="仿宋" w:hAnsi="仿宋" w:eastAsia="仿宋" w:cs="仿宋"/>
          <w:b/>
          <w:bCs/>
          <w:color w:val="111111"/>
          <w:kern w:val="0"/>
          <w:sz w:val="32"/>
          <w:szCs w:val="32"/>
        </w:rPr>
      </w:pPr>
      <w:r>
        <w:rPr>
          <w:rFonts w:hint="eastAsia" w:ascii="仿宋" w:hAnsi="仿宋" w:eastAsia="仿宋" w:cs="仿宋"/>
          <w:b/>
          <w:bCs/>
          <w:color w:val="111111"/>
          <w:kern w:val="0"/>
          <w:sz w:val="32"/>
          <w:szCs w:val="32"/>
        </w:rPr>
        <w:t>第二章 议事范围</w:t>
      </w:r>
    </w:p>
    <w:p w14:paraId="04FCE755">
      <w:pPr>
        <w:widowControl/>
        <w:spacing w:line="560" w:lineRule="exact"/>
        <w:ind w:firstLine="643" w:firstLineChars="200"/>
        <w:jc w:val="left"/>
        <w:rPr>
          <w:rFonts w:ascii="仿宋" w:hAnsi="仿宋" w:eastAsia="仿宋" w:cs="仿宋"/>
          <w:color w:val="000000"/>
          <w:sz w:val="32"/>
          <w:szCs w:val="32"/>
        </w:rPr>
      </w:pPr>
      <w:r>
        <w:rPr>
          <w:rFonts w:hint="eastAsia" w:ascii="仿宋" w:hAnsi="仿宋" w:eastAsia="仿宋" w:cs="仿宋"/>
          <w:b/>
          <w:bCs/>
          <w:color w:val="111111"/>
          <w:kern w:val="0"/>
          <w:sz w:val="32"/>
          <w:szCs w:val="32"/>
        </w:rPr>
        <w:t>第六条</w:t>
      </w:r>
      <w:r>
        <w:rPr>
          <w:rFonts w:hint="eastAsia" w:ascii="仿宋" w:hAnsi="仿宋" w:eastAsia="仿宋" w:cs="仿宋"/>
          <w:color w:val="111111"/>
          <w:kern w:val="0"/>
          <w:sz w:val="32"/>
          <w:szCs w:val="32"/>
        </w:rPr>
        <w:t xml:space="preserve"> </w:t>
      </w:r>
      <w:r>
        <w:rPr>
          <w:rFonts w:hint="eastAsia" w:ascii="仿宋" w:hAnsi="仿宋" w:eastAsia="仿宋" w:cs="仿宋"/>
          <w:color w:val="000000"/>
          <w:sz w:val="32"/>
          <w:szCs w:val="32"/>
        </w:rPr>
        <w:t xml:space="preserve">传达学习上级党委、政府和上级司法行政机关的重要文件、重要会议精神，讨论研究贯彻落实的具体意见；     </w:t>
      </w:r>
    </w:p>
    <w:p w14:paraId="37CD5474">
      <w:pPr>
        <w:widowControl/>
        <w:spacing w:line="560" w:lineRule="exact"/>
        <w:ind w:firstLine="643" w:firstLineChars="200"/>
        <w:jc w:val="left"/>
        <w:rPr>
          <w:rFonts w:ascii="仿宋" w:hAnsi="仿宋" w:eastAsia="仿宋" w:cs="仿宋"/>
          <w:color w:val="111111"/>
          <w:kern w:val="0"/>
          <w:sz w:val="32"/>
          <w:szCs w:val="32"/>
        </w:rPr>
      </w:pPr>
      <w:r>
        <w:rPr>
          <w:rFonts w:hint="eastAsia" w:ascii="仿宋" w:hAnsi="仿宋" w:eastAsia="仿宋" w:cs="仿宋"/>
          <w:b/>
          <w:bCs/>
          <w:color w:val="111111"/>
          <w:kern w:val="0"/>
          <w:sz w:val="32"/>
          <w:szCs w:val="32"/>
        </w:rPr>
        <w:t>第七条</w:t>
      </w:r>
      <w:r>
        <w:rPr>
          <w:rFonts w:hint="eastAsia" w:ascii="仿宋" w:hAnsi="仿宋" w:eastAsia="仿宋" w:cs="仿宋"/>
          <w:color w:val="111111"/>
          <w:kern w:val="0"/>
          <w:sz w:val="32"/>
          <w:szCs w:val="32"/>
        </w:rPr>
        <w:t xml:space="preserve"> 需要向上级党组织请示报告的重要事项，直属单位党组织请示报告的重要事项。</w:t>
      </w:r>
    </w:p>
    <w:p w14:paraId="2C3806A6">
      <w:pPr>
        <w:widowControl/>
        <w:spacing w:line="560" w:lineRule="exact"/>
        <w:ind w:firstLine="643" w:firstLineChars="200"/>
        <w:jc w:val="left"/>
        <w:rPr>
          <w:rFonts w:ascii="仿宋" w:hAnsi="仿宋" w:eastAsia="仿宋" w:cs="仿宋"/>
          <w:color w:val="111111"/>
          <w:kern w:val="0"/>
          <w:sz w:val="32"/>
          <w:szCs w:val="32"/>
        </w:rPr>
      </w:pPr>
      <w:r>
        <w:rPr>
          <w:rFonts w:hint="eastAsia" w:ascii="仿宋" w:hAnsi="仿宋" w:eastAsia="仿宋" w:cs="仿宋"/>
          <w:b/>
          <w:bCs/>
          <w:color w:val="111111"/>
          <w:kern w:val="0"/>
          <w:sz w:val="32"/>
          <w:szCs w:val="32"/>
        </w:rPr>
        <w:t>第八条</w:t>
      </w:r>
      <w:r>
        <w:rPr>
          <w:rFonts w:hint="eastAsia" w:ascii="仿宋" w:hAnsi="仿宋" w:eastAsia="仿宋" w:cs="仿宋"/>
          <w:color w:val="111111"/>
          <w:kern w:val="0"/>
          <w:sz w:val="32"/>
          <w:szCs w:val="32"/>
        </w:rPr>
        <w:t xml:space="preserve"> 内部机构设置、职责、人员编制等事项。</w:t>
      </w:r>
    </w:p>
    <w:p w14:paraId="031040B0">
      <w:pPr>
        <w:widowControl/>
        <w:spacing w:line="560" w:lineRule="exact"/>
        <w:ind w:firstLine="643" w:firstLineChars="200"/>
        <w:jc w:val="left"/>
        <w:rPr>
          <w:rFonts w:ascii="仿宋" w:hAnsi="仿宋" w:eastAsia="仿宋" w:cs="仿宋"/>
          <w:color w:val="111111"/>
          <w:kern w:val="0"/>
          <w:sz w:val="32"/>
          <w:szCs w:val="32"/>
        </w:rPr>
      </w:pPr>
      <w:r>
        <w:rPr>
          <w:rFonts w:hint="eastAsia" w:ascii="仿宋" w:hAnsi="仿宋" w:eastAsia="仿宋" w:cs="仿宋"/>
          <w:b/>
          <w:bCs/>
          <w:color w:val="111111"/>
          <w:kern w:val="0"/>
          <w:sz w:val="32"/>
          <w:szCs w:val="32"/>
        </w:rPr>
        <w:t>第九条</w:t>
      </w:r>
      <w:r>
        <w:rPr>
          <w:rFonts w:hint="eastAsia" w:ascii="仿宋" w:hAnsi="仿宋" w:eastAsia="仿宋" w:cs="仿宋"/>
          <w:color w:val="111111"/>
          <w:kern w:val="0"/>
          <w:sz w:val="32"/>
          <w:szCs w:val="32"/>
        </w:rPr>
        <w:t xml:space="preserve"> 重大决策、重要人事任免（</w:t>
      </w:r>
      <w:r>
        <w:rPr>
          <w:rFonts w:hint="eastAsia" w:ascii="仿宋" w:hAnsi="仿宋" w:eastAsia="仿宋" w:cs="仿宋"/>
          <w:color w:val="000000"/>
          <w:sz w:val="32"/>
          <w:szCs w:val="32"/>
        </w:rPr>
        <w:t>调整、奖惩）</w:t>
      </w:r>
      <w:r>
        <w:rPr>
          <w:rFonts w:hint="eastAsia" w:ascii="仿宋" w:hAnsi="仿宋" w:eastAsia="仿宋" w:cs="仿宋"/>
          <w:color w:val="111111"/>
          <w:kern w:val="0"/>
          <w:sz w:val="32"/>
          <w:szCs w:val="32"/>
        </w:rPr>
        <w:t>、重大项目安排、大额资金使用等事项。</w:t>
      </w:r>
    </w:p>
    <w:p w14:paraId="515E84E3">
      <w:pPr>
        <w:widowControl/>
        <w:spacing w:line="560" w:lineRule="exact"/>
        <w:ind w:firstLine="643" w:firstLineChars="200"/>
        <w:jc w:val="left"/>
        <w:rPr>
          <w:rFonts w:ascii="仿宋" w:hAnsi="仿宋" w:eastAsia="仿宋" w:cs="仿宋"/>
          <w:color w:val="111111"/>
          <w:kern w:val="0"/>
          <w:sz w:val="32"/>
          <w:szCs w:val="32"/>
        </w:rPr>
      </w:pPr>
      <w:r>
        <w:rPr>
          <w:rFonts w:hint="eastAsia" w:ascii="仿宋" w:hAnsi="仿宋" w:eastAsia="仿宋" w:cs="仿宋"/>
          <w:b/>
          <w:bCs/>
          <w:color w:val="111111"/>
          <w:kern w:val="0"/>
          <w:sz w:val="32"/>
          <w:szCs w:val="32"/>
        </w:rPr>
        <w:t>第十条</w:t>
      </w:r>
      <w:r>
        <w:rPr>
          <w:rFonts w:hint="eastAsia" w:ascii="仿宋" w:hAnsi="仿宋" w:eastAsia="仿宋" w:cs="仿宋"/>
          <w:color w:val="111111"/>
          <w:kern w:val="0"/>
          <w:sz w:val="32"/>
          <w:szCs w:val="32"/>
        </w:rPr>
        <w:t xml:space="preserve"> </w:t>
      </w:r>
      <w:r>
        <w:rPr>
          <w:rFonts w:hint="eastAsia" w:ascii="仿宋" w:hAnsi="仿宋" w:eastAsia="仿宋" w:cs="仿宋"/>
          <w:color w:val="000000"/>
          <w:sz w:val="32"/>
          <w:szCs w:val="32"/>
        </w:rPr>
        <w:t>班子建设、</w:t>
      </w:r>
      <w:r>
        <w:rPr>
          <w:rFonts w:hint="eastAsia" w:ascii="仿宋" w:hAnsi="仿宋" w:eastAsia="仿宋" w:cs="仿宋"/>
          <w:color w:val="111111"/>
          <w:kern w:val="0"/>
          <w:sz w:val="32"/>
          <w:szCs w:val="32"/>
        </w:rPr>
        <w:t>基层党组织、党员队伍建设和</w:t>
      </w:r>
      <w:r>
        <w:rPr>
          <w:rFonts w:hint="eastAsia" w:ascii="仿宋" w:hAnsi="仿宋" w:eastAsia="仿宋" w:cs="仿宋"/>
          <w:color w:val="000000"/>
          <w:sz w:val="32"/>
          <w:szCs w:val="32"/>
        </w:rPr>
        <w:t>警务管理</w:t>
      </w:r>
      <w:r>
        <w:rPr>
          <w:rFonts w:hint="eastAsia" w:ascii="仿宋" w:hAnsi="仿宋" w:eastAsia="仿宋" w:cs="仿宋"/>
          <w:color w:val="111111"/>
          <w:kern w:val="0"/>
          <w:sz w:val="32"/>
          <w:szCs w:val="32"/>
        </w:rPr>
        <w:t>方面的重要事项。</w:t>
      </w:r>
    </w:p>
    <w:p w14:paraId="32EEF564">
      <w:pPr>
        <w:widowControl/>
        <w:spacing w:line="560" w:lineRule="exact"/>
        <w:ind w:firstLine="643" w:firstLineChars="200"/>
        <w:jc w:val="left"/>
        <w:rPr>
          <w:rFonts w:ascii="仿宋" w:hAnsi="仿宋" w:eastAsia="仿宋" w:cs="仿宋"/>
          <w:color w:val="111111"/>
          <w:kern w:val="0"/>
          <w:sz w:val="32"/>
          <w:szCs w:val="32"/>
        </w:rPr>
      </w:pPr>
      <w:r>
        <w:rPr>
          <w:rFonts w:hint="eastAsia" w:ascii="仿宋" w:hAnsi="仿宋" w:eastAsia="仿宋" w:cs="仿宋"/>
          <w:b/>
          <w:bCs/>
          <w:color w:val="111111"/>
          <w:kern w:val="0"/>
          <w:sz w:val="32"/>
          <w:szCs w:val="32"/>
        </w:rPr>
        <w:t>第十一条</w:t>
      </w:r>
      <w:r>
        <w:rPr>
          <w:rFonts w:hint="eastAsia" w:ascii="仿宋" w:hAnsi="仿宋" w:eastAsia="仿宋" w:cs="仿宋"/>
          <w:color w:val="111111"/>
          <w:kern w:val="0"/>
          <w:sz w:val="32"/>
          <w:szCs w:val="32"/>
        </w:rPr>
        <w:t xml:space="preserve"> 意识形态工作、思想政治工作和精神文明建设方面的重要事项。</w:t>
      </w:r>
    </w:p>
    <w:p w14:paraId="6798BCD3">
      <w:pPr>
        <w:widowControl/>
        <w:spacing w:line="560" w:lineRule="exact"/>
        <w:ind w:firstLine="643" w:firstLineChars="200"/>
        <w:jc w:val="left"/>
        <w:rPr>
          <w:rFonts w:ascii="仿宋" w:hAnsi="仿宋" w:eastAsia="仿宋" w:cs="仿宋"/>
          <w:color w:val="111111"/>
          <w:kern w:val="0"/>
          <w:sz w:val="32"/>
          <w:szCs w:val="32"/>
        </w:rPr>
      </w:pPr>
      <w:r>
        <w:rPr>
          <w:rFonts w:hint="eastAsia" w:ascii="仿宋" w:hAnsi="仿宋" w:eastAsia="仿宋" w:cs="仿宋"/>
          <w:b/>
          <w:bCs/>
          <w:color w:val="111111"/>
          <w:kern w:val="0"/>
          <w:sz w:val="32"/>
          <w:szCs w:val="32"/>
        </w:rPr>
        <w:t>第十二条</w:t>
      </w:r>
      <w:r>
        <w:rPr>
          <w:rFonts w:hint="eastAsia" w:ascii="仿宋" w:hAnsi="仿宋" w:eastAsia="仿宋" w:cs="仿宋"/>
          <w:color w:val="111111"/>
          <w:kern w:val="0"/>
          <w:sz w:val="32"/>
          <w:szCs w:val="32"/>
        </w:rPr>
        <w:t xml:space="preserve"> 党风廉政建设和反腐败工作方面的重要事项。</w:t>
      </w:r>
    </w:p>
    <w:p w14:paraId="44D6D514">
      <w:pPr>
        <w:widowControl/>
        <w:spacing w:line="560" w:lineRule="exact"/>
        <w:ind w:firstLine="643" w:firstLineChars="200"/>
        <w:jc w:val="left"/>
        <w:rPr>
          <w:rFonts w:ascii="仿宋" w:hAnsi="仿宋" w:eastAsia="仿宋" w:cs="仿宋"/>
          <w:color w:val="111111"/>
          <w:kern w:val="0"/>
          <w:sz w:val="32"/>
          <w:szCs w:val="32"/>
        </w:rPr>
      </w:pPr>
      <w:r>
        <w:rPr>
          <w:rFonts w:hint="eastAsia" w:ascii="仿宋" w:hAnsi="仿宋" w:eastAsia="仿宋" w:cs="仿宋"/>
          <w:b/>
          <w:bCs/>
          <w:color w:val="111111"/>
          <w:kern w:val="0"/>
          <w:sz w:val="32"/>
          <w:szCs w:val="32"/>
        </w:rPr>
        <w:t>第十三条</w:t>
      </w:r>
      <w:r>
        <w:rPr>
          <w:rFonts w:hint="eastAsia" w:ascii="仿宋" w:hAnsi="仿宋" w:eastAsia="仿宋" w:cs="仿宋"/>
          <w:color w:val="111111"/>
          <w:kern w:val="0"/>
          <w:sz w:val="32"/>
          <w:szCs w:val="32"/>
        </w:rPr>
        <w:t xml:space="preserve"> </w:t>
      </w:r>
      <w:r>
        <w:rPr>
          <w:rFonts w:hint="eastAsia" w:ascii="仿宋" w:hAnsi="仿宋" w:eastAsia="仿宋" w:cs="仿宋"/>
          <w:color w:val="000000"/>
          <w:sz w:val="32"/>
          <w:szCs w:val="32"/>
        </w:rPr>
        <w:t>党组认为需要研究的其他重要事项。</w:t>
      </w:r>
      <w:r>
        <w:rPr>
          <w:rFonts w:hint="eastAsia" w:ascii="仿宋" w:hAnsi="仿宋" w:eastAsia="仿宋" w:cs="仿宋"/>
          <w:color w:val="111111"/>
          <w:kern w:val="0"/>
          <w:sz w:val="32"/>
          <w:szCs w:val="32"/>
        </w:rPr>
        <w:t xml:space="preserve"> </w:t>
      </w:r>
    </w:p>
    <w:p w14:paraId="77A53100">
      <w:pPr>
        <w:widowControl/>
        <w:spacing w:line="560" w:lineRule="exact"/>
        <w:rPr>
          <w:rFonts w:ascii="仿宋" w:hAnsi="仿宋" w:eastAsia="仿宋" w:cs="仿宋"/>
          <w:color w:val="111111"/>
          <w:kern w:val="0"/>
          <w:sz w:val="32"/>
          <w:szCs w:val="32"/>
        </w:rPr>
      </w:pPr>
    </w:p>
    <w:p w14:paraId="06715EA9">
      <w:pPr>
        <w:widowControl/>
        <w:spacing w:line="560" w:lineRule="exact"/>
        <w:ind w:firstLine="643" w:firstLineChars="200"/>
        <w:jc w:val="center"/>
        <w:rPr>
          <w:rFonts w:ascii="仿宋" w:hAnsi="仿宋" w:eastAsia="仿宋" w:cs="仿宋"/>
          <w:b/>
          <w:bCs/>
          <w:color w:val="111111"/>
          <w:kern w:val="0"/>
          <w:sz w:val="32"/>
          <w:szCs w:val="32"/>
        </w:rPr>
      </w:pPr>
      <w:r>
        <w:rPr>
          <w:rFonts w:hint="eastAsia" w:ascii="仿宋" w:hAnsi="仿宋" w:eastAsia="仿宋" w:cs="仿宋"/>
          <w:b/>
          <w:bCs/>
          <w:color w:val="111111"/>
          <w:kern w:val="0"/>
          <w:sz w:val="32"/>
          <w:szCs w:val="32"/>
        </w:rPr>
        <w:t>第三章 议事制度</w:t>
      </w:r>
    </w:p>
    <w:p w14:paraId="73D227CB">
      <w:pPr>
        <w:widowControl/>
        <w:spacing w:line="560" w:lineRule="exact"/>
        <w:ind w:firstLine="643" w:firstLineChars="200"/>
        <w:jc w:val="left"/>
        <w:rPr>
          <w:rFonts w:ascii="仿宋" w:hAnsi="仿宋" w:eastAsia="仿宋" w:cs="仿宋"/>
          <w:color w:val="111111"/>
          <w:kern w:val="0"/>
          <w:sz w:val="32"/>
          <w:szCs w:val="32"/>
        </w:rPr>
      </w:pPr>
      <w:r>
        <w:rPr>
          <w:rFonts w:hint="eastAsia" w:ascii="仿宋" w:hAnsi="仿宋" w:eastAsia="仿宋" w:cs="仿宋"/>
          <w:b/>
          <w:bCs/>
          <w:color w:val="111111"/>
          <w:kern w:val="0"/>
          <w:sz w:val="32"/>
          <w:szCs w:val="32"/>
        </w:rPr>
        <w:t>第十四条</w:t>
      </w:r>
      <w:r>
        <w:rPr>
          <w:rFonts w:hint="eastAsia" w:ascii="仿宋" w:hAnsi="仿宋" w:eastAsia="仿宋" w:cs="仿宋"/>
          <w:color w:val="111111"/>
          <w:kern w:val="0"/>
          <w:sz w:val="32"/>
          <w:szCs w:val="32"/>
        </w:rPr>
        <w:t xml:space="preserve"> 党组议事决策一般采用党组会议形式。党组会议一般每月召开1次，遇有重要情况可以随时召开。</w:t>
      </w:r>
    </w:p>
    <w:p w14:paraId="07273FC3">
      <w:pPr>
        <w:widowControl/>
        <w:spacing w:line="560" w:lineRule="exact"/>
        <w:ind w:firstLine="643" w:firstLineChars="200"/>
        <w:jc w:val="left"/>
        <w:rPr>
          <w:rFonts w:ascii="仿宋" w:hAnsi="仿宋" w:eastAsia="仿宋" w:cs="仿宋"/>
          <w:color w:val="111111"/>
          <w:kern w:val="0"/>
          <w:sz w:val="32"/>
          <w:szCs w:val="32"/>
        </w:rPr>
      </w:pPr>
      <w:r>
        <w:rPr>
          <w:rFonts w:hint="eastAsia" w:ascii="仿宋" w:hAnsi="仿宋" w:eastAsia="仿宋" w:cs="仿宋"/>
          <w:b/>
          <w:bCs/>
          <w:color w:val="111111"/>
          <w:kern w:val="0"/>
          <w:sz w:val="32"/>
          <w:szCs w:val="32"/>
        </w:rPr>
        <w:t>第十五条</w:t>
      </w:r>
      <w:r>
        <w:rPr>
          <w:rFonts w:hint="eastAsia" w:ascii="仿宋" w:hAnsi="仿宋" w:eastAsia="仿宋" w:cs="仿宋"/>
          <w:color w:val="111111"/>
          <w:kern w:val="0"/>
          <w:sz w:val="32"/>
          <w:szCs w:val="32"/>
        </w:rPr>
        <w:t xml:space="preserve"> 党组会议由党组成员组成，由党组书记召集和主持。党组书记不能出席会议时，可委托党组成员召集并主持。党组书记不能出席会议时，不得研究决定人事调配事项。</w:t>
      </w:r>
    </w:p>
    <w:p w14:paraId="45C683B3">
      <w:pPr>
        <w:widowControl/>
        <w:spacing w:line="560" w:lineRule="exact"/>
        <w:ind w:firstLine="643" w:firstLineChars="200"/>
        <w:jc w:val="left"/>
        <w:rPr>
          <w:rFonts w:ascii="仿宋" w:hAnsi="仿宋" w:eastAsia="仿宋" w:cs="仿宋"/>
          <w:color w:val="111111"/>
          <w:kern w:val="0"/>
          <w:sz w:val="32"/>
          <w:szCs w:val="32"/>
        </w:rPr>
      </w:pPr>
      <w:r>
        <w:rPr>
          <w:rFonts w:hint="eastAsia" w:ascii="仿宋" w:hAnsi="仿宋" w:eastAsia="仿宋" w:cs="仿宋"/>
          <w:b/>
          <w:bCs/>
          <w:color w:val="111111"/>
          <w:kern w:val="0"/>
          <w:sz w:val="32"/>
          <w:szCs w:val="32"/>
        </w:rPr>
        <w:t>第十六条</w:t>
      </w:r>
      <w:r>
        <w:rPr>
          <w:rFonts w:hint="eastAsia" w:ascii="仿宋" w:hAnsi="仿宋" w:eastAsia="仿宋" w:cs="仿宋"/>
          <w:color w:val="111111"/>
          <w:kern w:val="0"/>
          <w:sz w:val="32"/>
          <w:szCs w:val="32"/>
        </w:rPr>
        <w:t xml:space="preserve"> 党组会议须有过半数党组成员出席方可召开，研究干部任免事项时必须有三分之二成员出席。</w:t>
      </w:r>
    </w:p>
    <w:p w14:paraId="205FBF0A">
      <w:pPr>
        <w:widowControl/>
        <w:spacing w:line="560" w:lineRule="exact"/>
        <w:ind w:firstLine="643" w:firstLineChars="200"/>
        <w:jc w:val="left"/>
        <w:rPr>
          <w:rFonts w:ascii="仿宋" w:hAnsi="仿宋" w:eastAsia="仿宋" w:cs="仿宋"/>
          <w:color w:val="111111"/>
          <w:kern w:val="0"/>
          <w:sz w:val="32"/>
          <w:szCs w:val="32"/>
        </w:rPr>
      </w:pPr>
      <w:r>
        <w:rPr>
          <w:rFonts w:hint="eastAsia" w:ascii="仿宋" w:hAnsi="仿宋" w:eastAsia="仿宋" w:cs="仿宋"/>
          <w:b/>
          <w:bCs/>
          <w:color w:val="111111"/>
          <w:kern w:val="0"/>
          <w:sz w:val="32"/>
          <w:szCs w:val="32"/>
        </w:rPr>
        <w:t>第十七条</w:t>
      </w:r>
      <w:r>
        <w:rPr>
          <w:rFonts w:hint="eastAsia" w:ascii="仿宋" w:hAnsi="仿宋" w:eastAsia="仿宋" w:cs="仿宋"/>
          <w:color w:val="111111"/>
          <w:kern w:val="0"/>
          <w:sz w:val="32"/>
          <w:szCs w:val="32"/>
        </w:rPr>
        <w:t xml:space="preserve"> 召开党组会议可以请不是党组成员的领导班子成员列席。会议召集人可以根据议题指定有关人员列席会议。党组成员或列席人员因故不能参加会议的，应在会前向党组书记请假。议题涉及与会成员本人及其亲属需要回避时，本人必须回避。</w:t>
      </w:r>
    </w:p>
    <w:p w14:paraId="4E07C226">
      <w:pPr>
        <w:widowControl/>
        <w:spacing w:line="560" w:lineRule="exact"/>
        <w:ind w:firstLine="643" w:firstLineChars="200"/>
        <w:jc w:val="left"/>
        <w:rPr>
          <w:rFonts w:ascii="仿宋" w:hAnsi="仿宋" w:eastAsia="仿宋" w:cs="仿宋"/>
          <w:color w:val="111111"/>
          <w:kern w:val="0"/>
          <w:sz w:val="32"/>
          <w:szCs w:val="32"/>
        </w:rPr>
      </w:pPr>
      <w:r>
        <w:rPr>
          <w:rFonts w:hint="eastAsia" w:ascii="仿宋" w:hAnsi="仿宋" w:eastAsia="仿宋" w:cs="仿宋"/>
          <w:b/>
          <w:bCs/>
          <w:color w:val="111111"/>
          <w:kern w:val="0"/>
          <w:sz w:val="32"/>
          <w:szCs w:val="32"/>
        </w:rPr>
        <w:t>第十八条</w:t>
      </w:r>
      <w:r>
        <w:rPr>
          <w:rFonts w:hint="eastAsia" w:ascii="仿宋" w:hAnsi="仿宋" w:eastAsia="仿宋" w:cs="仿宋"/>
          <w:color w:val="111111"/>
          <w:kern w:val="0"/>
          <w:sz w:val="32"/>
          <w:szCs w:val="32"/>
        </w:rPr>
        <w:t xml:space="preserve"> 局党组指定专人承办党组会议的日常事务，具体负责议题汇报、通知、材料发送和会议记录等工作。</w:t>
      </w:r>
    </w:p>
    <w:p w14:paraId="390F468F">
      <w:pPr>
        <w:widowControl/>
        <w:spacing w:line="560" w:lineRule="exact"/>
        <w:ind w:firstLine="643" w:firstLineChars="200"/>
        <w:jc w:val="left"/>
        <w:rPr>
          <w:rFonts w:ascii="仿宋" w:hAnsi="仿宋" w:eastAsia="仿宋" w:cs="仿宋"/>
          <w:color w:val="111111"/>
          <w:kern w:val="0"/>
          <w:sz w:val="32"/>
          <w:szCs w:val="32"/>
        </w:rPr>
      </w:pPr>
      <w:r>
        <w:rPr>
          <w:rFonts w:hint="eastAsia" w:ascii="仿宋" w:hAnsi="仿宋" w:eastAsia="仿宋" w:cs="仿宋"/>
          <w:b/>
          <w:bCs/>
          <w:color w:val="111111"/>
          <w:kern w:val="0"/>
          <w:sz w:val="32"/>
          <w:szCs w:val="32"/>
        </w:rPr>
        <w:t>第十九条</w:t>
      </w:r>
      <w:r>
        <w:rPr>
          <w:rFonts w:hint="eastAsia" w:ascii="仿宋" w:hAnsi="仿宋" w:eastAsia="仿宋" w:cs="仿宋"/>
          <w:color w:val="111111"/>
          <w:kern w:val="0"/>
          <w:sz w:val="32"/>
          <w:szCs w:val="32"/>
        </w:rPr>
        <w:t xml:space="preserve"> 党组会议除因特殊紧急情况临时召开的以外，应提前通知每位党组成员。</w:t>
      </w:r>
    </w:p>
    <w:p w14:paraId="52319E0F">
      <w:pPr>
        <w:widowControl/>
        <w:spacing w:line="560" w:lineRule="exact"/>
        <w:ind w:firstLine="643" w:firstLineChars="200"/>
        <w:jc w:val="left"/>
        <w:rPr>
          <w:rFonts w:ascii="仿宋" w:hAnsi="仿宋" w:eastAsia="仿宋" w:cs="仿宋"/>
          <w:color w:val="111111"/>
          <w:kern w:val="0"/>
          <w:sz w:val="32"/>
          <w:szCs w:val="32"/>
        </w:rPr>
      </w:pPr>
      <w:r>
        <w:rPr>
          <w:rFonts w:hint="eastAsia" w:ascii="仿宋" w:hAnsi="仿宋" w:eastAsia="仿宋" w:cs="仿宋"/>
          <w:b/>
          <w:bCs/>
          <w:color w:val="111111"/>
          <w:kern w:val="0"/>
          <w:sz w:val="32"/>
          <w:szCs w:val="32"/>
        </w:rPr>
        <w:t>第二十条</w:t>
      </w:r>
      <w:r>
        <w:rPr>
          <w:rFonts w:hint="eastAsia" w:ascii="仿宋" w:hAnsi="仿宋" w:eastAsia="仿宋" w:cs="仿宋"/>
          <w:color w:val="111111"/>
          <w:kern w:val="0"/>
          <w:sz w:val="32"/>
          <w:szCs w:val="32"/>
        </w:rPr>
        <w:t xml:space="preserve"> 健全党内民主生活，局党组每年至少召开2次民主生活会。</w:t>
      </w:r>
    </w:p>
    <w:p w14:paraId="5555B515">
      <w:pPr>
        <w:widowControl/>
        <w:spacing w:line="560" w:lineRule="exact"/>
        <w:ind w:firstLine="643" w:firstLineChars="200"/>
        <w:jc w:val="center"/>
        <w:rPr>
          <w:rFonts w:ascii="仿宋" w:hAnsi="仿宋" w:eastAsia="仿宋" w:cs="仿宋"/>
          <w:b/>
          <w:bCs/>
          <w:color w:val="111111"/>
          <w:kern w:val="0"/>
          <w:sz w:val="32"/>
          <w:szCs w:val="32"/>
        </w:rPr>
      </w:pPr>
      <w:r>
        <w:rPr>
          <w:rFonts w:hint="eastAsia" w:ascii="仿宋" w:hAnsi="仿宋" w:eastAsia="仿宋" w:cs="仿宋"/>
          <w:b/>
          <w:bCs/>
          <w:color w:val="111111"/>
          <w:kern w:val="0"/>
          <w:sz w:val="32"/>
          <w:szCs w:val="32"/>
        </w:rPr>
        <w:t>第四章 议事程序</w:t>
      </w:r>
    </w:p>
    <w:p w14:paraId="7D1B9E8E">
      <w:pPr>
        <w:widowControl/>
        <w:spacing w:line="560" w:lineRule="exact"/>
        <w:ind w:firstLine="643" w:firstLineChars="200"/>
        <w:jc w:val="left"/>
        <w:rPr>
          <w:rFonts w:ascii="仿宋" w:hAnsi="仿宋" w:eastAsia="仿宋" w:cs="仿宋"/>
          <w:color w:val="111111"/>
          <w:kern w:val="0"/>
          <w:sz w:val="32"/>
          <w:szCs w:val="32"/>
        </w:rPr>
      </w:pPr>
      <w:r>
        <w:rPr>
          <w:rFonts w:hint="eastAsia" w:ascii="仿宋" w:hAnsi="仿宋" w:eastAsia="仿宋" w:cs="仿宋"/>
          <w:b/>
          <w:bCs/>
          <w:color w:val="111111"/>
          <w:kern w:val="0"/>
          <w:sz w:val="32"/>
          <w:szCs w:val="32"/>
        </w:rPr>
        <w:t>第二十一条</w:t>
      </w:r>
      <w:r>
        <w:rPr>
          <w:rFonts w:hint="eastAsia" w:ascii="仿宋" w:hAnsi="仿宋" w:eastAsia="仿宋" w:cs="仿宋"/>
          <w:color w:val="111111"/>
          <w:kern w:val="0"/>
          <w:sz w:val="32"/>
          <w:szCs w:val="32"/>
        </w:rPr>
        <w:t xml:space="preserve"> 提出预案。拟提交党组会议审议的议题，应当进行调查研究，充分听取各方面意见，详细论证，形成明确具体的方案建议。</w:t>
      </w:r>
    </w:p>
    <w:p w14:paraId="02346CE4">
      <w:pPr>
        <w:widowControl/>
        <w:spacing w:line="560" w:lineRule="exact"/>
        <w:ind w:firstLine="643" w:firstLineChars="200"/>
        <w:jc w:val="left"/>
        <w:rPr>
          <w:rFonts w:ascii="仿宋" w:hAnsi="仿宋" w:eastAsia="仿宋" w:cs="仿宋"/>
          <w:color w:val="111111"/>
          <w:kern w:val="0"/>
          <w:sz w:val="32"/>
          <w:szCs w:val="32"/>
        </w:rPr>
      </w:pPr>
      <w:r>
        <w:rPr>
          <w:rFonts w:hint="eastAsia" w:ascii="仿宋" w:hAnsi="仿宋" w:eastAsia="仿宋" w:cs="仿宋"/>
          <w:b/>
          <w:bCs/>
          <w:color w:val="111111"/>
          <w:kern w:val="0"/>
          <w:sz w:val="32"/>
          <w:szCs w:val="32"/>
        </w:rPr>
        <w:t>第二十二条</w:t>
      </w:r>
      <w:r>
        <w:rPr>
          <w:rFonts w:hint="eastAsia" w:ascii="仿宋" w:hAnsi="仿宋" w:eastAsia="仿宋" w:cs="仿宋"/>
          <w:color w:val="111111"/>
          <w:kern w:val="0"/>
          <w:sz w:val="32"/>
          <w:szCs w:val="32"/>
        </w:rPr>
        <w:t xml:space="preserve"> 确定议题。党组会议议题由党组书记提出，或者由其他党组成员提出建议、党组书记综合考虑后确定。对会议议题如有意见或建议，可在会议召开前提出。除特殊情况外，一般不临时增加议题。</w:t>
      </w:r>
    </w:p>
    <w:p w14:paraId="353E33E6">
      <w:pPr>
        <w:widowControl/>
        <w:spacing w:line="560" w:lineRule="exact"/>
        <w:ind w:firstLine="643" w:firstLineChars="200"/>
        <w:jc w:val="left"/>
        <w:rPr>
          <w:rFonts w:ascii="仿宋" w:hAnsi="仿宋" w:eastAsia="仿宋" w:cs="仿宋"/>
          <w:color w:val="111111"/>
          <w:kern w:val="0"/>
          <w:sz w:val="32"/>
          <w:szCs w:val="32"/>
        </w:rPr>
      </w:pPr>
      <w:r>
        <w:rPr>
          <w:rFonts w:hint="eastAsia" w:ascii="仿宋" w:hAnsi="仿宋" w:eastAsia="仿宋" w:cs="仿宋"/>
          <w:b/>
          <w:bCs/>
          <w:color w:val="111111"/>
          <w:kern w:val="0"/>
          <w:sz w:val="32"/>
          <w:szCs w:val="32"/>
        </w:rPr>
        <w:t>第二十三条</w:t>
      </w:r>
      <w:r>
        <w:rPr>
          <w:rFonts w:hint="eastAsia" w:ascii="仿宋" w:hAnsi="仿宋" w:eastAsia="仿宋" w:cs="仿宋"/>
          <w:color w:val="111111"/>
          <w:kern w:val="0"/>
          <w:sz w:val="32"/>
          <w:szCs w:val="32"/>
        </w:rPr>
        <w:t xml:space="preserve"> 会前准备。会议议题确定后，由议题承办部门准备汇报材料并提出解决方案和建议，会前由分管的党组成员进行审核把关，涉及党组其他成员分管工作的应当主动协商。需要提请会议讨论的重要工作文件、重要活动方案、重要项目安排等有关材料，应提前分送党组成员和列席人员。</w:t>
      </w:r>
    </w:p>
    <w:p w14:paraId="204750EE">
      <w:pPr>
        <w:widowControl/>
        <w:spacing w:line="560" w:lineRule="exact"/>
        <w:ind w:firstLine="643" w:firstLineChars="200"/>
        <w:jc w:val="left"/>
        <w:rPr>
          <w:rFonts w:ascii="仿宋" w:hAnsi="仿宋" w:eastAsia="仿宋" w:cs="仿宋"/>
          <w:color w:val="111111"/>
          <w:kern w:val="0"/>
          <w:sz w:val="32"/>
          <w:szCs w:val="32"/>
        </w:rPr>
      </w:pPr>
      <w:r>
        <w:rPr>
          <w:rFonts w:hint="eastAsia" w:ascii="仿宋" w:hAnsi="仿宋" w:eastAsia="仿宋" w:cs="仿宋"/>
          <w:b/>
          <w:bCs/>
          <w:color w:val="111111"/>
          <w:kern w:val="0"/>
          <w:sz w:val="32"/>
          <w:szCs w:val="32"/>
        </w:rPr>
        <w:t>第二十四条</w:t>
      </w:r>
      <w:r>
        <w:rPr>
          <w:rFonts w:hint="eastAsia" w:ascii="仿宋" w:hAnsi="仿宋" w:eastAsia="仿宋" w:cs="仿宋"/>
          <w:color w:val="111111"/>
          <w:kern w:val="0"/>
          <w:sz w:val="32"/>
          <w:szCs w:val="32"/>
        </w:rPr>
        <w:t xml:space="preserve"> 充分酝酿。党组会议讨论决定的重大问题，党组书记可以在会前听取党组成员意见，进行个别酝酿，广泛征求班子成员的意见。重要人事安排应当提前沟通酝酿。</w:t>
      </w:r>
    </w:p>
    <w:p w14:paraId="1A9F30E4">
      <w:pPr>
        <w:widowControl/>
        <w:spacing w:line="560" w:lineRule="exact"/>
        <w:ind w:firstLine="643" w:firstLineChars="200"/>
        <w:jc w:val="left"/>
        <w:rPr>
          <w:rFonts w:ascii="仿宋" w:hAnsi="仿宋" w:eastAsia="仿宋" w:cs="仿宋"/>
          <w:color w:val="111111"/>
          <w:kern w:val="0"/>
          <w:sz w:val="32"/>
          <w:szCs w:val="32"/>
        </w:rPr>
      </w:pPr>
      <w:r>
        <w:rPr>
          <w:rFonts w:hint="eastAsia" w:ascii="仿宋" w:hAnsi="仿宋" w:eastAsia="仿宋" w:cs="仿宋"/>
          <w:b/>
          <w:bCs/>
          <w:color w:val="111111"/>
          <w:kern w:val="0"/>
          <w:sz w:val="32"/>
          <w:szCs w:val="32"/>
        </w:rPr>
        <w:t>第二十五条</w:t>
      </w:r>
      <w:r>
        <w:rPr>
          <w:rFonts w:hint="eastAsia" w:ascii="仿宋" w:hAnsi="仿宋" w:eastAsia="仿宋" w:cs="仿宋"/>
          <w:color w:val="111111"/>
          <w:kern w:val="0"/>
          <w:sz w:val="32"/>
          <w:szCs w:val="32"/>
        </w:rPr>
        <w:t xml:space="preserve"> 民主讨论。党组会议讨论的议题，由承办部门负责人向会议作全面汇报，分管的党组成员可对有关情况进行补充说明，出席会议的党组成员应对审议的议题充分发表意见。</w:t>
      </w:r>
    </w:p>
    <w:p w14:paraId="1BE858D0">
      <w:pPr>
        <w:widowControl/>
        <w:spacing w:line="560" w:lineRule="exact"/>
        <w:ind w:firstLine="643" w:firstLineChars="200"/>
        <w:jc w:val="left"/>
        <w:rPr>
          <w:rFonts w:ascii="仿宋" w:hAnsi="仿宋" w:eastAsia="仿宋" w:cs="仿宋"/>
          <w:color w:val="111111"/>
          <w:kern w:val="0"/>
          <w:sz w:val="32"/>
          <w:szCs w:val="32"/>
        </w:rPr>
      </w:pPr>
      <w:r>
        <w:rPr>
          <w:rFonts w:hint="eastAsia" w:ascii="仿宋" w:hAnsi="仿宋" w:eastAsia="仿宋" w:cs="仿宋"/>
          <w:b/>
          <w:bCs/>
          <w:color w:val="111111"/>
          <w:kern w:val="0"/>
          <w:sz w:val="32"/>
          <w:szCs w:val="32"/>
        </w:rPr>
        <w:t>第二十六条</w:t>
      </w:r>
      <w:r>
        <w:rPr>
          <w:rFonts w:hint="eastAsia" w:ascii="仿宋" w:hAnsi="仿宋" w:eastAsia="仿宋" w:cs="仿宋"/>
          <w:color w:val="111111"/>
          <w:kern w:val="0"/>
          <w:sz w:val="32"/>
          <w:szCs w:val="32"/>
        </w:rPr>
        <w:t xml:space="preserve"> 会议决定。在议题经过党组会议充分讨论后，由会议主持人按照少数服从多数的原则集中讨论意见，会议表决后做出决议。表决可以采用口头、举手、无记名投票或者记名投票等方式进行，赞成票超过应到会党组成员半数为通过。未到会党组成员的书面意见不得计入票数。表决实行主持人末位表态制。会议研究决定多个事项的，应当逐项进行表决。对于重大问题有分歧意见，除紧急情况下必须按多数意见执行外，需暂缓作出决定，待进一步调查研究，沟通协调后，再另行召开会议讨论。</w:t>
      </w:r>
    </w:p>
    <w:p w14:paraId="054ED707">
      <w:pPr>
        <w:widowControl/>
        <w:spacing w:line="560" w:lineRule="exact"/>
        <w:ind w:firstLine="643" w:firstLineChars="200"/>
        <w:jc w:val="left"/>
        <w:rPr>
          <w:rFonts w:ascii="仿宋" w:hAnsi="仿宋" w:eastAsia="仿宋" w:cs="仿宋"/>
          <w:color w:val="111111"/>
          <w:kern w:val="0"/>
          <w:sz w:val="32"/>
          <w:szCs w:val="32"/>
        </w:rPr>
      </w:pPr>
      <w:r>
        <w:rPr>
          <w:rFonts w:hint="eastAsia" w:ascii="仿宋" w:hAnsi="仿宋" w:eastAsia="仿宋" w:cs="仿宋"/>
          <w:b/>
          <w:bCs/>
          <w:color w:val="111111"/>
          <w:kern w:val="0"/>
          <w:sz w:val="32"/>
          <w:szCs w:val="32"/>
        </w:rPr>
        <w:t>第二十七条</w:t>
      </w:r>
      <w:r>
        <w:rPr>
          <w:rFonts w:hint="eastAsia" w:ascii="仿宋" w:hAnsi="仿宋" w:eastAsia="仿宋" w:cs="仿宋"/>
          <w:color w:val="111111"/>
          <w:kern w:val="0"/>
          <w:sz w:val="32"/>
          <w:szCs w:val="32"/>
        </w:rPr>
        <w:t xml:space="preserve"> 提交党组会讨论的局管干部选拔任用、表彰奖励等事项，局政治(警务)部事先征求局纪检组意见，严格按照干部选拔任用规定执行。</w:t>
      </w:r>
    </w:p>
    <w:p w14:paraId="0A6429F2">
      <w:pPr>
        <w:widowControl/>
        <w:spacing w:line="560" w:lineRule="exact"/>
        <w:ind w:firstLine="643" w:firstLineChars="200"/>
        <w:jc w:val="left"/>
        <w:rPr>
          <w:rFonts w:ascii="仿宋" w:hAnsi="仿宋" w:eastAsia="仿宋" w:cs="仿宋"/>
          <w:color w:val="111111"/>
          <w:kern w:val="0"/>
          <w:sz w:val="32"/>
          <w:szCs w:val="32"/>
        </w:rPr>
      </w:pPr>
      <w:r>
        <w:rPr>
          <w:rFonts w:hint="eastAsia" w:ascii="仿宋" w:hAnsi="仿宋" w:eastAsia="仿宋" w:cs="仿宋"/>
          <w:b/>
          <w:bCs/>
          <w:color w:val="111111"/>
          <w:kern w:val="0"/>
          <w:sz w:val="32"/>
          <w:szCs w:val="32"/>
        </w:rPr>
        <w:t>第二十八条</w:t>
      </w:r>
      <w:r>
        <w:rPr>
          <w:rFonts w:hint="eastAsia" w:ascii="仿宋" w:hAnsi="仿宋" w:eastAsia="仿宋" w:cs="仿宋"/>
          <w:color w:val="111111"/>
          <w:kern w:val="0"/>
          <w:sz w:val="32"/>
          <w:szCs w:val="32"/>
        </w:rPr>
        <w:t xml:space="preserve"> 党组会议作出的决议，由党组书记或指定专人向未能到会的党组成员通报。</w:t>
      </w:r>
    </w:p>
    <w:p w14:paraId="17F6A2F2">
      <w:pPr>
        <w:widowControl/>
        <w:spacing w:line="560" w:lineRule="exact"/>
        <w:ind w:firstLine="643" w:firstLineChars="200"/>
        <w:jc w:val="left"/>
        <w:rPr>
          <w:rFonts w:ascii="仿宋" w:hAnsi="仿宋" w:eastAsia="仿宋" w:cs="仿宋"/>
          <w:color w:val="111111"/>
          <w:kern w:val="0"/>
          <w:sz w:val="32"/>
          <w:szCs w:val="32"/>
        </w:rPr>
      </w:pPr>
      <w:r>
        <w:rPr>
          <w:rFonts w:hint="eastAsia" w:ascii="仿宋" w:hAnsi="仿宋" w:eastAsia="仿宋" w:cs="仿宋"/>
          <w:b/>
          <w:bCs/>
          <w:color w:val="111111"/>
          <w:kern w:val="0"/>
          <w:sz w:val="32"/>
          <w:szCs w:val="32"/>
        </w:rPr>
        <w:t>第二十九条</w:t>
      </w:r>
      <w:r>
        <w:rPr>
          <w:rFonts w:hint="eastAsia" w:ascii="仿宋" w:hAnsi="仿宋" w:eastAsia="仿宋" w:cs="仿宋"/>
          <w:color w:val="111111"/>
          <w:kern w:val="0"/>
          <w:sz w:val="32"/>
          <w:szCs w:val="32"/>
        </w:rPr>
        <w:t xml:space="preserve"> 党组重大决策应向市委、省司法厅党委作出专题报告。</w:t>
      </w:r>
    </w:p>
    <w:p w14:paraId="76F89314">
      <w:pPr>
        <w:widowControl/>
        <w:spacing w:line="560" w:lineRule="exact"/>
        <w:ind w:firstLine="643" w:firstLineChars="200"/>
        <w:jc w:val="center"/>
        <w:rPr>
          <w:rFonts w:ascii="仿宋" w:hAnsi="仿宋" w:eastAsia="仿宋" w:cs="仿宋"/>
          <w:b/>
          <w:bCs/>
          <w:color w:val="111111"/>
          <w:kern w:val="0"/>
          <w:sz w:val="32"/>
          <w:szCs w:val="32"/>
        </w:rPr>
      </w:pPr>
      <w:r>
        <w:rPr>
          <w:rFonts w:hint="eastAsia" w:ascii="仿宋" w:hAnsi="仿宋" w:eastAsia="仿宋" w:cs="仿宋"/>
          <w:b/>
          <w:bCs/>
          <w:color w:val="111111"/>
          <w:kern w:val="0"/>
          <w:sz w:val="32"/>
          <w:szCs w:val="32"/>
        </w:rPr>
        <w:t>第五章 决策实施</w:t>
      </w:r>
    </w:p>
    <w:p w14:paraId="1A02E2A5">
      <w:pPr>
        <w:widowControl/>
        <w:spacing w:line="560" w:lineRule="exact"/>
        <w:ind w:firstLine="643" w:firstLineChars="200"/>
        <w:jc w:val="left"/>
        <w:rPr>
          <w:rFonts w:ascii="仿宋" w:hAnsi="仿宋" w:eastAsia="仿宋" w:cs="仿宋"/>
          <w:color w:val="111111"/>
          <w:kern w:val="0"/>
          <w:sz w:val="32"/>
          <w:szCs w:val="32"/>
        </w:rPr>
      </w:pPr>
      <w:r>
        <w:rPr>
          <w:rFonts w:hint="eastAsia" w:ascii="仿宋" w:hAnsi="仿宋" w:eastAsia="仿宋" w:cs="仿宋"/>
          <w:b/>
          <w:bCs/>
          <w:color w:val="111111"/>
          <w:kern w:val="0"/>
          <w:sz w:val="32"/>
          <w:szCs w:val="32"/>
        </w:rPr>
        <w:t>第三十条</w:t>
      </w:r>
      <w:r>
        <w:rPr>
          <w:rFonts w:hint="eastAsia" w:ascii="仿宋" w:hAnsi="仿宋" w:eastAsia="仿宋" w:cs="仿宋"/>
          <w:color w:val="111111"/>
          <w:kern w:val="0"/>
          <w:sz w:val="32"/>
          <w:szCs w:val="32"/>
        </w:rPr>
        <w:t xml:space="preserve"> 党组会议作出的决议，要按照集体领导、分工负责的原则，由分管成员认真组织实施，党组书记对组织实施工作负总责。</w:t>
      </w:r>
    </w:p>
    <w:p w14:paraId="306CD529">
      <w:pPr>
        <w:widowControl/>
        <w:spacing w:line="560" w:lineRule="exact"/>
        <w:ind w:firstLine="643" w:firstLineChars="200"/>
        <w:jc w:val="left"/>
        <w:rPr>
          <w:rFonts w:ascii="仿宋" w:hAnsi="仿宋" w:eastAsia="仿宋" w:cs="仿宋"/>
          <w:color w:val="111111"/>
          <w:kern w:val="0"/>
          <w:sz w:val="32"/>
          <w:szCs w:val="32"/>
        </w:rPr>
      </w:pPr>
      <w:r>
        <w:rPr>
          <w:rFonts w:hint="eastAsia" w:ascii="仿宋" w:hAnsi="仿宋" w:eastAsia="仿宋" w:cs="仿宋"/>
          <w:b/>
          <w:bCs/>
          <w:color w:val="111111"/>
          <w:kern w:val="0"/>
          <w:sz w:val="32"/>
          <w:szCs w:val="32"/>
        </w:rPr>
        <w:t>第三十一条</w:t>
      </w:r>
      <w:r>
        <w:rPr>
          <w:rFonts w:hint="eastAsia" w:ascii="仿宋" w:hAnsi="仿宋" w:eastAsia="仿宋" w:cs="仿宋"/>
          <w:color w:val="111111"/>
          <w:kern w:val="0"/>
          <w:sz w:val="32"/>
          <w:szCs w:val="32"/>
        </w:rPr>
        <w:t xml:space="preserve"> 党组决策一经作出，应当坚决执行。党组成员对党组决策有不同意见的，可以保留或者向上级党组织反映，但在党组决策改变前应当坚决执行。如在执行过程中发现新的情况需要复议，经党组书记同意后，可在党组会上复议。在重新作出决定前，不得有任何与党组会决议、决定相违背的言论和行动。</w:t>
      </w:r>
    </w:p>
    <w:p w14:paraId="52DBD9E0">
      <w:pPr>
        <w:widowControl/>
        <w:spacing w:line="560" w:lineRule="exact"/>
        <w:ind w:firstLine="643" w:firstLineChars="200"/>
        <w:jc w:val="left"/>
        <w:rPr>
          <w:rFonts w:ascii="仿宋" w:hAnsi="仿宋" w:eastAsia="仿宋" w:cs="仿宋"/>
          <w:color w:val="111111"/>
          <w:kern w:val="0"/>
          <w:sz w:val="32"/>
          <w:szCs w:val="32"/>
        </w:rPr>
      </w:pPr>
      <w:r>
        <w:rPr>
          <w:rFonts w:hint="eastAsia" w:ascii="仿宋" w:hAnsi="仿宋" w:eastAsia="仿宋" w:cs="仿宋"/>
          <w:b/>
          <w:bCs/>
          <w:color w:val="111111"/>
          <w:kern w:val="0"/>
          <w:sz w:val="32"/>
          <w:szCs w:val="32"/>
        </w:rPr>
        <w:t>第三十二条</w:t>
      </w:r>
      <w:r>
        <w:rPr>
          <w:rFonts w:hint="eastAsia" w:ascii="仿宋" w:hAnsi="仿宋" w:eastAsia="仿宋" w:cs="仿宋"/>
          <w:color w:val="111111"/>
          <w:kern w:val="0"/>
          <w:sz w:val="32"/>
          <w:szCs w:val="32"/>
        </w:rPr>
        <w:t xml:space="preserve"> 局党组会通过的决议和文件，凡可以传达的，应及时传达。应当公布的，应及时公布。</w:t>
      </w:r>
    </w:p>
    <w:p w14:paraId="78112F40">
      <w:pPr>
        <w:widowControl/>
        <w:spacing w:line="560" w:lineRule="exact"/>
        <w:jc w:val="center"/>
        <w:rPr>
          <w:rFonts w:ascii="仿宋" w:hAnsi="仿宋" w:eastAsia="仿宋" w:cs="仿宋"/>
          <w:color w:val="111111"/>
          <w:kern w:val="0"/>
          <w:sz w:val="32"/>
          <w:szCs w:val="32"/>
        </w:rPr>
      </w:pPr>
    </w:p>
    <w:p w14:paraId="2BD61D57">
      <w:pPr>
        <w:widowControl/>
        <w:spacing w:line="560" w:lineRule="exact"/>
        <w:ind w:firstLine="643" w:firstLineChars="200"/>
        <w:jc w:val="center"/>
        <w:rPr>
          <w:rFonts w:ascii="仿宋" w:hAnsi="仿宋" w:eastAsia="仿宋" w:cs="仿宋"/>
          <w:b/>
          <w:bCs/>
          <w:color w:val="111111"/>
          <w:kern w:val="0"/>
          <w:sz w:val="32"/>
          <w:szCs w:val="32"/>
        </w:rPr>
      </w:pPr>
      <w:r>
        <w:rPr>
          <w:rFonts w:hint="eastAsia" w:ascii="仿宋" w:hAnsi="仿宋" w:eastAsia="仿宋" w:cs="仿宋"/>
          <w:b/>
          <w:bCs/>
          <w:color w:val="111111"/>
          <w:kern w:val="0"/>
          <w:sz w:val="32"/>
          <w:szCs w:val="32"/>
        </w:rPr>
        <w:t>第六章 附则</w:t>
      </w:r>
    </w:p>
    <w:p w14:paraId="674B4228">
      <w:pPr>
        <w:widowControl/>
        <w:spacing w:line="560" w:lineRule="exact"/>
        <w:ind w:firstLine="643" w:firstLineChars="200"/>
        <w:jc w:val="left"/>
        <w:rPr>
          <w:rFonts w:ascii="仿宋" w:hAnsi="仿宋" w:eastAsia="仿宋" w:cs="仿宋"/>
          <w:color w:val="111111"/>
          <w:kern w:val="0"/>
          <w:sz w:val="32"/>
          <w:szCs w:val="32"/>
        </w:rPr>
      </w:pPr>
      <w:r>
        <w:rPr>
          <w:rFonts w:hint="eastAsia" w:ascii="仿宋" w:hAnsi="仿宋" w:eastAsia="仿宋" w:cs="仿宋"/>
          <w:b/>
          <w:bCs/>
          <w:color w:val="111111"/>
          <w:kern w:val="0"/>
          <w:sz w:val="32"/>
          <w:szCs w:val="32"/>
        </w:rPr>
        <w:t>第三十三条</w:t>
      </w:r>
      <w:r>
        <w:rPr>
          <w:rFonts w:hint="eastAsia" w:ascii="仿宋" w:hAnsi="仿宋" w:eastAsia="仿宋" w:cs="仿宋"/>
          <w:color w:val="111111"/>
          <w:kern w:val="0"/>
          <w:sz w:val="32"/>
          <w:szCs w:val="32"/>
        </w:rPr>
        <w:t xml:space="preserve"> 党组会议的讨论情况及相关内容，党组成员及有关列席会议的人员应当严格保守秘密，严守党的纪律，不得以任何方式泄露。</w:t>
      </w:r>
    </w:p>
    <w:p w14:paraId="77B6E849">
      <w:pPr>
        <w:widowControl/>
        <w:spacing w:line="560" w:lineRule="exact"/>
        <w:ind w:firstLine="643" w:firstLineChars="200"/>
        <w:jc w:val="left"/>
        <w:rPr>
          <w:rFonts w:ascii="仿宋" w:hAnsi="仿宋" w:eastAsia="仿宋" w:cs="仿宋"/>
          <w:color w:val="111111"/>
          <w:kern w:val="0"/>
          <w:sz w:val="32"/>
          <w:szCs w:val="32"/>
        </w:rPr>
      </w:pPr>
      <w:r>
        <w:rPr>
          <w:rFonts w:hint="eastAsia" w:ascii="仿宋" w:hAnsi="仿宋" w:eastAsia="仿宋" w:cs="仿宋"/>
          <w:b/>
          <w:bCs/>
          <w:color w:val="111111"/>
          <w:kern w:val="0"/>
          <w:sz w:val="32"/>
          <w:szCs w:val="32"/>
        </w:rPr>
        <w:t>第三十四条</w:t>
      </w:r>
      <w:r>
        <w:rPr>
          <w:rFonts w:hint="eastAsia" w:ascii="仿宋" w:hAnsi="仿宋" w:eastAsia="仿宋" w:cs="仿宋"/>
          <w:color w:val="111111"/>
          <w:kern w:val="0"/>
          <w:sz w:val="32"/>
          <w:szCs w:val="32"/>
        </w:rPr>
        <w:t xml:space="preserve"> 本规则所涉及的内容，法律、法规及党和国家另有规定的，从其规定。</w:t>
      </w:r>
    </w:p>
    <w:p w14:paraId="3C24DC37">
      <w:pPr>
        <w:widowControl/>
        <w:spacing w:line="560" w:lineRule="exact"/>
        <w:ind w:firstLine="643" w:firstLineChars="200"/>
        <w:jc w:val="left"/>
        <w:rPr>
          <w:rFonts w:ascii="仿宋" w:hAnsi="仿宋" w:eastAsia="仿宋" w:cs="仿宋"/>
          <w:color w:val="111111"/>
          <w:kern w:val="0"/>
          <w:sz w:val="32"/>
          <w:szCs w:val="32"/>
        </w:rPr>
      </w:pPr>
      <w:r>
        <w:rPr>
          <w:rFonts w:hint="eastAsia" w:ascii="仿宋" w:hAnsi="仿宋" w:eastAsia="仿宋" w:cs="仿宋"/>
          <w:b/>
          <w:bCs/>
          <w:color w:val="111111"/>
          <w:kern w:val="0"/>
          <w:sz w:val="32"/>
          <w:szCs w:val="32"/>
        </w:rPr>
        <w:t>第三十五条</w:t>
      </w:r>
      <w:r>
        <w:rPr>
          <w:rFonts w:hint="eastAsia" w:ascii="仿宋" w:hAnsi="仿宋" w:eastAsia="仿宋" w:cs="仿宋"/>
          <w:color w:val="111111"/>
          <w:kern w:val="0"/>
          <w:sz w:val="32"/>
          <w:szCs w:val="32"/>
        </w:rPr>
        <w:t xml:space="preserve"> 本规则自发布之日起施行。</w:t>
      </w:r>
    </w:p>
    <w:p w14:paraId="48789B14">
      <w:pPr>
        <w:rPr>
          <w:rFonts w:ascii="仿宋_GB2312" w:hAnsi="华文仿宋" w:eastAsia="仿宋_GB2312"/>
          <w:sz w:val="32"/>
          <w:szCs w:val="32"/>
          <w:lang w:val="zh-CN"/>
        </w:rPr>
      </w:pPr>
      <w:r>
        <w:rPr>
          <w:rFonts w:hint="eastAsia" w:ascii="仿宋_GB2312" w:hAnsi="华文仿宋" w:eastAsia="仿宋_GB2312"/>
          <w:sz w:val="32"/>
          <w:szCs w:val="32"/>
          <w:lang w:val="zh-CN"/>
        </w:rPr>
        <w:br w:type="page"/>
      </w:r>
    </w:p>
    <w:p w14:paraId="2CDC7B18">
      <w:pPr>
        <w:rPr>
          <w:rFonts w:ascii="方正小标宋简体" w:eastAsia="方正小标宋简体"/>
          <w:sz w:val="44"/>
          <w:szCs w:val="44"/>
        </w:rPr>
      </w:pPr>
      <w:r>
        <w:rPr>
          <w:rFonts w:hint="eastAsia" w:ascii="方正小标宋简体" w:eastAsia="方正小标宋简体"/>
          <w:sz w:val="44"/>
          <w:szCs w:val="44"/>
        </w:rPr>
        <w:t xml:space="preserve">     中共白城市司法局党组专题议党制度</w:t>
      </w:r>
    </w:p>
    <w:p w14:paraId="7C3F7527">
      <w:pPr>
        <w:spacing w:line="560" w:lineRule="exact"/>
        <w:jc w:val="center"/>
        <w:rPr>
          <w:rFonts w:ascii="仿宋_GB2312" w:eastAsia="仿宋_GB2312"/>
          <w:sz w:val="32"/>
          <w:szCs w:val="32"/>
        </w:rPr>
      </w:pPr>
    </w:p>
    <w:p w14:paraId="44F46239">
      <w:pPr>
        <w:pStyle w:val="13"/>
        <w:shd w:val="clear" w:color="auto" w:fill="FFFFFF"/>
        <w:spacing w:before="0" w:beforeAutospacing="0" w:after="0" w:afterAutospacing="0" w:line="560" w:lineRule="exact"/>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为定期研究部署党建工作，努力提高党组指导党建工作的质量和水平，推动促进从严治党工作经常化、规范化，确保党组的各项工作任务按时按质地完成，特制定党组定期议党制度。</w:t>
      </w:r>
    </w:p>
    <w:p w14:paraId="626CF393">
      <w:pPr>
        <w:pStyle w:val="13"/>
        <w:shd w:val="clear" w:color="auto" w:fill="FFFFFF"/>
        <w:spacing w:before="0" w:beforeAutospacing="0" w:after="0" w:afterAutospacing="0" w:line="560" w:lineRule="exact"/>
        <w:ind w:firstLine="643" w:firstLineChars="200"/>
        <w:jc w:val="both"/>
        <w:rPr>
          <w:rFonts w:ascii="仿宋_GB2312" w:hAnsi="Arial" w:eastAsia="仿宋_GB2312" w:cs="Arial"/>
          <w:color w:val="000000"/>
          <w:sz w:val="32"/>
          <w:szCs w:val="32"/>
        </w:rPr>
      </w:pPr>
      <w:r>
        <w:rPr>
          <w:rFonts w:hint="eastAsia" w:ascii="仿宋_GB2312" w:hAnsi="Arial" w:eastAsia="仿宋_GB2312" w:cs="Arial"/>
          <w:b/>
          <w:bCs/>
          <w:color w:val="000000"/>
          <w:sz w:val="32"/>
          <w:szCs w:val="32"/>
        </w:rPr>
        <w:t>第一条</w:t>
      </w:r>
      <w:r>
        <w:rPr>
          <w:rFonts w:hint="eastAsia" w:ascii="仿宋_GB2312" w:hAnsi="Arial" w:eastAsia="仿宋_GB2312" w:cs="Arial"/>
          <w:color w:val="000000"/>
          <w:sz w:val="32"/>
          <w:szCs w:val="32"/>
        </w:rPr>
        <w:t xml:space="preserve"> 党组必须定期召开议党会议，一般每年度初召开一次党建工作分析和部署会议，每年度末召开一次总结性会议，同时部署下年度重点工作任务。会议由党组书记主持。</w:t>
      </w:r>
    </w:p>
    <w:p w14:paraId="5C8C1903">
      <w:pPr>
        <w:pStyle w:val="13"/>
        <w:shd w:val="clear" w:color="auto" w:fill="FFFFFF"/>
        <w:spacing w:before="0" w:beforeAutospacing="0" w:after="0" w:afterAutospacing="0" w:line="560" w:lineRule="exact"/>
        <w:ind w:firstLine="643" w:firstLineChars="200"/>
        <w:rPr>
          <w:rFonts w:ascii="仿宋_GB2312" w:hAnsi="Arial" w:eastAsia="仿宋_GB2312" w:cs="Arial"/>
          <w:color w:val="000000"/>
          <w:sz w:val="32"/>
          <w:szCs w:val="32"/>
        </w:rPr>
      </w:pPr>
      <w:r>
        <w:rPr>
          <w:rFonts w:hint="eastAsia" w:ascii="仿宋_GB2312" w:hAnsi="Arial" w:eastAsia="仿宋_GB2312" w:cs="Arial"/>
          <w:b/>
          <w:bCs/>
          <w:color w:val="000000"/>
          <w:sz w:val="32"/>
          <w:szCs w:val="32"/>
        </w:rPr>
        <w:t>第二条</w:t>
      </w:r>
      <w:r>
        <w:rPr>
          <w:rFonts w:hint="eastAsia" w:ascii="仿宋_GB2312" w:hAnsi="Arial" w:eastAsia="仿宋_GB2312" w:cs="Arial"/>
          <w:color w:val="000000"/>
          <w:sz w:val="32"/>
          <w:szCs w:val="32"/>
        </w:rPr>
        <w:t xml:space="preserve"> 党组定期议党主要内容</w:t>
      </w:r>
    </w:p>
    <w:p w14:paraId="7E6540D9">
      <w:pPr>
        <w:pStyle w:val="13"/>
        <w:shd w:val="clear" w:color="auto" w:fill="FFFFFF"/>
        <w:spacing w:before="0" w:beforeAutospacing="0" w:after="0" w:afterAutospacing="0" w:line="560" w:lineRule="exact"/>
        <w:ind w:firstLine="640" w:firstLineChars="200"/>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（一）认真分析党建工作形势，研究落实全年的党建工作规划及工作措施；</w:t>
      </w:r>
    </w:p>
    <w:p w14:paraId="0396F043">
      <w:pPr>
        <w:pStyle w:val="13"/>
        <w:shd w:val="clear" w:color="auto" w:fill="FFFFFF"/>
        <w:spacing w:before="0" w:beforeAutospacing="0" w:after="0" w:afterAutospacing="0" w:line="560" w:lineRule="exact"/>
        <w:ind w:firstLine="640" w:firstLineChars="200"/>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（二）及时总结党建工作方面的创新成果和工作经验，分析党建工作存在的问题和差距，提出加强和改进措施，部署党建工作任务；</w:t>
      </w:r>
    </w:p>
    <w:p w14:paraId="5BC0EB36">
      <w:pPr>
        <w:pStyle w:val="13"/>
        <w:shd w:val="clear" w:color="auto" w:fill="FFFFFF"/>
        <w:spacing w:before="0" w:beforeAutospacing="0" w:after="0" w:afterAutospacing="0" w:line="560" w:lineRule="exact"/>
        <w:ind w:firstLine="640" w:firstLineChars="200"/>
        <w:jc w:val="both"/>
        <w:rPr>
          <w:rFonts w:ascii="仿宋_GB2312" w:hAnsi="Arial" w:eastAsia="仿宋_GB2312" w:cs="Arial"/>
          <w:color w:val="000000"/>
          <w:sz w:val="32"/>
          <w:szCs w:val="32"/>
        </w:rPr>
      </w:pPr>
      <w:r>
        <w:rPr>
          <w:rFonts w:hint="eastAsia" w:ascii="仿宋_GB2312" w:hAnsi="Arial" w:eastAsia="仿宋_GB2312" w:cs="Arial"/>
          <w:color w:val="000000"/>
          <w:sz w:val="32"/>
          <w:szCs w:val="32"/>
        </w:rPr>
        <w:t>（三）对本局党员干部的思想、作风和发挥作用的情况，进行全面分析，并针对存在的问题，有针对性地开展教育活动。</w:t>
      </w:r>
    </w:p>
    <w:p w14:paraId="3696849C">
      <w:pPr>
        <w:pStyle w:val="13"/>
        <w:shd w:val="clear" w:color="auto" w:fill="FFFFFF"/>
        <w:spacing w:before="0" w:beforeAutospacing="0" w:after="0" w:afterAutospacing="0" w:line="560" w:lineRule="exact"/>
        <w:ind w:firstLine="482" w:firstLineChars="150"/>
        <w:rPr>
          <w:rFonts w:ascii="仿宋_GB2312" w:hAnsi="Arial" w:eastAsia="仿宋_GB2312" w:cs="Arial"/>
          <w:color w:val="000000"/>
          <w:sz w:val="32"/>
          <w:szCs w:val="32"/>
        </w:rPr>
      </w:pPr>
      <w:r>
        <w:rPr>
          <w:rFonts w:hint="eastAsia" w:ascii="仿宋_GB2312" w:hAnsi="Arial" w:eastAsia="仿宋_GB2312" w:cs="Arial"/>
          <w:b/>
          <w:bCs/>
          <w:color w:val="000000"/>
          <w:sz w:val="32"/>
          <w:szCs w:val="32"/>
        </w:rPr>
        <w:t>第三条</w:t>
      </w:r>
      <w:r>
        <w:rPr>
          <w:rFonts w:hint="eastAsia" w:ascii="仿宋_GB2312" w:hAnsi="Arial" w:eastAsia="仿宋_GB2312" w:cs="Arial"/>
          <w:color w:val="000000"/>
          <w:sz w:val="32"/>
          <w:szCs w:val="32"/>
        </w:rPr>
        <w:t xml:space="preserve"> 参加人员：局党组书记、党组成员参加定期议党工作会议，派驻纪检监察组组长和机关党委专职副书记列席会议。会议由政治部负责将会议议题提前一天通知参会人员。参会人员必须充分做好准备，没有特殊情况不准请假。</w:t>
      </w:r>
    </w:p>
    <w:p w14:paraId="42AF76BA">
      <w:pPr>
        <w:pStyle w:val="13"/>
        <w:shd w:val="clear" w:color="auto" w:fill="FFFFFF"/>
        <w:spacing w:before="0" w:beforeAutospacing="0" w:after="0" w:afterAutospacing="0" w:line="560" w:lineRule="exact"/>
        <w:ind w:firstLine="482" w:firstLineChars="150"/>
        <w:jc w:val="both"/>
        <w:rPr>
          <w:rFonts w:ascii="仿宋_GB2312" w:hAnsi="Arial" w:eastAsia="仿宋_GB2312" w:cs="Arial"/>
          <w:color w:val="000000"/>
          <w:sz w:val="32"/>
          <w:szCs w:val="32"/>
        </w:rPr>
      </w:pPr>
      <w:r>
        <w:rPr>
          <w:rFonts w:hint="eastAsia" w:ascii="仿宋_GB2312" w:hAnsi="Arial" w:eastAsia="仿宋_GB2312" w:cs="Arial"/>
          <w:b/>
          <w:bCs/>
          <w:color w:val="000000"/>
          <w:sz w:val="32"/>
          <w:szCs w:val="32"/>
        </w:rPr>
        <w:t>第四条</w:t>
      </w:r>
      <w:r>
        <w:rPr>
          <w:rFonts w:hint="eastAsia" w:ascii="仿宋_GB2312" w:hAnsi="Arial" w:eastAsia="仿宋_GB2312" w:cs="Arial"/>
          <w:color w:val="000000"/>
          <w:sz w:val="32"/>
          <w:szCs w:val="32"/>
        </w:rPr>
        <w:t xml:space="preserve"> 本制度规定的各项情形应严格执行，如有违反将视情节追究责任。</w:t>
      </w:r>
    </w:p>
    <w:p w14:paraId="5646A312">
      <w:pPr>
        <w:rPr>
          <w:rFonts w:ascii="仿宋_GB2312" w:hAnsi="Arial" w:eastAsia="仿宋_GB2312" w:cs="Arial"/>
          <w:color w:val="000000"/>
          <w:sz w:val="32"/>
          <w:szCs w:val="32"/>
        </w:rPr>
      </w:pPr>
      <w:r>
        <w:rPr>
          <w:rFonts w:hint="eastAsia" w:ascii="仿宋_GB2312" w:hAnsi="Arial" w:eastAsia="仿宋_GB2312" w:cs="Arial"/>
          <w:color w:val="000000"/>
          <w:sz w:val="32"/>
          <w:szCs w:val="32"/>
        </w:rPr>
        <w:br w:type="page"/>
      </w:r>
      <w:r>
        <w:rPr>
          <w:rFonts w:hint="eastAsia" w:ascii="仿宋_GB2312" w:hAnsi="Arial" w:eastAsia="仿宋_GB2312" w:cs="Arial"/>
          <w:color w:val="000000"/>
          <w:sz w:val="32"/>
          <w:szCs w:val="32"/>
        </w:rPr>
        <w:t xml:space="preserve">     </w:t>
      </w:r>
      <w:r>
        <w:rPr>
          <w:rFonts w:hint="eastAsia" w:ascii="方正小标宋_GBK" w:hAnsi="方正小标宋_GBK" w:eastAsia="方正小标宋_GBK" w:cs="方正小标宋_GBK"/>
          <w:color w:val="000000"/>
          <w:kern w:val="0"/>
          <w:sz w:val="44"/>
          <w:szCs w:val="44"/>
        </w:rPr>
        <w:t>白城市司法局“一把手”、“四不直管”制度</w:t>
      </w:r>
    </w:p>
    <w:p w14:paraId="7AD098D5">
      <w:pPr>
        <w:widowControl/>
        <w:snapToGrid w:val="0"/>
        <w:spacing w:line="560" w:lineRule="exact"/>
        <w:jc w:val="left"/>
        <w:rPr>
          <w:rFonts w:ascii="仿宋_GB2312" w:hAnsi="宋体" w:eastAsia="仿宋_GB2312" w:cs="宋体"/>
          <w:kern w:val="0"/>
          <w:sz w:val="32"/>
          <w:szCs w:val="32"/>
        </w:rPr>
      </w:pPr>
    </w:p>
    <w:p w14:paraId="7CFF5E04">
      <w:pPr>
        <w:widowControl/>
        <w:snapToGrid w:val="0"/>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为扎实推进我局预防腐败体系建设，构建决策权、执行权、监督权之间良性的相互制约机制，降低权力运行风险，合理分权，科学制权，更加规范权力运行，经局党组讨论通过，实行“一把手”“四不直管”制度。具体规定如下：</w:t>
      </w:r>
    </w:p>
    <w:p w14:paraId="1104101F">
      <w:pPr>
        <w:widowControl/>
        <w:snapToGrid w:val="0"/>
        <w:spacing w:line="560" w:lineRule="exact"/>
        <w:ind w:firstLine="640" w:firstLineChars="200"/>
        <w:jc w:val="left"/>
        <w:rPr>
          <w:rFonts w:ascii="黑体" w:hAnsi="宋体" w:eastAsia="黑体" w:cs="宋体"/>
          <w:color w:val="000000"/>
          <w:kern w:val="0"/>
          <w:sz w:val="32"/>
          <w:szCs w:val="32"/>
        </w:rPr>
      </w:pPr>
      <w:r>
        <w:rPr>
          <w:rFonts w:hint="eastAsia" w:ascii="黑体" w:hAnsi="宋体" w:eastAsia="黑体" w:cs="宋体"/>
          <w:color w:val="000000"/>
          <w:kern w:val="0"/>
          <w:sz w:val="32"/>
          <w:szCs w:val="32"/>
        </w:rPr>
        <w:t>第一条 不直接分管财务</w:t>
      </w:r>
    </w:p>
    <w:p w14:paraId="3A6B9E4B">
      <w:pPr>
        <w:widowControl/>
        <w:snapToGrid w:val="0"/>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局长（书记）不直接分管、审批财务工作，由分管财务领导具体负责。局长负责组织财务审计小组，对单位所发生的各种费用支出票据按期或不定期进行检查，发现问题及时纠正、处理。</w:t>
      </w:r>
    </w:p>
    <w:p w14:paraId="06B35BE5">
      <w:pPr>
        <w:widowControl/>
        <w:snapToGrid w:val="0"/>
        <w:spacing w:line="560" w:lineRule="exact"/>
        <w:ind w:firstLine="640" w:firstLineChars="200"/>
        <w:jc w:val="left"/>
        <w:rPr>
          <w:rFonts w:ascii="黑体" w:hAnsi="宋体" w:eastAsia="黑体" w:cs="宋体"/>
          <w:color w:val="000000"/>
          <w:kern w:val="0"/>
          <w:sz w:val="32"/>
          <w:szCs w:val="32"/>
        </w:rPr>
      </w:pPr>
      <w:r>
        <w:rPr>
          <w:rFonts w:hint="eastAsia" w:ascii="黑体" w:hAnsi="宋体" w:eastAsia="黑体" w:cs="宋体"/>
          <w:color w:val="000000"/>
          <w:kern w:val="0"/>
          <w:sz w:val="32"/>
          <w:szCs w:val="32"/>
        </w:rPr>
        <w:t>第二条 不直接分管干部人事</w:t>
      </w:r>
    </w:p>
    <w:p w14:paraId="46CF6C72">
      <w:pPr>
        <w:widowControl/>
        <w:snapToGrid w:val="0"/>
        <w:spacing w:line="560" w:lineRule="exact"/>
        <w:ind w:firstLine="640" w:firstLineChars="200"/>
        <w:jc w:val="left"/>
        <w:rPr>
          <w:rFonts w:ascii="仿宋_GB2312" w:hAnsi="宋体" w:eastAsia="仿宋_GB2312" w:cs="宋体"/>
          <w:color w:val="000000"/>
          <w:kern w:val="0"/>
          <w:sz w:val="32"/>
          <w:szCs w:val="32"/>
        </w:rPr>
      </w:pPr>
      <w:r>
        <w:rPr>
          <w:rFonts w:hint="eastAsia" w:ascii="仿宋" w:hAnsi="仿宋" w:eastAsia="仿宋" w:cs="仿宋"/>
          <w:color w:val="000000"/>
          <w:kern w:val="0"/>
          <w:sz w:val="32"/>
          <w:szCs w:val="32"/>
        </w:rPr>
        <w:t>人事工作由局分管领导具体负责。干部提拨任用、人员调入及重要岗位人员变动，要经班子集体讨论决定。干部提拨任用应严格按照《党政领导干部选拨任用工作条例》的原则、标准、程序进行。</w:t>
      </w:r>
    </w:p>
    <w:p w14:paraId="6CFF1CED">
      <w:pPr>
        <w:widowControl/>
        <w:snapToGrid w:val="0"/>
        <w:spacing w:line="560" w:lineRule="exact"/>
        <w:ind w:firstLine="640" w:firstLineChars="200"/>
        <w:jc w:val="left"/>
        <w:rPr>
          <w:rFonts w:ascii="黑体" w:hAnsi="宋体" w:eastAsia="黑体" w:cs="宋体"/>
          <w:color w:val="000000"/>
          <w:kern w:val="0"/>
          <w:sz w:val="32"/>
          <w:szCs w:val="32"/>
        </w:rPr>
      </w:pPr>
      <w:r>
        <w:rPr>
          <w:rFonts w:hint="eastAsia" w:ascii="黑体" w:hAnsi="宋体" w:eastAsia="黑体" w:cs="宋体"/>
          <w:color w:val="000000"/>
          <w:kern w:val="0"/>
          <w:sz w:val="32"/>
          <w:szCs w:val="32"/>
        </w:rPr>
        <w:t>第三条 不直接分管建设工程项目招投标</w:t>
      </w:r>
    </w:p>
    <w:p w14:paraId="0A9FAF3D">
      <w:pPr>
        <w:widowControl/>
        <w:snapToGrid w:val="0"/>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按规定应进行招投标的建设工程建设项目，按照国家、省、市有关规定进行招投标，实行公开、公平竞争，任何人不得插手和干预招投标活动。无需进行招投标的小型工程，要经局班子集体研究决定，不允许任何个人内定施工单位。工程建设、招投标及竞价承包等一系列重大问题，要经局班子集体讨论决定。工程建设及招标组织工作由分管项目的领导按其分工具体负责，局机关纪委全程监管，局长（书记）对组织实施情况进行监督检查。</w:t>
      </w:r>
    </w:p>
    <w:p w14:paraId="129916AB">
      <w:pPr>
        <w:widowControl/>
        <w:snapToGrid w:val="0"/>
        <w:spacing w:line="560" w:lineRule="exact"/>
        <w:ind w:firstLine="640" w:firstLineChars="200"/>
        <w:jc w:val="left"/>
        <w:rPr>
          <w:rFonts w:ascii="黑体" w:hAnsi="宋体" w:eastAsia="黑体" w:cs="宋体"/>
          <w:color w:val="000000"/>
          <w:kern w:val="0"/>
          <w:sz w:val="32"/>
          <w:szCs w:val="32"/>
        </w:rPr>
      </w:pPr>
      <w:r>
        <w:rPr>
          <w:rFonts w:hint="eastAsia" w:ascii="黑体" w:hAnsi="宋体" w:eastAsia="黑体" w:cs="宋体"/>
          <w:color w:val="000000"/>
          <w:kern w:val="0"/>
          <w:sz w:val="32"/>
          <w:szCs w:val="32"/>
        </w:rPr>
        <w:t>第四条 不直接分管大宗物资采购</w:t>
      </w:r>
    </w:p>
    <w:p w14:paraId="71B16478">
      <w:pPr>
        <w:widowControl/>
        <w:snapToGrid w:val="0"/>
        <w:spacing w:line="56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小额度的物资采购，由各使用科室提出申请计划，经分管领导批准后采购；大件物品、设备采购，由科室股室提出申请（含数量、预算及用途），报分管领导审签后，提请局长办公会同意后执行。凡列入政府采购目录的物资，按政府采购程序办理。“一把手”不得直接决定和从事任何大宗物资采购事宜。</w:t>
      </w:r>
    </w:p>
    <w:p w14:paraId="0FB6900F">
      <w:pPr>
        <w:rPr>
          <w:rFonts w:ascii="仿宋_GB2312" w:hAnsi="Arial" w:eastAsia="仿宋_GB2312" w:cs="Arial"/>
          <w:color w:val="000000"/>
          <w:sz w:val="32"/>
          <w:szCs w:val="32"/>
        </w:rPr>
      </w:pPr>
      <w:r>
        <w:rPr>
          <w:rFonts w:hint="eastAsia" w:ascii="仿宋_GB2312" w:hAnsi="Arial" w:eastAsia="仿宋_GB2312" w:cs="Arial"/>
          <w:color w:val="000000"/>
          <w:sz w:val="32"/>
          <w:szCs w:val="32"/>
        </w:rPr>
        <w:br w:type="page"/>
      </w:r>
    </w:p>
    <w:p w14:paraId="27B50B09">
      <w:pPr>
        <w:widowControl/>
        <w:snapToGrid w:val="0"/>
        <w:spacing w:line="560" w:lineRule="exact"/>
        <w:jc w:val="center"/>
        <w:rPr>
          <w:rFonts w:ascii="方正小标宋_GBK" w:hAnsi="方正小标宋_GBK" w:eastAsia="方正小标宋_GBK" w:cs="方正小标宋_GBK"/>
          <w:color w:val="212121"/>
          <w:kern w:val="0"/>
          <w:sz w:val="44"/>
          <w:szCs w:val="44"/>
        </w:rPr>
      </w:pPr>
      <w:r>
        <w:rPr>
          <w:rFonts w:hint="eastAsia" w:ascii="方正小标宋_GBK" w:hAnsi="方正小标宋_GBK" w:eastAsia="方正小标宋_GBK" w:cs="方正小标宋_GBK"/>
          <w:color w:val="000000"/>
          <w:kern w:val="0"/>
          <w:sz w:val="44"/>
          <w:szCs w:val="44"/>
        </w:rPr>
        <w:t>白城市司法局领导班子成员</w:t>
      </w:r>
    </w:p>
    <w:p w14:paraId="1C9C6B34">
      <w:pPr>
        <w:widowControl/>
        <w:snapToGrid w:val="0"/>
        <w:spacing w:line="560" w:lineRule="exact"/>
        <w:jc w:val="center"/>
        <w:rPr>
          <w:rFonts w:ascii="方正小标宋_GBK" w:hAnsi="方正小标宋_GBK" w:eastAsia="方正小标宋_GBK" w:cs="方正小标宋_GBK"/>
          <w:color w:val="212121"/>
          <w:kern w:val="0"/>
          <w:sz w:val="44"/>
          <w:szCs w:val="44"/>
        </w:rPr>
      </w:pPr>
      <w:r>
        <w:rPr>
          <w:rFonts w:hint="eastAsia" w:ascii="方正小标宋_GBK" w:hAnsi="方正小标宋_GBK" w:eastAsia="方正小标宋_GBK" w:cs="方正小标宋_GBK"/>
          <w:color w:val="000000"/>
          <w:kern w:val="0"/>
          <w:sz w:val="44"/>
          <w:szCs w:val="44"/>
        </w:rPr>
        <w:t>党风廉政建设和反腐败工作责任制</w:t>
      </w:r>
    </w:p>
    <w:p w14:paraId="71BADF2C">
      <w:pPr>
        <w:spacing w:line="560" w:lineRule="exact"/>
        <w:ind w:firstLine="640" w:firstLineChars="200"/>
        <w:rPr>
          <w:rFonts w:ascii="仿宋" w:hAnsi="仿宋" w:eastAsia="仿宋" w:cs="宋体"/>
          <w:kern w:val="0"/>
          <w:sz w:val="32"/>
          <w:szCs w:val="32"/>
        </w:rPr>
      </w:pPr>
    </w:p>
    <w:p w14:paraId="7D6F998E">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为了加强局机关党风廉政建设，明确领导班子和领导干部对党风廉政建设应负的责任，保证上级机关重大的决策和部署的贯彻落实，维护全市改革、发展、稳定的大局，现结合我局司法行政工作实际，制定本制度。</w:t>
      </w:r>
    </w:p>
    <w:p w14:paraId="6BF1497B">
      <w:pPr>
        <w:spacing w:line="560" w:lineRule="exact"/>
        <w:ind w:firstLine="640" w:firstLineChars="200"/>
        <w:rPr>
          <w:rFonts w:ascii="仿宋" w:hAnsi="仿宋" w:eastAsia="仿宋" w:cs="宋体"/>
          <w:kern w:val="0"/>
          <w:sz w:val="32"/>
          <w:szCs w:val="32"/>
        </w:rPr>
      </w:pPr>
      <w:r>
        <w:rPr>
          <w:rFonts w:hint="eastAsia" w:ascii="黑体" w:hAnsi="黑体" w:eastAsia="黑体" w:cs="宋体"/>
          <w:kern w:val="0"/>
          <w:sz w:val="32"/>
          <w:szCs w:val="32"/>
        </w:rPr>
        <w:t>第一条 党风廉政建设责任制原则</w:t>
      </w:r>
      <w:r>
        <w:rPr>
          <w:rFonts w:hint="eastAsia" w:ascii="仿宋" w:hAnsi="仿宋" w:eastAsia="仿宋"/>
          <w:kern w:val="0"/>
          <w:sz w:val="32"/>
          <w:szCs w:val="32"/>
        </w:rPr>
        <w:br w:type="textWrapping"/>
      </w:r>
      <w:r>
        <w:rPr>
          <w:rFonts w:ascii="仿宋" w:hAnsi="仿宋" w:eastAsia="仿宋"/>
          <w:kern w:val="0"/>
          <w:sz w:val="32"/>
          <w:szCs w:val="32"/>
        </w:rPr>
        <w:t xml:space="preserve">    </w:t>
      </w:r>
      <w:r>
        <w:rPr>
          <w:rFonts w:hint="eastAsia" w:ascii="仿宋" w:hAnsi="仿宋" w:eastAsia="仿宋"/>
          <w:kern w:val="0"/>
          <w:sz w:val="32"/>
          <w:szCs w:val="32"/>
        </w:rPr>
        <w:t>（一）坚持党组统一领导、党政齐抓共管、政治部组织协调、科室各负其责的原则。</w:t>
      </w:r>
    </w:p>
    <w:p w14:paraId="6FB1F277">
      <w:pPr>
        <w:spacing w:line="560" w:lineRule="exact"/>
        <w:ind w:firstLine="640" w:firstLineChars="200"/>
        <w:rPr>
          <w:rFonts w:ascii="仿宋" w:hAnsi="仿宋" w:eastAsia="仿宋" w:cs="宋体"/>
          <w:kern w:val="0"/>
          <w:sz w:val="32"/>
          <w:szCs w:val="32"/>
        </w:rPr>
      </w:pPr>
      <w:r>
        <w:rPr>
          <w:rFonts w:hint="eastAsia" w:ascii="仿宋" w:hAnsi="仿宋" w:eastAsia="仿宋"/>
          <w:kern w:val="0"/>
          <w:sz w:val="32"/>
          <w:szCs w:val="32"/>
        </w:rPr>
        <w:t>（二）实行</w:t>
      </w:r>
      <w:r>
        <w:rPr>
          <w:rFonts w:hint="eastAsia" w:ascii="仿宋" w:hAnsi="仿宋" w:eastAsia="仿宋" w:cs="宋体"/>
          <w:kern w:val="0"/>
          <w:sz w:val="32"/>
          <w:szCs w:val="32"/>
        </w:rPr>
        <w:t>党风廉政建设责任制，要习近平总书记系列重要讲话为统领，坚持从严治党、从严治政的方针。坚持按干部管理权限，实行谁主管谁负责，一级抓一级和一级对一级负责的原则。</w:t>
      </w:r>
    </w:p>
    <w:p w14:paraId="44E53644">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（三）坚持“两手抓，两手都要硬”的原则，把落实党风廉政建设工作作为全局司法行政工作的重要内容，与各项业务工作紧密结合，做到同部署、同落实、同检查、同考核。</w:t>
      </w:r>
    </w:p>
    <w:p w14:paraId="0C711837">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 xml:space="preserve">第二条 </w:t>
      </w:r>
      <w:r>
        <w:rPr>
          <w:rFonts w:hint="eastAsia" w:ascii="黑体" w:hAnsi="黑体" w:eastAsia="黑体" w:cs="宋体"/>
          <w:kern w:val="0"/>
          <w:sz w:val="32"/>
          <w:szCs w:val="32"/>
        </w:rPr>
        <w:t>党风廉政建设责任制内容</w:t>
      </w:r>
    </w:p>
    <w:p w14:paraId="039EF19B">
      <w:pPr>
        <w:spacing w:line="560" w:lineRule="exact"/>
        <w:ind w:firstLine="643" w:firstLineChars="200"/>
        <w:rPr>
          <w:rFonts w:ascii="仿宋" w:hAnsi="仿宋" w:eastAsia="仿宋" w:cs="宋体"/>
          <w:b/>
          <w:kern w:val="0"/>
          <w:sz w:val="32"/>
          <w:szCs w:val="32"/>
        </w:rPr>
      </w:pPr>
      <w:r>
        <w:rPr>
          <w:rFonts w:hint="eastAsia" w:ascii="仿宋" w:hAnsi="仿宋" w:eastAsia="仿宋" w:cs="宋体"/>
          <w:b/>
          <w:kern w:val="0"/>
          <w:sz w:val="32"/>
          <w:szCs w:val="32"/>
        </w:rPr>
        <w:t>（一）局领导班子责任：</w:t>
      </w:r>
    </w:p>
    <w:p w14:paraId="1375B042">
      <w:pPr>
        <w:spacing w:line="560" w:lineRule="exact"/>
        <w:ind w:firstLine="480" w:firstLineChars="150"/>
        <w:rPr>
          <w:rFonts w:ascii="仿宋" w:hAnsi="仿宋" w:eastAsia="仿宋" w:cs="宋体"/>
          <w:kern w:val="0"/>
          <w:sz w:val="32"/>
          <w:szCs w:val="32"/>
        </w:rPr>
      </w:pPr>
      <w:r>
        <w:rPr>
          <w:rFonts w:hint="eastAsia" w:ascii="仿宋" w:hAnsi="仿宋" w:eastAsia="仿宋" w:cs="宋体"/>
          <w:kern w:val="0"/>
          <w:sz w:val="32"/>
          <w:szCs w:val="32"/>
        </w:rPr>
        <w:t>1、认真贯彻落实市委、市政府关于党风廉政建设工作的部署和要求，结合司法行政工作实际，分析研究，制定相关的工作计划并组织实施。</w:t>
      </w:r>
    </w:p>
    <w:p w14:paraId="3EF0B753">
      <w:pPr>
        <w:spacing w:line="560" w:lineRule="exact"/>
        <w:ind w:firstLine="480" w:firstLineChars="150"/>
        <w:rPr>
          <w:rFonts w:ascii="仿宋" w:hAnsi="仿宋" w:eastAsia="仿宋" w:cs="宋体"/>
          <w:kern w:val="0"/>
          <w:sz w:val="32"/>
          <w:szCs w:val="32"/>
        </w:rPr>
      </w:pPr>
      <w:r>
        <w:rPr>
          <w:rFonts w:hint="eastAsia" w:ascii="仿宋" w:hAnsi="仿宋" w:eastAsia="仿宋" w:cs="宋体"/>
          <w:kern w:val="0"/>
          <w:sz w:val="32"/>
          <w:szCs w:val="32"/>
        </w:rPr>
        <w:t>2、严格执行党的工作纪律，结合司法行政工作实际，以开展对戒毒所党员干部反腐倡廉教育工作为重点，</w:t>
      </w:r>
      <w:r>
        <w:rPr>
          <w:rFonts w:hint="eastAsia" w:ascii="仿宋" w:hAnsi="仿宋" w:eastAsia="仿宋"/>
          <w:color w:val="000000"/>
          <w:sz w:val="32"/>
          <w:szCs w:val="32"/>
        </w:rPr>
        <w:t>通过组织开展党员活动日、</w:t>
      </w:r>
      <w:r>
        <w:rPr>
          <w:rFonts w:hint="eastAsia" w:ascii="仿宋" w:hAnsi="仿宋" w:eastAsia="仿宋"/>
          <w:sz w:val="32"/>
          <w:szCs w:val="32"/>
        </w:rPr>
        <w:t>警示教育、召开反腐倡廉报告会等有效形式</w:t>
      </w:r>
      <w:r>
        <w:rPr>
          <w:rFonts w:hint="eastAsia" w:ascii="仿宋" w:hAnsi="仿宋" w:eastAsia="仿宋"/>
          <w:color w:val="000000"/>
          <w:sz w:val="32"/>
          <w:szCs w:val="32"/>
        </w:rPr>
        <w:t>，</w:t>
      </w:r>
      <w:r>
        <w:rPr>
          <w:rFonts w:hint="eastAsia" w:ascii="仿宋" w:hAnsi="仿宋" w:eastAsia="仿宋"/>
          <w:sz w:val="32"/>
          <w:szCs w:val="32"/>
        </w:rPr>
        <w:t>切实解决干部队伍中存在的突出问题，</w:t>
      </w:r>
      <w:r>
        <w:rPr>
          <w:rFonts w:hint="eastAsia" w:ascii="仿宋" w:hAnsi="仿宋" w:eastAsia="仿宋"/>
          <w:color w:val="000000"/>
          <w:sz w:val="32"/>
          <w:szCs w:val="32"/>
        </w:rPr>
        <w:t>实现反腐倡廉教育的制度化和经常化。</w:t>
      </w:r>
    </w:p>
    <w:p w14:paraId="6C105178">
      <w:pPr>
        <w:spacing w:line="560" w:lineRule="exact"/>
        <w:ind w:firstLine="480" w:firstLineChars="150"/>
        <w:rPr>
          <w:rFonts w:ascii="仿宋" w:hAnsi="仿宋" w:eastAsia="仿宋" w:cs="宋体"/>
          <w:kern w:val="0"/>
          <w:sz w:val="32"/>
          <w:szCs w:val="32"/>
        </w:rPr>
      </w:pPr>
      <w:r>
        <w:rPr>
          <w:rFonts w:hint="eastAsia" w:ascii="仿宋" w:hAnsi="仿宋" w:eastAsia="仿宋" w:cs="宋体"/>
          <w:kern w:val="0"/>
          <w:sz w:val="32"/>
          <w:szCs w:val="32"/>
        </w:rPr>
        <w:t>3、坚持标本兼治，综合治理，建立和完善管理机制、监督机制，及时认真研究和解决党风廉政建设中出现的重要问题，注重从源头上预防和治理腐败。</w:t>
      </w:r>
    </w:p>
    <w:p w14:paraId="71A878B4">
      <w:pPr>
        <w:spacing w:line="560" w:lineRule="exact"/>
        <w:ind w:firstLine="480" w:firstLineChars="150"/>
        <w:rPr>
          <w:rFonts w:ascii="仿宋" w:hAnsi="仿宋" w:eastAsia="仿宋" w:cs="宋体"/>
          <w:kern w:val="0"/>
          <w:sz w:val="32"/>
          <w:szCs w:val="32"/>
        </w:rPr>
      </w:pPr>
      <w:r>
        <w:rPr>
          <w:rFonts w:hint="eastAsia" w:ascii="仿宋" w:hAnsi="仿宋" w:eastAsia="仿宋" w:cs="宋体"/>
          <w:kern w:val="0"/>
          <w:sz w:val="32"/>
          <w:szCs w:val="32"/>
        </w:rPr>
        <w:t>4、认真履行监督职责，对党风廉政建设情况、领导班子和领导干部、廉洁从政情况进行定期和不定期的监督检查和考核，对不履行或不正确履行党风廉政建设责任制的领导班子成员及领导干部要进行责任追究。</w:t>
      </w:r>
    </w:p>
    <w:p w14:paraId="5DB7247B">
      <w:pPr>
        <w:spacing w:line="560" w:lineRule="exact"/>
        <w:ind w:firstLine="480" w:firstLineChars="150"/>
        <w:rPr>
          <w:rFonts w:ascii="仿宋" w:hAnsi="仿宋" w:eastAsia="仿宋" w:cs="宋体"/>
          <w:kern w:val="0"/>
          <w:sz w:val="32"/>
          <w:szCs w:val="32"/>
        </w:rPr>
      </w:pPr>
      <w:r>
        <w:rPr>
          <w:rFonts w:hint="eastAsia" w:ascii="仿宋" w:hAnsi="仿宋" w:eastAsia="仿宋" w:cs="宋体"/>
          <w:kern w:val="0"/>
          <w:sz w:val="32"/>
          <w:szCs w:val="32"/>
        </w:rPr>
        <w:t>5、严格按照规定选拔任用干部，加强对干部选拔任用工作的考核、监督和检查，防止和纠正用人上的不正之风。</w:t>
      </w:r>
    </w:p>
    <w:p w14:paraId="262238A5">
      <w:pPr>
        <w:spacing w:line="560" w:lineRule="exact"/>
        <w:ind w:firstLine="480" w:firstLineChars="150"/>
        <w:rPr>
          <w:rFonts w:ascii="仿宋" w:hAnsi="仿宋" w:eastAsia="仿宋" w:cs="宋体"/>
          <w:kern w:val="0"/>
          <w:sz w:val="32"/>
          <w:szCs w:val="32"/>
        </w:rPr>
      </w:pPr>
      <w:r>
        <w:rPr>
          <w:rFonts w:hint="eastAsia" w:ascii="仿宋" w:hAnsi="仿宋" w:eastAsia="仿宋" w:cs="宋体"/>
          <w:kern w:val="0"/>
          <w:sz w:val="32"/>
          <w:szCs w:val="32"/>
        </w:rPr>
        <w:t>6、领导、组织查处违法违纪案件和纠正行业不正之风工作，支持纪检监察部门以纪依法履行职责，为纪检监察部门开展工作创造条件。</w:t>
      </w:r>
    </w:p>
    <w:p w14:paraId="3860EEB4">
      <w:pPr>
        <w:spacing w:line="560" w:lineRule="exact"/>
        <w:ind w:firstLine="480" w:firstLineChars="150"/>
        <w:rPr>
          <w:rFonts w:ascii="仿宋" w:hAnsi="仿宋" w:eastAsia="仿宋" w:cs="宋体"/>
          <w:kern w:val="0"/>
          <w:sz w:val="32"/>
          <w:szCs w:val="32"/>
        </w:rPr>
      </w:pPr>
      <w:r>
        <w:rPr>
          <w:rFonts w:hint="eastAsia" w:ascii="仿宋" w:hAnsi="仿宋" w:eastAsia="仿宋" w:cs="宋体"/>
          <w:kern w:val="0"/>
          <w:sz w:val="32"/>
          <w:szCs w:val="32"/>
        </w:rPr>
        <w:t>7、督促领导干部执行《中国共产党党员领导</w:t>
      </w:r>
      <w:r>
        <w:rPr>
          <w:rFonts w:hint="eastAsia" w:ascii="仿宋" w:hAnsi="仿宋" w:eastAsia="仿宋" w:cs="宋体"/>
          <w:kern w:val="0"/>
          <w:sz w:val="32"/>
          <w:szCs w:val="32"/>
          <w:lang w:val="en-US" w:eastAsia="zh-CN"/>
        </w:rPr>
        <w:t>干</w:t>
      </w:r>
      <w:r>
        <w:rPr>
          <w:rFonts w:hint="eastAsia" w:ascii="仿宋" w:hAnsi="仿宋" w:eastAsia="仿宋" w:cs="宋体"/>
          <w:kern w:val="0"/>
          <w:sz w:val="32"/>
          <w:szCs w:val="32"/>
        </w:rPr>
        <w:t>部廉洁从政若干准则（试行）》，教育和管理好配偶、子女和身边工作人员。</w:t>
      </w:r>
    </w:p>
    <w:p w14:paraId="43C03120">
      <w:pPr>
        <w:spacing w:line="560" w:lineRule="exact"/>
        <w:ind w:firstLine="480" w:firstLineChars="150"/>
        <w:rPr>
          <w:rFonts w:ascii="仿宋" w:hAnsi="仿宋" w:eastAsia="仿宋" w:cs="宋体"/>
          <w:kern w:val="0"/>
          <w:sz w:val="32"/>
          <w:szCs w:val="32"/>
        </w:rPr>
      </w:pPr>
      <w:r>
        <w:rPr>
          <w:rFonts w:hint="eastAsia" w:ascii="仿宋" w:hAnsi="仿宋" w:eastAsia="仿宋" w:cs="宋体"/>
          <w:kern w:val="0"/>
          <w:sz w:val="32"/>
          <w:szCs w:val="32"/>
        </w:rPr>
        <w:t>8、把执行党风廉政建设责任制作为民主生活会的重要内容。</w:t>
      </w:r>
    </w:p>
    <w:p w14:paraId="50E0B286">
      <w:pPr>
        <w:spacing w:line="560" w:lineRule="exact"/>
        <w:ind w:firstLine="482" w:firstLineChars="150"/>
        <w:rPr>
          <w:rFonts w:ascii="仿宋" w:hAnsi="仿宋" w:eastAsia="仿宋" w:cs="宋体"/>
          <w:kern w:val="0"/>
          <w:sz w:val="32"/>
          <w:szCs w:val="32"/>
        </w:rPr>
      </w:pPr>
      <w:r>
        <w:rPr>
          <w:rFonts w:hint="eastAsia" w:ascii="仿宋" w:hAnsi="仿宋" w:eastAsia="仿宋" w:cs="宋体"/>
          <w:b/>
          <w:kern w:val="0"/>
          <w:sz w:val="32"/>
          <w:szCs w:val="32"/>
        </w:rPr>
        <w:t>（二）局领导班子主要负责人责任：</w:t>
      </w:r>
    </w:p>
    <w:p w14:paraId="2C728A80">
      <w:pPr>
        <w:spacing w:line="560" w:lineRule="exact"/>
        <w:ind w:firstLine="480" w:firstLineChars="150"/>
        <w:rPr>
          <w:rFonts w:ascii="仿宋" w:hAnsi="仿宋" w:eastAsia="仿宋" w:cs="宋体"/>
          <w:kern w:val="0"/>
          <w:sz w:val="32"/>
          <w:szCs w:val="32"/>
        </w:rPr>
      </w:pPr>
      <w:r>
        <w:rPr>
          <w:rFonts w:hint="eastAsia" w:ascii="仿宋" w:hAnsi="仿宋" w:eastAsia="仿宋" w:cs="宋体"/>
          <w:kern w:val="0"/>
          <w:sz w:val="32"/>
          <w:szCs w:val="32"/>
        </w:rPr>
        <w:t>1、根据市委、市政府关于党风廉政建设的部署和要求，结合党风廉政建设责任目标，及时组织会议，专题研究重大问题，作出安排部署。</w:t>
      </w:r>
    </w:p>
    <w:p w14:paraId="16D79A95">
      <w:pPr>
        <w:spacing w:line="560" w:lineRule="exact"/>
        <w:ind w:firstLine="480" w:firstLineChars="150"/>
        <w:rPr>
          <w:rFonts w:ascii="仿宋" w:hAnsi="仿宋" w:eastAsia="仿宋" w:cs="宋体"/>
          <w:kern w:val="0"/>
          <w:sz w:val="32"/>
          <w:szCs w:val="32"/>
        </w:rPr>
      </w:pPr>
      <w:r>
        <w:rPr>
          <w:rFonts w:hint="eastAsia" w:ascii="仿宋" w:hAnsi="仿宋" w:eastAsia="仿宋" w:cs="宋体"/>
          <w:kern w:val="0"/>
          <w:sz w:val="32"/>
          <w:szCs w:val="32"/>
        </w:rPr>
        <w:t>2、领导和参与党风廉政建设和反腐败工作的检查、考核，督促党风廉政建设责任制的落实，把党风廉政建设与司法行政各项工作紧密结合起来，相互促进。</w:t>
      </w:r>
    </w:p>
    <w:p w14:paraId="2E0D1862">
      <w:pPr>
        <w:spacing w:line="560" w:lineRule="exact"/>
        <w:ind w:firstLine="480" w:firstLineChars="150"/>
        <w:rPr>
          <w:rFonts w:ascii="仿宋" w:hAnsi="仿宋" w:eastAsia="仿宋" w:cs="宋体"/>
          <w:kern w:val="0"/>
          <w:sz w:val="32"/>
          <w:szCs w:val="32"/>
        </w:rPr>
      </w:pPr>
      <w:r>
        <w:rPr>
          <w:rFonts w:hint="eastAsia" w:ascii="仿宋" w:hAnsi="仿宋" w:eastAsia="仿宋" w:cs="宋体"/>
          <w:kern w:val="0"/>
          <w:sz w:val="32"/>
          <w:szCs w:val="32"/>
        </w:rPr>
        <w:t>3、加强对违纪违法案件查处工作的领导，组织相关部门协调配合，及时排除办案中的阻力和干扰，采取有力措施，保证查案工作顺利进行。</w:t>
      </w:r>
    </w:p>
    <w:p w14:paraId="173C4A0B">
      <w:pPr>
        <w:spacing w:line="560" w:lineRule="exact"/>
        <w:ind w:firstLine="480" w:firstLineChars="150"/>
        <w:rPr>
          <w:rFonts w:ascii="仿宋" w:hAnsi="仿宋" w:eastAsia="仿宋" w:cs="宋体"/>
          <w:kern w:val="0"/>
          <w:sz w:val="32"/>
          <w:szCs w:val="32"/>
        </w:rPr>
      </w:pPr>
      <w:r>
        <w:rPr>
          <w:rFonts w:hint="eastAsia" w:ascii="仿宋" w:hAnsi="仿宋" w:eastAsia="仿宋" w:cs="宋体"/>
          <w:kern w:val="0"/>
          <w:sz w:val="32"/>
          <w:szCs w:val="32"/>
        </w:rPr>
        <w:t>4、认真接待和处理群众来信来访，认真解决群众反映的热点、难点问题。</w:t>
      </w:r>
    </w:p>
    <w:p w14:paraId="53B0E9FF">
      <w:pPr>
        <w:spacing w:line="560" w:lineRule="exact"/>
        <w:ind w:firstLine="480" w:firstLineChars="150"/>
        <w:rPr>
          <w:rFonts w:ascii="仿宋" w:hAnsi="仿宋" w:eastAsia="仿宋" w:cs="宋体"/>
          <w:kern w:val="0"/>
          <w:sz w:val="32"/>
          <w:szCs w:val="32"/>
        </w:rPr>
      </w:pPr>
      <w:r>
        <w:rPr>
          <w:rFonts w:hint="eastAsia" w:ascii="仿宋" w:hAnsi="仿宋" w:eastAsia="仿宋" w:cs="宋体"/>
          <w:kern w:val="0"/>
          <w:sz w:val="32"/>
          <w:szCs w:val="32"/>
        </w:rPr>
        <w:t>5、管好领导班子成员，经常了解班子成员和下一级领导干部执行</w:t>
      </w:r>
      <w:r>
        <w:rPr>
          <w:rFonts w:hint="eastAsia" w:ascii="仿宋" w:hAnsi="仿宋" w:eastAsia="仿宋" w:cs="宋体"/>
          <w:kern w:val="0"/>
          <w:sz w:val="32"/>
          <w:szCs w:val="32"/>
          <w:lang w:eastAsia="zh-CN"/>
        </w:rPr>
        <w:t>党风廉政</w:t>
      </w:r>
      <w:r>
        <w:rPr>
          <w:rFonts w:hint="eastAsia" w:ascii="仿宋" w:hAnsi="仿宋" w:eastAsia="仿宋" w:cs="宋体"/>
          <w:kern w:val="0"/>
          <w:sz w:val="32"/>
          <w:szCs w:val="32"/>
        </w:rPr>
        <w:t>建设责任制、遵纪守法、廉洁自律的情况，发现问题及时批评、告诫，督促其及时纠正，重大问题及时向上级报告。</w:t>
      </w:r>
    </w:p>
    <w:p w14:paraId="39DF17EE">
      <w:pPr>
        <w:spacing w:line="560" w:lineRule="exact"/>
        <w:ind w:firstLine="480" w:firstLineChars="150"/>
        <w:rPr>
          <w:rFonts w:ascii="仿宋" w:hAnsi="仿宋" w:eastAsia="仿宋" w:cs="宋体"/>
          <w:kern w:val="0"/>
          <w:sz w:val="32"/>
          <w:szCs w:val="32"/>
        </w:rPr>
      </w:pPr>
      <w:r>
        <w:rPr>
          <w:rFonts w:hint="eastAsia" w:ascii="仿宋" w:hAnsi="仿宋" w:eastAsia="仿宋" w:cs="宋体"/>
          <w:kern w:val="0"/>
          <w:sz w:val="32"/>
          <w:szCs w:val="32"/>
        </w:rPr>
        <w:t>6、每年要主持召开一次领导班子廉洁自律民主生活会，带头开展批评与自我批评，对存在的问题及时整改。</w:t>
      </w:r>
    </w:p>
    <w:p w14:paraId="1886F919">
      <w:pPr>
        <w:spacing w:line="560" w:lineRule="exact"/>
        <w:ind w:firstLine="480" w:firstLineChars="150"/>
        <w:rPr>
          <w:rFonts w:ascii="仿宋" w:hAnsi="仿宋" w:eastAsia="仿宋" w:cs="宋体"/>
          <w:kern w:val="0"/>
          <w:sz w:val="32"/>
          <w:szCs w:val="32"/>
        </w:rPr>
      </w:pPr>
      <w:r>
        <w:rPr>
          <w:rFonts w:hint="eastAsia" w:ascii="仿宋" w:hAnsi="仿宋" w:eastAsia="仿宋" w:cs="宋体"/>
          <w:kern w:val="0"/>
          <w:sz w:val="32"/>
          <w:szCs w:val="32"/>
        </w:rPr>
        <w:t>7、模范遵守党纪政纪国法，严格按领导干部廉洁自律各项规定办事，自觉接受组织和群众的监督。</w:t>
      </w:r>
    </w:p>
    <w:p w14:paraId="24904525">
      <w:pPr>
        <w:spacing w:line="560" w:lineRule="exact"/>
        <w:ind w:firstLine="480" w:firstLineChars="150"/>
        <w:rPr>
          <w:rFonts w:ascii="仿宋" w:hAnsi="仿宋" w:eastAsia="仿宋" w:cs="宋体"/>
          <w:kern w:val="0"/>
          <w:sz w:val="32"/>
          <w:szCs w:val="32"/>
        </w:rPr>
      </w:pPr>
      <w:r>
        <w:rPr>
          <w:rFonts w:hint="eastAsia" w:ascii="仿宋" w:hAnsi="仿宋" w:eastAsia="仿宋" w:cs="宋体"/>
          <w:kern w:val="0"/>
          <w:sz w:val="32"/>
          <w:szCs w:val="32"/>
        </w:rPr>
        <w:t>8、教育和管理好配偶、子女、身边工作人员，防止违法违纪和不廉洁问题发生。</w:t>
      </w:r>
    </w:p>
    <w:p w14:paraId="0798837A">
      <w:pPr>
        <w:spacing w:line="560" w:lineRule="exact"/>
        <w:ind w:firstLine="482" w:firstLineChars="150"/>
        <w:rPr>
          <w:rFonts w:ascii="仿宋" w:hAnsi="仿宋" w:eastAsia="仿宋" w:cs="宋体"/>
          <w:kern w:val="0"/>
          <w:sz w:val="32"/>
          <w:szCs w:val="32"/>
        </w:rPr>
      </w:pPr>
      <w:r>
        <w:rPr>
          <w:rFonts w:hint="eastAsia" w:ascii="仿宋" w:hAnsi="仿宋" w:eastAsia="仿宋" w:cs="宋体"/>
          <w:b/>
          <w:kern w:val="0"/>
          <w:sz w:val="32"/>
          <w:szCs w:val="32"/>
        </w:rPr>
        <w:t>（三）其他领导班子成员责任：</w:t>
      </w:r>
    </w:p>
    <w:p w14:paraId="7C280430">
      <w:pPr>
        <w:spacing w:line="560" w:lineRule="exact"/>
        <w:ind w:firstLine="480" w:firstLineChars="150"/>
        <w:rPr>
          <w:rFonts w:ascii="仿宋" w:hAnsi="仿宋" w:eastAsia="仿宋" w:cs="宋体"/>
          <w:kern w:val="0"/>
          <w:sz w:val="32"/>
          <w:szCs w:val="32"/>
        </w:rPr>
      </w:pPr>
      <w:r>
        <w:rPr>
          <w:rFonts w:hint="eastAsia" w:ascii="仿宋" w:hAnsi="仿宋" w:eastAsia="仿宋" w:cs="宋体"/>
          <w:kern w:val="0"/>
          <w:sz w:val="32"/>
          <w:szCs w:val="32"/>
        </w:rPr>
        <w:t>1、协助一把手抓好分管工作范围内的党风廉政建设和反腐败工作。检查、督促、指导分管部门的党风廉政建设、反腐败工作和党风廉政建设责任制的落实。要坚持每半年召开一次工作调度会议，分析查找在落实党风廉政建设工作中存在的突出问题，研究制定切实可行的整改措施，确保分管部门将党风廉政建设责任制落到实处。</w:t>
      </w:r>
    </w:p>
    <w:p w14:paraId="4D3772EF">
      <w:pPr>
        <w:spacing w:line="560" w:lineRule="exact"/>
        <w:ind w:firstLine="480" w:firstLineChars="150"/>
        <w:rPr>
          <w:rFonts w:ascii="仿宋" w:hAnsi="仿宋" w:eastAsia="仿宋" w:cs="宋体"/>
          <w:kern w:val="0"/>
          <w:sz w:val="32"/>
          <w:szCs w:val="32"/>
        </w:rPr>
      </w:pPr>
      <w:r>
        <w:rPr>
          <w:rFonts w:hint="eastAsia" w:ascii="仿宋" w:hAnsi="仿宋" w:eastAsia="仿宋" w:cs="宋体"/>
          <w:kern w:val="0"/>
          <w:sz w:val="32"/>
          <w:szCs w:val="32"/>
        </w:rPr>
        <w:t>2、深入基层，调查研究，要按照市局领导班子成员调研制度的要求，定期组织分管部门深入基层调研，分析党风廉政建设和反腐败斗争情况，及时发现和解决苗头性、倾向性问题，并针对性地组织和研究制定防范措施和方法。</w:t>
      </w:r>
    </w:p>
    <w:p w14:paraId="7109477F">
      <w:pPr>
        <w:spacing w:line="560" w:lineRule="exact"/>
        <w:ind w:firstLine="480" w:firstLineChars="150"/>
        <w:rPr>
          <w:rFonts w:ascii="仿宋" w:hAnsi="仿宋" w:eastAsia="仿宋" w:cs="宋体"/>
          <w:kern w:val="0"/>
          <w:sz w:val="32"/>
          <w:szCs w:val="32"/>
        </w:rPr>
      </w:pPr>
      <w:r>
        <w:rPr>
          <w:rFonts w:hint="eastAsia" w:ascii="仿宋" w:hAnsi="仿宋" w:eastAsia="仿宋" w:cs="宋体"/>
          <w:kern w:val="0"/>
          <w:sz w:val="32"/>
          <w:szCs w:val="32"/>
        </w:rPr>
        <w:t>3、认真解决群众关心的热点、难点问题，协助纪检监察部门查处违纪违法案件，帮助纪检监察部门排除干扰和障碍。</w:t>
      </w:r>
    </w:p>
    <w:p w14:paraId="4B1AE360">
      <w:pPr>
        <w:spacing w:line="560" w:lineRule="exact"/>
        <w:ind w:firstLine="480" w:firstLineChars="150"/>
        <w:rPr>
          <w:rFonts w:ascii="仿宋" w:hAnsi="仿宋" w:eastAsia="仿宋" w:cs="宋体"/>
          <w:kern w:val="0"/>
          <w:sz w:val="32"/>
          <w:szCs w:val="32"/>
        </w:rPr>
      </w:pPr>
      <w:r>
        <w:rPr>
          <w:rFonts w:hint="eastAsia" w:ascii="仿宋" w:hAnsi="仿宋" w:eastAsia="仿宋" w:cs="宋体"/>
          <w:kern w:val="0"/>
          <w:sz w:val="32"/>
          <w:szCs w:val="32"/>
        </w:rPr>
        <w:t>4、对分管部门责任人严格要求、严格管理、严格监督，发现问题及时进行批评教育，督促其自查自纠，重大问题及时向领导班子和主要领导报告。</w:t>
      </w:r>
    </w:p>
    <w:p w14:paraId="0A4F8926">
      <w:pPr>
        <w:spacing w:line="560" w:lineRule="exact"/>
        <w:ind w:firstLine="480" w:firstLineChars="150"/>
        <w:rPr>
          <w:rFonts w:ascii="仿宋" w:hAnsi="仿宋" w:eastAsia="仿宋" w:cs="宋体"/>
          <w:kern w:val="0"/>
          <w:sz w:val="32"/>
          <w:szCs w:val="32"/>
        </w:rPr>
      </w:pPr>
      <w:r>
        <w:rPr>
          <w:rFonts w:hint="eastAsia" w:ascii="仿宋" w:hAnsi="仿宋" w:eastAsia="仿宋" w:cs="宋体"/>
          <w:kern w:val="0"/>
          <w:sz w:val="32"/>
          <w:szCs w:val="32"/>
        </w:rPr>
        <w:t>5、模范遵守党纪政纪国法、严格按照领导干部廉洁自律各项规定办事，自觉接受组织和群众的监督。</w:t>
      </w:r>
    </w:p>
    <w:p w14:paraId="6492F271">
      <w:pPr>
        <w:spacing w:line="560" w:lineRule="exact"/>
        <w:ind w:firstLine="480" w:firstLineChars="150"/>
        <w:rPr>
          <w:rFonts w:ascii="仿宋" w:hAnsi="仿宋" w:eastAsia="仿宋" w:cs="宋体"/>
          <w:kern w:val="0"/>
          <w:sz w:val="32"/>
          <w:szCs w:val="32"/>
        </w:rPr>
      </w:pPr>
      <w:r>
        <w:rPr>
          <w:rFonts w:hint="eastAsia" w:ascii="仿宋" w:hAnsi="仿宋" w:eastAsia="仿宋" w:cs="宋体"/>
          <w:kern w:val="0"/>
          <w:sz w:val="32"/>
          <w:szCs w:val="32"/>
        </w:rPr>
        <w:t>6、教育和管理好配偶、子女、身边的工作人员，防止不廉洁行为和违法违纪问题的发生。</w:t>
      </w:r>
    </w:p>
    <w:p w14:paraId="0CDDA378">
      <w:pPr>
        <w:spacing w:line="56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第三条 组织领导</w:t>
      </w:r>
    </w:p>
    <w:p w14:paraId="1DA92D4C">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（一）为了贯彻落实党风廉政建设工作责任制，市局成立以局党组主要负责人为组长，其他领导班子成员为副组长的党风廉政建设工作领导小组。</w:t>
      </w:r>
    </w:p>
    <w:p w14:paraId="3FB034FE">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（二）党风廉政建设工作领导小组下设办公室，办公室暂设在市局机关党委。</w:t>
      </w:r>
    </w:p>
    <w:p w14:paraId="7D0A1EB5">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（三）市局党风廉政建设和反腐败日常工作领导小组办公室负责，其主要责任是：</w:t>
      </w:r>
    </w:p>
    <w:p w14:paraId="28B4B01F">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一是草拟市局年度党风廉政建设工作计划；二是根据上级党风廉政建设有关规定拟定实施办法；三是负责同市纪委的联系和协调工作；四是拟定年度反腐倡廉教育工作规划，具体组织市局党风廉政建设和反腐败教育及对有关规定的学习。五是在领导小组的统一领导下对市戒毒所党风廉政建设执行情况进行督促、考核、检查，提出改进措施及其办法。六是及时处理信访案件，对举报及违法违纪案件进行查处。七是起草年度工作总结。</w:t>
      </w:r>
    </w:p>
    <w:p w14:paraId="22B994D8">
      <w:pPr>
        <w:widowControl/>
        <w:spacing w:line="560" w:lineRule="exact"/>
        <w:ind w:firstLine="640" w:firstLineChars="200"/>
        <w:jc w:val="left"/>
        <w:rPr>
          <w:rFonts w:ascii="黑体" w:hAnsi="黑体" w:eastAsia="黑体" w:cs="宋体"/>
          <w:color w:val="212121"/>
          <w:kern w:val="0"/>
          <w:sz w:val="32"/>
          <w:szCs w:val="32"/>
        </w:rPr>
      </w:pPr>
      <w:r>
        <w:rPr>
          <w:rFonts w:hint="eastAsia" w:ascii="黑体" w:hAnsi="黑体" w:eastAsia="黑体" w:cs="宋体"/>
          <w:color w:val="000000"/>
          <w:kern w:val="0"/>
          <w:sz w:val="32"/>
          <w:szCs w:val="32"/>
        </w:rPr>
        <w:t>第四条 工作要求</w:t>
      </w:r>
    </w:p>
    <w:p w14:paraId="248BC10B">
      <w:pPr>
        <w:widowControl/>
        <w:spacing w:line="560" w:lineRule="exact"/>
        <w:ind w:firstLine="640" w:firstLineChars="200"/>
        <w:jc w:val="left"/>
        <w:rPr>
          <w:rFonts w:ascii="仿宋" w:hAnsi="仿宋" w:eastAsia="仿宋"/>
          <w:sz w:val="32"/>
          <w:szCs w:val="32"/>
        </w:rPr>
      </w:pPr>
      <w:r>
        <w:rPr>
          <w:rFonts w:hint="eastAsia" w:ascii="仿宋" w:hAnsi="仿宋" w:eastAsia="仿宋" w:cs="宋体"/>
          <w:color w:val="000000"/>
          <w:kern w:val="0"/>
          <w:sz w:val="32"/>
          <w:szCs w:val="32"/>
        </w:rPr>
        <w:t>局党组领导班子成员对自己主管的工作范围内的党风廉政建设，必须严格按照市委、市政府、市纪委、市委政法委的部署要求，对分管的工作部门加强监督检查。班子成员之间要开展批评和自我批评，强化监督，发现问题及时指出，发生重大问题要及时报告市委、市纪委或局党组书记。通过党风廉政建设和反腐败工作责任制，加强班子和队伍建设，推进司法行政工作再上新的台阶。</w:t>
      </w:r>
    </w:p>
    <w:p w14:paraId="78476F82">
      <w:pPr>
        <w:rPr>
          <w:rFonts w:ascii="仿宋_GB2312" w:hAnsi="Arial" w:eastAsia="仿宋_GB2312" w:cs="Arial"/>
          <w:color w:val="000000"/>
          <w:sz w:val="32"/>
          <w:szCs w:val="32"/>
        </w:rPr>
      </w:pPr>
      <w:r>
        <w:rPr>
          <w:rFonts w:hint="eastAsia" w:ascii="仿宋_GB2312" w:hAnsi="Arial" w:eastAsia="仿宋_GB2312" w:cs="Arial"/>
          <w:color w:val="000000"/>
          <w:sz w:val="32"/>
          <w:szCs w:val="32"/>
        </w:rPr>
        <w:br w:type="page"/>
      </w:r>
    </w:p>
    <w:p w14:paraId="58E8A4FE">
      <w:pP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0"/>
          <w:sz w:val="44"/>
          <w:szCs w:val="44"/>
        </w:rPr>
        <w:t xml:space="preserve">   白城市司法局保密要害部门、部位管理制度</w:t>
      </w:r>
    </w:p>
    <w:p w14:paraId="3C97718E">
      <w:pPr>
        <w:pStyle w:val="7"/>
        <w:spacing w:before="0" w:beforeAutospacing="0" w:after="0" w:afterAutospacing="0" w:line="560" w:lineRule="exact"/>
        <w:ind w:firstLine="643" w:firstLineChars="200"/>
        <w:jc w:val="both"/>
        <w:rPr>
          <w:rFonts w:ascii="仿宋" w:hAnsi="仿宋" w:eastAsia="仿宋" w:cs="仿宋"/>
          <w:b/>
          <w:sz w:val="32"/>
          <w:szCs w:val="32"/>
        </w:rPr>
      </w:pPr>
    </w:p>
    <w:p w14:paraId="76E92FFF">
      <w:pPr>
        <w:pStyle w:val="7"/>
        <w:spacing w:before="0" w:beforeAutospacing="0" w:after="0" w:afterAutospacing="0" w:line="560" w:lineRule="exact"/>
        <w:ind w:firstLine="643" w:firstLineChars="200"/>
        <w:jc w:val="both"/>
        <w:rPr>
          <w:rFonts w:ascii="仿宋" w:hAnsi="仿宋" w:eastAsia="仿宋" w:cs="仿宋"/>
          <w:sz w:val="32"/>
          <w:szCs w:val="32"/>
        </w:rPr>
      </w:pPr>
      <w:r>
        <w:rPr>
          <w:rFonts w:hint="eastAsia" w:ascii="仿宋" w:hAnsi="仿宋" w:eastAsia="仿宋" w:cs="仿宋"/>
          <w:b/>
          <w:sz w:val="32"/>
          <w:szCs w:val="32"/>
        </w:rPr>
        <w:t>第一条</w:t>
      </w:r>
      <w:r>
        <w:rPr>
          <w:rFonts w:hint="eastAsia" w:ascii="仿宋" w:hAnsi="仿宋" w:eastAsia="仿宋" w:cs="仿宋"/>
          <w:sz w:val="32"/>
          <w:szCs w:val="32"/>
        </w:rPr>
        <w:t xml:space="preserve"> 为加强保密要害部门、部位的保密管理，依据《中华人民共和国保守国家秘密法》关于保密要害部门、部位保密管理的相关规定，制定本制度。</w:t>
      </w:r>
    </w:p>
    <w:p w14:paraId="73E85FE2">
      <w:pPr>
        <w:pStyle w:val="7"/>
        <w:spacing w:before="0" w:beforeAutospacing="0" w:after="0" w:afterAutospacing="0" w:line="560" w:lineRule="exact"/>
        <w:ind w:firstLine="643" w:firstLineChars="200"/>
        <w:jc w:val="both"/>
        <w:rPr>
          <w:rFonts w:ascii="仿宋" w:hAnsi="仿宋" w:eastAsia="仿宋" w:cs="仿宋"/>
          <w:sz w:val="32"/>
          <w:szCs w:val="32"/>
        </w:rPr>
      </w:pPr>
      <w:r>
        <w:rPr>
          <w:rFonts w:hint="eastAsia" w:ascii="仿宋" w:hAnsi="仿宋" w:eastAsia="仿宋" w:cs="仿宋"/>
          <w:b/>
          <w:sz w:val="32"/>
          <w:szCs w:val="32"/>
        </w:rPr>
        <w:t>第二条</w:t>
      </w:r>
      <w:r>
        <w:rPr>
          <w:rFonts w:hint="eastAsia" w:ascii="仿宋" w:hAnsi="仿宋" w:eastAsia="仿宋" w:cs="仿宋"/>
          <w:sz w:val="32"/>
          <w:szCs w:val="32"/>
        </w:rPr>
        <w:t xml:space="preserve"> 本制度所称的保密要害部门是指本单位涉及绝密级或者较多机密级、秘密级国家秘密的内设机构；保密要害部位是指委办公室内部集中制作、存放、保管国家秘密载体的专门场所。</w:t>
      </w:r>
    </w:p>
    <w:p w14:paraId="3B351265">
      <w:pPr>
        <w:pStyle w:val="7"/>
        <w:spacing w:before="0" w:beforeAutospacing="0" w:after="0" w:afterAutospacing="0" w:line="560" w:lineRule="exact"/>
        <w:ind w:firstLine="643" w:firstLineChars="200"/>
        <w:jc w:val="both"/>
        <w:rPr>
          <w:rFonts w:ascii="仿宋" w:hAnsi="仿宋" w:eastAsia="仿宋" w:cs="仿宋"/>
          <w:sz w:val="32"/>
          <w:szCs w:val="32"/>
        </w:rPr>
      </w:pPr>
      <w:r>
        <w:rPr>
          <w:rFonts w:hint="eastAsia" w:ascii="仿宋" w:hAnsi="仿宋" w:eastAsia="仿宋" w:cs="仿宋"/>
          <w:b/>
          <w:sz w:val="32"/>
          <w:szCs w:val="32"/>
        </w:rPr>
        <w:t>第三条</w:t>
      </w:r>
      <w:r>
        <w:rPr>
          <w:rFonts w:hint="eastAsia" w:ascii="仿宋" w:hAnsi="仿宋" w:eastAsia="仿宋" w:cs="仿宋"/>
          <w:b/>
          <w:color w:val="193B88"/>
          <w:sz w:val="32"/>
          <w:szCs w:val="32"/>
        </w:rPr>
        <w:t xml:space="preserve"> </w:t>
      </w:r>
      <w:r>
        <w:rPr>
          <w:rFonts w:hint="eastAsia" w:ascii="仿宋" w:hAnsi="仿宋" w:eastAsia="仿宋" w:cs="仿宋"/>
          <w:sz w:val="32"/>
          <w:szCs w:val="32"/>
        </w:rPr>
        <w:t>保密要害部门、部位严格按照标准和程序确定，实行“谁主管、谁负责”的原则，做到严格管理、责任到人、严密防范、确保安全。</w:t>
      </w:r>
    </w:p>
    <w:p w14:paraId="2F2627AA">
      <w:pPr>
        <w:pStyle w:val="7"/>
        <w:spacing w:before="0" w:beforeAutospacing="0" w:after="0" w:afterAutospacing="0" w:line="560" w:lineRule="exact"/>
        <w:ind w:firstLine="643" w:firstLineChars="200"/>
        <w:jc w:val="both"/>
        <w:rPr>
          <w:rFonts w:ascii="仿宋" w:hAnsi="仿宋" w:eastAsia="仿宋" w:cs="仿宋"/>
          <w:sz w:val="32"/>
          <w:szCs w:val="32"/>
        </w:rPr>
      </w:pPr>
      <w:r>
        <w:rPr>
          <w:rFonts w:hint="eastAsia" w:ascii="仿宋" w:hAnsi="仿宋" w:eastAsia="仿宋" w:cs="仿宋"/>
          <w:b/>
          <w:sz w:val="32"/>
          <w:szCs w:val="32"/>
        </w:rPr>
        <w:t>第四条</w:t>
      </w:r>
      <w:r>
        <w:rPr>
          <w:rFonts w:hint="eastAsia" w:ascii="仿宋" w:hAnsi="仿宋" w:eastAsia="仿宋" w:cs="仿宋"/>
          <w:sz w:val="32"/>
          <w:szCs w:val="32"/>
        </w:rPr>
        <w:t xml:space="preserve"> 保密要害部门、部位主要负责人的其职责是：</w:t>
      </w:r>
    </w:p>
    <w:p w14:paraId="144F3F9E">
      <w:pPr>
        <w:pStyle w:val="7"/>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（一）确保国家秘密的绝对安全；</w:t>
      </w:r>
    </w:p>
    <w:p w14:paraId="7B9DCD5E">
      <w:pPr>
        <w:pStyle w:val="7"/>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（二）结合本部门、部位实际，制定具体保密管理制度和防范措施；</w:t>
      </w:r>
    </w:p>
    <w:p w14:paraId="624A21D9">
      <w:pPr>
        <w:pStyle w:val="7"/>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（三）建立岗位责任制，把保密责任落实到人，与所属工作人员签订《保密责任书》；</w:t>
      </w:r>
    </w:p>
    <w:p w14:paraId="4F242BF8">
      <w:pPr>
        <w:pStyle w:val="7"/>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（四）开展保密宣传教育，定期进行保密培训，增强所属工作人员的防范意识，掌握保密知识和技能；</w:t>
      </w:r>
    </w:p>
    <w:p w14:paraId="33777EEC">
      <w:pPr>
        <w:pStyle w:val="7"/>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（五）按照工作人员的涉密等级，严格控制国家秘密知悉范围；</w:t>
      </w:r>
    </w:p>
    <w:p w14:paraId="653FB07E">
      <w:pPr>
        <w:pStyle w:val="7"/>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（六）对所属工作人员辞职、调动、因私出国（境）申请提出意见；</w:t>
      </w:r>
    </w:p>
    <w:p w14:paraId="0734ED8E">
      <w:pPr>
        <w:pStyle w:val="7"/>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（七）对所属工作人员执行保密制度、遵守保密纪律情况进行监督、考核；</w:t>
      </w:r>
    </w:p>
    <w:p w14:paraId="57147F30">
      <w:pPr>
        <w:pStyle w:val="7"/>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（八）定期对保密环境和涉密载体进行检查，及时消除泄密隐患。</w:t>
      </w:r>
    </w:p>
    <w:p w14:paraId="2FA7D9D8">
      <w:pPr>
        <w:pStyle w:val="7"/>
        <w:spacing w:before="0" w:beforeAutospacing="0" w:after="0" w:afterAutospacing="0" w:line="560" w:lineRule="exact"/>
        <w:ind w:firstLine="643" w:firstLineChars="200"/>
        <w:jc w:val="both"/>
        <w:rPr>
          <w:rFonts w:ascii="仿宋" w:hAnsi="仿宋" w:eastAsia="仿宋" w:cs="仿宋"/>
          <w:sz w:val="32"/>
          <w:szCs w:val="32"/>
        </w:rPr>
      </w:pPr>
      <w:r>
        <w:rPr>
          <w:rFonts w:hint="eastAsia" w:ascii="仿宋" w:hAnsi="仿宋" w:eastAsia="仿宋" w:cs="仿宋"/>
          <w:b/>
          <w:sz w:val="32"/>
          <w:szCs w:val="32"/>
        </w:rPr>
        <w:t>第五条</w:t>
      </w:r>
      <w:r>
        <w:rPr>
          <w:rFonts w:hint="eastAsia" w:ascii="仿宋" w:hAnsi="仿宋" w:eastAsia="仿宋" w:cs="仿宋"/>
          <w:sz w:val="32"/>
          <w:szCs w:val="32"/>
        </w:rPr>
        <w:t xml:space="preserve"> 保密要害部门、部位工作人员必须保守国家秘密，维护国家安全和利益，并符合下列基本条件：</w:t>
      </w:r>
    </w:p>
    <w:p w14:paraId="51F2F05C">
      <w:pPr>
        <w:pStyle w:val="7"/>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（一）忠于祖国、政治可靠，历史清白、思想进步，遵守纪律、品行端正；</w:t>
      </w:r>
    </w:p>
    <w:p w14:paraId="07EC7319">
      <w:pPr>
        <w:pStyle w:val="7"/>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（二）工作成绩优异，年度岗位考核必须为 “称职（合格）”以上；</w:t>
      </w:r>
    </w:p>
    <w:p w14:paraId="05210593">
      <w:pPr>
        <w:pStyle w:val="7"/>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（三）社会关系清楚，配偶为中国公民。</w:t>
      </w:r>
    </w:p>
    <w:p w14:paraId="023067BD">
      <w:pPr>
        <w:pStyle w:val="7"/>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第六条 保密要害部门、部位工作人员应履行下列职责：</w:t>
      </w:r>
    </w:p>
    <w:p w14:paraId="77E14C7B">
      <w:pPr>
        <w:pStyle w:val="7"/>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（一）严格执行保密法律、法规、规章和规定；</w:t>
      </w:r>
    </w:p>
    <w:p w14:paraId="1A681418">
      <w:pPr>
        <w:pStyle w:val="7"/>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（二）依法确定、使用和管理国家秘密及其载体；</w:t>
      </w:r>
    </w:p>
    <w:p w14:paraId="55FE5275">
      <w:pPr>
        <w:pStyle w:val="7"/>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（三）负责所在办公场所及技术设备、设施的保密安全。</w:t>
      </w:r>
    </w:p>
    <w:p w14:paraId="633FDF27">
      <w:pPr>
        <w:pStyle w:val="7"/>
        <w:spacing w:before="0" w:beforeAutospacing="0" w:after="0" w:afterAutospacing="0" w:line="560" w:lineRule="exact"/>
        <w:ind w:firstLine="643" w:firstLineChars="200"/>
        <w:jc w:val="both"/>
        <w:rPr>
          <w:rFonts w:ascii="仿宋" w:hAnsi="仿宋" w:eastAsia="仿宋" w:cs="仿宋"/>
          <w:sz w:val="32"/>
          <w:szCs w:val="32"/>
        </w:rPr>
      </w:pPr>
      <w:r>
        <w:rPr>
          <w:rFonts w:hint="eastAsia" w:ascii="仿宋" w:hAnsi="仿宋" w:eastAsia="仿宋" w:cs="仿宋"/>
          <w:b/>
          <w:sz w:val="32"/>
          <w:szCs w:val="32"/>
        </w:rPr>
        <w:t>第七条</w:t>
      </w:r>
      <w:r>
        <w:rPr>
          <w:rFonts w:hint="eastAsia" w:ascii="仿宋" w:hAnsi="仿宋" w:eastAsia="仿宋" w:cs="仿宋"/>
          <w:b/>
          <w:color w:val="193B88"/>
          <w:sz w:val="32"/>
          <w:szCs w:val="32"/>
        </w:rPr>
        <w:t xml:space="preserve"> </w:t>
      </w:r>
      <w:r>
        <w:rPr>
          <w:rFonts w:hint="eastAsia" w:ascii="仿宋" w:hAnsi="仿宋" w:eastAsia="仿宋" w:cs="仿宋"/>
          <w:sz w:val="32"/>
          <w:szCs w:val="32"/>
        </w:rPr>
        <w:t>保密要害部门、部位工作人员上岗前应接受保密教育和培训。</w:t>
      </w:r>
    </w:p>
    <w:p w14:paraId="4B78A5CA">
      <w:pPr>
        <w:pStyle w:val="7"/>
        <w:spacing w:before="0" w:beforeAutospacing="0" w:after="0" w:afterAutospacing="0" w:line="560" w:lineRule="exact"/>
        <w:ind w:firstLine="643" w:firstLineChars="200"/>
        <w:jc w:val="both"/>
        <w:rPr>
          <w:rFonts w:ascii="仿宋" w:hAnsi="仿宋" w:eastAsia="仿宋" w:cs="仿宋"/>
          <w:sz w:val="32"/>
          <w:szCs w:val="32"/>
        </w:rPr>
      </w:pPr>
      <w:r>
        <w:rPr>
          <w:rFonts w:hint="eastAsia" w:ascii="仿宋" w:hAnsi="仿宋" w:eastAsia="仿宋" w:cs="仿宋"/>
          <w:b/>
          <w:sz w:val="32"/>
          <w:szCs w:val="32"/>
        </w:rPr>
        <w:t>第八条</w:t>
      </w:r>
      <w:r>
        <w:rPr>
          <w:rFonts w:hint="eastAsia" w:ascii="仿宋" w:hAnsi="仿宋" w:eastAsia="仿宋" w:cs="仿宋"/>
          <w:sz w:val="32"/>
          <w:szCs w:val="32"/>
        </w:rPr>
        <w:t xml:space="preserve"> 保密要害部门、部位工作人员上岗前应签订《保密责任书》。未签订的，不得在保密要害部门、部位工作。《保密责任书》应包括涉密人员承担的保密责任和义务，必须遵守的保密纪律和有关限制性要求，以及需事先告知的事项和有关惩罚规定的内容。</w:t>
      </w:r>
    </w:p>
    <w:p w14:paraId="6419D2B0">
      <w:pPr>
        <w:pStyle w:val="7"/>
        <w:spacing w:before="0" w:beforeAutospacing="0" w:after="0" w:afterAutospacing="0" w:line="560" w:lineRule="exact"/>
        <w:ind w:firstLine="643" w:firstLineChars="200"/>
        <w:jc w:val="both"/>
        <w:rPr>
          <w:rFonts w:ascii="仿宋" w:hAnsi="仿宋" w:eastAsia="仿宋" w:cs="仿宋"/>
          <w:sz w:val="32"/>
          <w:szCs w:val="32"/>
        </w:rPr>
      </w:pPr>
      <w:r>
        <w:rPr>
          <w:rFonts w:hint="eastAsia" w:ascii="仿宋" w:hAnsi="仿宋" w:eastAsia="仿宋" w:cs="仿宋"/>
          <w:b/>
          <w:sz w:val="32"/>
          <w:szCs w:val="32"/>
        </w:rPr>
        <w:t>第九条</w:t>
      </w:r>
      <w:r>
        <w:rPr>
          <w:rFonts w:hint="eastAsia" w:ascii="仿宋" w:hAnsi="仿宋" w:eastAsia="仿宋" w:cs="仿宋"/>
          <w:sz w:val="32"/>
          <w:szCs w:val="32"/>
        </w:rPr>
        <w:t xml:space="preserve"> 保密要害部门、部位工作人员因私出国（境），须报经分管领导批准。分管领导认为出国（境）后可能会对国家秘密安全构成危害的，不予批准。未获批准的，不得擅自出国（境）。</w:t>
      </w:r>
    </w:p>
    <w:p w14:paraId="5C91CEC2">
      <w:pPr>
        <w:pStyle w:val="7"/>
        <w:spacing w:before="0" w:beforeAutospacing="0" w:after="0" w:afterAutospacing="0" w:line="560" w:lineRule="exact"/>
        <w:ind w:firstLine="643" w:firstLineChars="200"/>
        <w:jc w:val="both"/>
        <w:rPr>
          <w:rFonts w:ascii="仿宋" w:hAnsi="仿宋" w:eastAsia="仿宋" w:cs="仿宋"/>
          <w:sz w:val="32"/>
          <w:szCs w:val="32"/>
        </w:rPr>
      </w:pPr>
      <w:r>
        <w:rPr>
          <w:rFonts w:hint="eastAsia" w:ascii="仿宋" w:hAnsi="仿宋" w:eastAsia="仿宋" w:cs="仿宋"/>
          <w:b/>
          <w:sz w:val="32"/>
          <w:szCs w:val="32"/>
        </w:rPr>
        <w:t>第十条</w:t>
      </w:r>
      <w:r>
        <w:rPr>
          <w:rFonts w:hint="eastAsia" w:ascii="仿宋" w:hAnsi="仿宋" w:eastAsia="仿宋" w:cs="仿宋"/>
          <w:sz w:val="32"/>
          <w:szCs w:val="32"/>
        </w:rPr>
        <w:t xml:space="preserve"> 保密要害部门、部位工作人员离岗、调动，应事先提出申请，按照人事管理权限和有关保密规定，经有关部门批准。可能对国家秘密安全构成危害的，要实行脱密期制度。核心涉密人员脱密期限不少于3年，重要涉密人员脱密期限不得少于2年，一般涉密人员脱密期限不得少于6个月。</w:t>
      </w:r>
    </w:p>
    <w:p w14:paraId="106DEBCF">
      <w:pPr>
        <w:pStyle w:val="7"/>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保密要害部门、部位工作人员脱离涉密单位，须签订《离岗保密承诺书》。</w:t>
      </w:r>
    </w:p>
    <w:p w14:paraId="72C7F51C">
      <w:pPr>
        <w:pStyle w:val="7"/>
        <w:spacing w:before="0" w:beforeAutospacing="0" w:after="0" w:afterAutospacing="0" w:line="560" w:lineRule="exact"/>
        <w:ind w:firstLine="643" w:firstLineChars="200"/>
        <w:jc w:val="both"/>
        <w:rPr>
          <w:rFonts w:ascii="仿宋" w:hAnsi="仿宋" w:eastAsia="仿宋" w:cs="仿宋"/>
          <w:sz w:val="32"/>
          <w:szCs w:val="32"/>
        </w:rPr>
      </w:pPr>
      <w:r>
        <w:rPr>
          <w:rFonts w:hint="eastAsia" w:ascii="仿宋" w:hAnsi="仿宋" w:eastAsia="仿宋" w:cs="仿宋"/>
          <w:b/>
          <w:sz w:val="32"/>
          <w:szCs w:val="32"/>
        </w:rPr>
        <w:t>第十一条</w:t>
      </w:r>
      <w:r>
        <w:rPr>
          <w:rFonts w:hint="eastAsia" w:ascii="仿宋" w:hAnsi="仿宋" w:eastAsia="仿宋" w:cs="仿宋"/>
          <w:sz w:val="32"/>
          <w:szCs w:val="32"/>
        </w:rPr>
        <w:t xml:space="preserve"> 应根据有关规定对保密要害部门、部位所在办公场所加强保密安全防范措施，强制配备保密防护设备，做到人防、技防、物防相结合，确保国家秘密安全。</w:t>
      </w:r>
    </w:p>
    <w:p w14:paraId="3D3ED32F">
      <w:pPr>
        <w:pStyle w:val="7"/>
        <w:spacing w:before="0" w:beforeAutospacing="0" w:after="0" w:afterAutospacing="0" w:line="560" w:lineRule="exact"/>
        <w:ind w:firstLine="643" w:firstLineChars="200"/>
        <w:jc w:val="both"/>
        <w:rPr>
          <w:rFonts w:ascii="仿宋" w:hAnsi="仿宋" w:eastAsia="仿宋" w:cs="仿宋"/>
          <w:sz w:val="32"/>
          <w:szCs w:val="32"/>
        </w:rPr>
      </w:pPr>
      <w:r>
        <w:rPr>
          <w:rFonts w:hint="eastAsia" w:ascii="仿宋" w:hAnsi="仿宋" w:eastAsia="仿宋" w:cs="仿宋"/>
          <w:b/>
          <w:sz w:val="32"/>
          <w:szCs w:val="32"/>
        </w:rPr>
        <w:t>第十二条</w:t>
      </w:r>
      <w:r>
        <w:rPr>
          <w:rFonts w:hint="eastAsia" w:ascii="仿宋" w:hAnsi="仿宋" w:eastAsia="仿宋" w:cs="仿宋"/>
          <w:sz w:val="32"/>
          <w:szCs w:val="32"/>
        </w:rPr>
        <w:t xml:space="preserve"> 保密要害部门、部位应确定安全控制区域，并根据周边环境特点采取必要的安全防范措施。</w:t>
      </w:r>
    </w:p>
    <w:p w14:paraId="25D18418">
      <w:pPr>
        <w:pStyle w:val="7"/>
        <w:spacing w:before="0" w:beforeAutospacing="0" w:after="0" w:afterAutospacing="0" w:line="560" w:lineRule="exact"/>
        <w:ind w:firstLine="643" w:firstLineChars="200"/>
        <w:jc w:val="both"/>
        <w:rPr>
          <w:rFonts w:ascii="仿宋" w:hAnsi="仿宋" w:eastAsia="仿宋" w:cs="仿宋"/>
          <w:sz w:val="32"/>
          <w:szCs w:val="32"/>
        </w:rPr>
      </w:pPr>
      <w:r>
        <w:rPr>
          <w:rFonts w:hint="eastAsia" w:ascii="仿宋" w:hAnsi="仿宋" w:eastAsia="仿宋" w:cs="仿宋"/>
          <w:b/>
          <w:sz w:val="32"/>
          <w:szCs w:val="32"/>
        </w:rPr>
        <w:t>第十三条</w:t>
      </w:r>
      <w:r>
        <w:rPr>
          <w:rFonts w:hint="eastAsia" w:ascii="仿宋" w:hAnsi="仿宋" w:eastAsia="仿宋" w:cs="仿宋"/>
          <w:b/>
          <w:color w:val="193B88"/>
          <w:sz w:val="32"/>
          <w:szCs w:val="32"/>
        </w:rPr>
        <w:t xml:space="preserve"> </w:t>
      </w:r>
      <w:r>
        <w:rPr>
          <w:rFonts w:hint="eastAsia" w:ascii="仿宋" w:hAnsi="仿宋" w:eastAsia="仿宋" w:cs="仿宋"/>
          <w:sz w:val="32"/>
          <w:szCs w:val="32"/>
        </w:rPr>
        <w:t>保密要害部门、部位应确定进入人员范围，采取控制人员进入的措施，对进入保密要害部门、部位的人员应有严格的保密监督管理办法。</w:t>
      </w:r>
    </w:p>
    <w:p w14:paraId="5AADFABF">
      <w:pPr>
        <w:pStyle w:val="7"/>
        <w:spacing w:before="0" w:beforeAutospacing="0" w:after="0" w:afterAutospacing="0" w:line="560" w:lineRule="exact"/>
        <w:ind w:firstLine="643" w:firstLineChars="200"/>
        <w:jc w:val="both"/>
        <w:rPr>
          <w:rFonts w:ascii="仿宋" w:hAnsi="仿宋" w:eastAsia="仿宋" w:cs="仿宋"/>
          <w:sz w:val="32"/>
          <w:szCs w:val="32"/>
        </w:rPr>
      </w:pPr>
      <w:r>
        <w:rPr>
          <w:rFonts w:hint="eastAsia" w:ascii="仿宋" w:hAnsi="仿宋" w:eastAsia="仿宋" w:cs="仿宋"/>
          <w:b/>
          <w:sz w:val="32"/>
          <w:szCs w:val="32"/>
        </w:rPr>
        <w:t>第十四条</w:t>
      </w:r>
      <w:r>
        <w:rPr>
          <w:rFonts w:hint="eastAsia" w:ascii="仿宋" w:hAnsi="仿宋" w:eastAsia="仿宋" w:cs="仿宋"/>
          <w:sz w:val="32"/>
          <w:szCs w:val="32"/>
        </w:rPr>
        <w:t xml:space="preserve"> 工勤人员进入保密要害部门、部位，应符合下列基本要求：</w:t>
      </w:r>
    </w:p>
    <w:p w14:paraId="6F9419C0">
      <w:pPr>
        <w:pStyle w:val="7"/>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（一）通过保密审查，确认安全可靠；</w:t>
      </w:r>
    </w:p>
    <w:p w14:paraId="0A921AD4">
      <w:pPr>
        <w:pStyle w:val="7"/>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（二）上岗前进行保密教育并签订保密责任书；</w:t>
      </w:r>
    </w:p>
    <w:p w14:paraId="71DA031A">
      <w:pPr>
        <w:pStyle w:val="7"/>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（三）有相互监督制约的措施，实行两人同时工作制；</w:t>
      </w:r>
    </w:p>
    <w:p w14:paraId="31024A42">
      <w:pPr>
        <w:pStyle w:val="7"/>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（四）进入保密要害部门、部位必须得到有效监控。</w:t>
      </w:r>
    </w:p>
    <w:p w14:paraId="31AC1FF5">
      <w:pPr>
        <w:pStyle w:val="7"/>
        <w:spacing w:before="0" w:beforeAutospacing="0" w:after="0" w:afterAutospacing="0" w:line="560" w:lineRule="exact"/>
        <w:ind w:firstLine="643" w:firstLineChars="200"/>
        <w:jc w:val="both"/>
        <w:rPr>
          <w:rFonts w:ascii="仿宋" w:hAnsi="仿宋" w:eastAsia="仿宋" w:cs="仿宋"/>
          <w:sz w:val="32"/>
          <w:szCs w:val="32"/>
        </w:rPr>
      </w:pPr>
      <w:r>
        <w:rPr>
          <w:rFonts w:hint="eastAsia" w:ascii="仿宋" w:hAnsi="仿宋" w:eastAsia="仿宋" w:cs="仿宋"/>
          <w:b/>
          <w:sz w:val="32"/>
          <w:szCs w:val="32"/>
        </w:rPr>
        <w:t>第十五条</w:t>
      </w:r>
      <w:r>
        <w:rPr>
          <w:rFonts w:hint="eastAsia" w:ascii="仿宋" w:hAnsi="仿宋" w:eastAsia="仿宋" w:cs="仿宋"/>
          <w:sz w:val="32"/>
          <w:szCs w:val="32"/>
        </w:rPr>
        <w:t xml:space="preserve"> 保密要害部门、部位使用的设备和产品，应符合保密管理要求和保密技术标准；使用进口设备和产品，应进行安全技术检查。</w:t>
      </w:r>
    </w:p>
    <w:p w14:paraId="6DFF8569">
      <w:pPr>
        <w:pStyle w:val="7"/>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不符合保密安全标准和要求的设备和产品，不得存储、处理和传输国家秘密。</w:t>
      </w:r>
    </w:p>
    <w:p w14:paraId="60D6E837">
      <w:pPr>
        <w:pStyle w:val="7"/>
        <w:spacing w:before="0" w:beforeAutospacing="0" w:after="0" w:afterAutospacing="0" w:line="560" w:lineRule="exact"/>
        <w:ind w:firstLine="643" w:firstLineChars="200"/>
        <w:jc w:val="both"/>
        <w:rPr>
          <w:rFonts w:ascii="仿宋" w:hAnsi="仿宋" w:eastAsia="仿宋" w:cs="仿宋"/>
          <w:sz w:val="32"/>
          <w:szCs w:val="32"/>
        </w:rPr>
      </w:pPr>
      <w:r>
        <w:rPr>
          <w:rFonts w:hint="eastAsia" w:ascii="仿宋" w:hAnsi="仿宋" w:eastAsia="仿宋" w:cs="仿宋"/>
          <w:b/>
          <w:sz w:val="32"/>
          <w:szCs w:val="32"/>
        </w:rPr>
        <w:t>第十六条</w:t>
      </w:r>
      <w:r>
        <w:rPr>
          <w:rFonts w:hint="eastAsia" w:ascii="仿宋" w:hAnsi="仿宋" w:eastAsia="仿宋" w:cs="仿宋"/>
          <w:sz w:val="32"/>
          <w:szCs w:val="32"/>
        </w:rPr>
        <w:t xml:space="preserve"> 保密要害部门、部位使用计算机、电磁介质应符合国家有关保密规定，对涉及绝密级国家秘密的计算机、电磁介质应采取严格的控制措施。</w:t>
      </w:r>
    </w:p>
    <w:p w14:paraId="57EEEAD1">
      <w:pPr>
        <w:pStyle w:val="7"/>
        <w:spacing w:before="0" w:beforeAutospacing="0" w:after="0" w:afterAutospacing="0" w:line="560" w:lineRule="exact"/>
        <w:ind w:firstLine="643" w:firstLineChars="200"/>
        <w:jc w:val="both"/>
        <w:rPr>
          <w:rFonts w:ascii="仿宋" w:hAnsi="仿宋" w:eastAsia="仿宋" w:cs="仿宋"/>
          <w:sz w:val="32"/>
          <w:szCs w:val="32"/>
        </w:rPr>
      </w:pPr>
      <w:r>
        <w:rPr>
          <w:rFonts w:hint="eastAsia" w:ascii="仿宋" w:hAnsi="仿宋" w:eastAsia="仿宋" w:cs="仿宋"/>
          <w:b/>
          <w:sz w:val="32"/>
          <w:szCs w:val="32"/>
        </w:rPr>
        <w:t>第十七条</w:t>
      </w:r>
      <w:r>
        <w:rPr>
          <w:rFonts w:hint="eastAsia" w:ascii="仿宋" w:hAnsi="仿宋" w:eastAsia="仿宋" w:cs="仿宋"/>
          <w:sz w:val="32"/>
          <w:szCs w:val="32"/>
        </w:rPr>
        <w:t xml:space="preserve"> 保密要害部门、部位国家秘密载体应在安全可靠的设备中保存。绝密级载体应放置在保险柜内，并明确管理责任人，采取严格管理措施。</w:t>
      </w:r>
    </w:p>
    <w:p w14:paraId="316D77B9">
      <w:pPr>
        <w:pStyle w:val="7"/>
        <w:spacing w:before="0" w:beforeAutospacing="0" w:after="0" w:afterAutospacing="0" w:line="560" w:lineRule="exact"/>
        <w:ind w:firstLine="643" w:firstLineChars="200"/>
        <w:jc w:val="both"/>
        <w:rPr>
          <w:rFonts w:ascii="仿宋" w:hAnsi="仿宋" w:eastAsia="仿宋" w:cs="仿宋"/>
          <w:sz w:val="32"/>
          <w:szCs w:val="32"/>
        </w:rPr>
      </w:pPr>
      <w:r>
        <w:rPr>
          <w:rFonts w:hint="eastAsia" w:ascii="仿宋" w:hAnsi="仿宋" w:eastAsia="仿宋" w:cs="仿宋"/>
          <w:b/>
          <w:sz w:val="32"/>
          <w:szCs w:val="32"/>
        </w:rPr>
        <w:t>第十八条</w:t>
      </w:r>
      <w:r>
        <w:rPr>
          <w:rFonts w:hint="eastAsia" w:ascii="仿宋" w:hAnsi="仿宋" w:eastAsia="仿宋" w:cs="仿宋"/>
          <w:sz w:val="32"/>
          <w:szCs w:val="32"/>
        </w:rPr>
        <w:t xml:space="preserve"> 保密要害部门、部位禁止使用无绳电话和无线移动电话，未经批准不得携带有录音、录像、拍照、信息储存功能的设备入内。</w:t>
      </w:r>
    </w:p>
    <w:p w14:paraId="7A213F00">
      <w:pPr>
        <w:widowControl/>
        <w:spacing w:line="560" w:lineRule="exact"/>
        <w:ind w:firstLine="643" w:firstLineChars="200"/>
        <w:jc w:val="left"/>
        <w:rPr>
          <w:rFonts w:ascii="仿宋" w:hAnsi="仿宋" w:eastAsia="仿宋" w:cs="仿宋"/>
          <w:sz w:val="32"/>
          <w:szCs w:val="32"/>
        </w:rPr>
      </w:pPr>
      <w:r>
        <w:rPr>
          <w:rFonts w:hint="eastAsia" w:ascii="仿宋" w:hAnsi="仿宋" w:eastAsia="仿宋" w:cs="仿宋"/>
          <w:b/>
          <w:kern w:val="0"/>
          <w:sz w:val="32"/>
          <w:szCs w:val="32"/>
        </w:rPr>
        <w:t>第十九条</w:t>
      </w:r>
      <w:r>
        <w:rPr>
          <w:rFonts w:hint="eastAsia" w:ascii="仿宋" w:hAnsi="仿宋" w:eastAsia="仿宋" w:cs="仿宋"/>
          <w:kern w:val="0"/>
          <w:sz w:val="32"/>
          <w:szCs w:val="32"/>
        </w:rPr>
        <w:t xml:space="preserve"> 如违反本制度的有关事项，造成泄密的，年度考核等次不能评为优秀，造成严重后果的，年度考核等次为不及格。</w:t>
      </w:r>
    </w:p>
    <w:p w14:paraId="4BE29DEA">
      <w:pPr>
        <w:widowControl/>
        <w:spacing w:line="560" w:lineRule="exact"/>
        <w:ind w:firstLine="643" w:firstLineChars="200"/>
        <w:jc w:val="left"/>
        <w:rPr>
          <w:rFonts w:ascii="仿宋" w:hAnsi="仿宋" w:eastAsia="仿宋" w:cs="仿宋"/>
          <w:kern w:val="0"/>
          <w:sz w:val="32"/>
          <w:szCs w:val="32"/>
        </w:rPr>
      </w:pPr>
      <w:r>
        <w:rPr>
          <w:rFonts w:hint="eastAsia" w:ascii="仿宋" w:hAnsi="仿宋" w:eastAsia="仿宋" w:cs="仿宋"/>
          <w:b/>
          <w:kern w:val="0"/>
          <w:sz w:val="32"/>
          <w:szCs w:val="32"/>
        </w:rPr>
        <w:t>第二十条</w:t>
      </w:r>
      <w:r>
        <w:rPr>
          <w:rFonts w:hint="eastAsia" w:ascii="仿宋" w:hAnsi="仿宋" w:eastAsia="仿宋" w:cs="仿宋"/>
          <w:kern w:val="0"/>
          <w:sz w:val="32"/>
          <w:szCs w:val="32"/>
        </w:rPr>
        <w:t xml:space="preserve"> 本制度局保密工作领导小组负责解释。</w:t>
      </w:r>
    </w:p>
    <w:p w14:paraId="1EE86719">
      <w:pPr>
        <w:rPr>
          <w:rFonts w:ascii="仿宋" w:hAnsi="仿宋" w:eastAsia="仿宋" w:cs="仿宋"/>
          <w:kern w:val="0"/>
          <w:sz w:val="32"/>
          <w:szCs w:val="32"/>
        </w:rPr>
      </w:pPr>
      <w:r>
        <w:rPr>
          <w:rFonts w:hint="eastAsia" w:ascii="仿宋" w:hAnsi="仿宋" w:eastAsia="仿宋" w:cs="仿宋"/>
          <w:kern w:val="0"/>
          <w:sz w:val="32"/>
          <w:szCs w:val="32"/>
        </w:rPr>
        <w:br w:type="page"/>
      </w:r>
    </w:p>
    <w:p w14:paraId="3C132726">
      <w:pPr>
        <w:pStyle w:val="2"/>
        <w:widowControl/>
        <w:spacing w:line="600" w:lineRule="exact"/>
        <w:jc w:val="center"/>
        <w:rPr>
          <w:rFonts w:hint="default" w:ascii="方正小标宋_GBK" w:hAnsi="方正小标宋_GBK" w:eastAsia="方正小标宋_GBK" w:cs="方正小标宋_GBK"/>
          <w:b w:val="0"/>
          <w:bCs/>
          <w:sz w:val="44"/>
          <w:szCs w:val="44"/>
        </w:rPr>
      </w:pPr>
      <w:bookmarkStart w:id="2" w:name="_Toc24377"/>
      <w:r>
        <w:rPr>
          <w:rFonts w:ascii="方正小标宋_GBK" w:hAnsi="方正小标宋_GBK" w:eastAsia="方正小标宋_GBK" w:cs="方正小标宋_GBK"/>
          <w:b w:val="0"/>
          <w:bCs/>
          <w:sz w:val="44"/>
          <w:szCs w:val="44"/>
          <w:shd w:val="clear" w:color="auto" w:fill="FFFFFF"/>
        </w:rPr>
        <w:t>保密工作责任考核与奖惩制度</w:t>
      </w:r>
      <w:bookmarkEnd w:id="2"/>
    </w:p>
    <w:p w14:paraId="5D19017F">
      <w:pPr>
        <w:pStyle w:val="7"/>
        <w:spacing w:before="0" w:beforeAutospacing="0" w:after="0" w:afterAutospacing="0" w:line="560" w:lineRule="exact"/>
        <w:ind w:firstLine="643" w:firstLineChars="200"/>
        <w:rPr>
          <w:rFonts w:ascii="仿宋" w:hAnsi="仿宋" w:eastAsia="仿宋" w:cs="仿宋"/>
          <w:color w:val="333333"/>
          <w:sz w:val="32"/>
          <w:szCs w:val="32"/>
        </w:rPr>
      </w:pPr>
      <w:r>
        <w:rPr>
          <w:rStyle w:val="11"/>
          <w:rFonts w:hint="eastAsia" w:ascii="仿宋" w:hAnsi="仿宋" w:eastAsia="仿宋" w:cs="仿宋"/>
          <w:bCs/>
          <w:color w:val="000000"/>
          <w:sz w:val="32"/>
          <w:szCs w:val="32"/>
          <w:shd w:val="clear" w:color="auto" w:fill="FFFFFF"/>
        </w:rPr>
        <w:t>第一条</w:t>
      </w:r>
      <w:r>
        <w:rPr>
          <w:rFonts w:hint="eastAsia" w:ascii="仿宋" w:hAnsi="仿宋" w:eastAsia="仿宋" w:cs="仿宋"/>
          <w:color w:val="000000"/>
          <w:sz w:val="32"/>
          <w:szCs w:val="32"/>
          <w:shd w:val="clear" w:color="auto" w:fill="FFFFFF"/>
        </w:rPr>
        <w:t xml:space="preserve"> 为切实保障各项保密管理规章制度的落实，我局实行保密工作责任考核与奖惩制度。</w:t>
      </w:r>
    </w:p>
    <w:p w14:paraId="2C49F36C">
      <w:pPr>
        <w:pStyle w:val="7"/>
        <w:spacing w:before="0" w:beforeAutospacing="0" w:after="0" w:afterAutospacing="0" w:line="560" w:lineRule="exact"/>
        <w:ind w:firstLine="643" w:firstLineChars="200"/>
        <w:rPr>
          <w:rFonts w:ascii="仿宋" w:hAnsi="仿宋" w:eastAsia="仿宋" w:cs="仿宋"/>
          <w:color w:val="333333"/>
          <w:sz w:val="32"/>
          <w:szCs w:val="32"/>
        </w:rPr>
      </w:pPr>
      <w:r>
        <w:rPr>
          <w:rStyle w:val="11"/>
          <w:rFonts w:hint="eastAsia" w:ascii="仿宋" w:hAnsi="仿宋" w:eastAsia="仿宋" w:cs="仿宋"/>
          <w:bCs/>
          <w:color w:val="000000"/>
          <w:sz w:val="32"/>
          <w:szCs w:val="32"/>
          <w:shd w:val="clear" w:color="auto" w:fill="FFFFFF"/>
        </w:rPr>
        <w:t>第二条</w:t>
      </w:r>
      <w:r>
        <w:rPr>
          <w:rFonts w:hint="eastAsia" w:ascii="仿宋" w:hAnsi="仿宋" w:eastAsia="仿宋" w:cs="仿宋"/>
          <w:color w:val="000000"/>
          <w:sz w:val="32"/>
          <w:szCs w:val="32"/>
          <w:shd w:val="clear" w:color="auto" w:fill="FFFFFF"/>
        </w:rPr>
        <w:t xml:space="preserve"> 对具备下列条件之一的，将给予表彰和奖励。</w:t>
      </w:r>
    </w:p>
    <w:p w14:paraId="5C9CC06A">
      <w:pPr>
        <w:pStyle w:val="7"/>
        <w:spacing w:before="0" w:beforeAutospacing="0" w:after="0" w:afterAutospacing="0" w:line="560" w:lineRule="exact"/>
        <w:ind w:firstLine="640" w:firstLineChars="200"/>
        <w:rPr>
          <w:rFonts w:ascii="仿宋" w:hAnsi="仿宋" w:eastAsia="仿宋" w:cs="仿宋"/>
          <w:color w:val="333333"/>
          <w:sz w:val="32"/>
          <w:szCs w:val="32"/>
        </w:rPr>
      </w:pPr>
      <w:r>
        <w:rPr>
          <w:rFonts w:hint="eastAsia" w:ascii="仿宋" w:hAnsi="仿宋" w:eastAsia="仿宋" w:cs="仿宋"/>
          <w:color w:val="000000"/>
          <w:sz w:val="32"/>
          <w:szCs w:val="32"/>
          <w:shd w:val="clear" w:color="auto" w:fill="FFFFFF"/>
        </w:rPr>
        <w:t>（一）在危急情况下保护国家秘密安全的；</w:t>
      </w:r>
    </w:p>
    <w:p w14:paraId="491B3D25">
      <w:pPr>
        <w:pStyle w:val="7"/>
        <w:spacing w:before="0" w:beforeAutospacing="0" w:after="0" w:afterAutospacing="0" w:line="560" w:lineRule="exact"/>
        <w:ind w:firstLine="640" w:firstLineChars="200"/>
        <w:rPr>
          <w:rFonts w:ascii="仿宋" w:hAnsi="仿宋" w:eastAsia="仿宋" w:cs="仿宋"/>
          <w:color w:val="333333"/>
          <w:sz w:val="32"/>
          <w:szCs w:val="32"/>
        </w:rPr>
      </w:pPr>
      <w:r>
        <w:rPr>
          <w:rFonts w:hint="eastAsia" w:ascii="仿宋" w:hAnsi="仿宋" w:eastAsia="仿宋" w:cs="仿宋"/>
          <w:color w:val="000000"/>
          <w:sz w:val="32"/>
          <w:szCs w:val="32"/>
          <w:shd w:val="clear" w:color="auto" w:fill="FFFFFF"/>
        </w:rPr>
        <w:t>（二）对泄密行为及时举报的；</w:t>
      </w:r>
    </w:p>
    <w:p w14:paraId="77A3087E">
      <w:pPr>
        <w:pStyle w:val="7"/>
        <w:spacing w:before="0" w:beforeAutospacing="0" w:after="0" w:afterAutospacing="0" w:line="560" w:lineRule="exact"/>
        <w:ind w:firstLine="640" w:firstLineChars="200"/>
        <w:rPr>
          <w:rFonts w:ascii="仿宋" w:hAnsi="仿宋" w:eastAsia="仿宋" w:cs="仿宋"/>
          <w:color w:val="333333"/>
          <w:sz w:val="32"/>
          <w:szCs w:val="32"/>
        </w:rPr>
      </w:pPr>
      <w:r>
        <w:rPr>
          <w:rFonts w:hint="eastAsia" w:ascii="仿宋" w:hAnsi="仿宋" w:eastAsia="仿宋" w:cs="仿宋"/>
          <w:color w:val="000000"/>
          <w:sz w:val="32"/>
          <w:szCs w:val="32"/>
          <w:shd w:val="clear" w:color="auto" w:fill="FFFFFF"/>
        </w:rPr>
        <w:t>（三）发现他人泄密或可能泄密，立即采取补救措施避免或减轻损害后果的；</w:t>
      </w:r>
    </w:p>
    <w:p w14:paraId="6AA952E5">
      <w:pPr>
        <w:pStyle w:val="7"/>
        <w:spacing w:before="0" w:beforeAutospacing="0" w:after="0" w:afterAutospacing="0" w:line="560" w:lineRule="exact"/>
        <w:ind w:firstLine="640" w:firstLineChars="200"/>
        <w:rPr>
          <w:rFonts w:ascii="仿宋" w:hAnsi="仿宋" w:eastAsia="仿宋" w:cs="仿宋"/>
          <w:color w:val="333333"/>
          <w:sz w:val="32"/>
          <w:szCs w:val="32"/>
        </w:rPr>
      </w:pPr>
      <w:r>
        <w:rPr>
          <w:rFonts w:hint="eastAsia" w:ascii="仿宋" w:hAnsi="仿宋" w:eastAsia="仿宋" w:cs="仿宋"/>
          <w:color w:val="000000"/>
          <w:sz w:val="32"/>
          <w:szCs w:val="32"/>
          <w:shd w:val="clear" w:color="auto" w:fill="FFFFFF"/>
        </w:rPr>
        <w:t>（四）对盗窃、抢劫、破坏、刺探、出卖、非法持有国家秘密的行为敢于斗争或对侦破泄密案件有功的；</w:t>
      </w:r>
    </w:p>
    <w:p w14:paraId="7432588E">
      <w:pPr>
        <w:pStyle w:val="7"/>
        <w:spacing w:before="0" w:beforeAutospacing="0" w:after="0" w:afterAutospacing="0" w:line="560" w:lineRule="exact"/>
        <w:ind w:firstLine="640" w:firstLineChars="200"/>
        <w:rPr>
          <w:rFonts w:ascii="仿宋" w:hAnsi="仿宋" w:eastAsia="仿宋" w:cs="仿宋"/>
          <w:color w:val="333333"/>
          <w:sz w:val="32"/>
          <w:szCs w:val="32"/>
        </w:rPr>
      </w:pPr>
      <w:r>
        <w:rPr>
          <w:rFonts w:hint="eastAsia" w:ascii="仿宋" w:hAnsi="仿宋" w:eastAsia="仿宋" w:cs="仿宋"/>
          <w:color w:val="000000"/>
          <w:sz w:val="32"/>
          <w:szCs w:val="32"/>
          <w:shd w:val="clear" w:color="auto" w:fill="FFFFFF"/>
        </w:rPr>
        <w:t>（五）在涉及国家秘密的专项活动中，严守国家秘密，对维护国家安全和利益作出重要贡献的；</w:t>
      </w:r>
    </w:p>
    <w:p w14:paraId="72F279EB">
      <w:pPr>
        <w:pStyle w:val="7"/>
        <w:spacing w:before="0" w:beforeAutospacing="0" w:after="0" w:afterAutospacing="0" w:line="560" w:lineRule="exact"/>
        <w:ind w:firstLine="640" w:firstLineChars="200"/>
        <w:rPr>
          <w:rFonts w:ascii="仿宋" w:hAnsi="仿宋" w:eastAsia="仿宋" w:cs="仿宋"/>
          <w:color w:val="333333"/>
          <w:sz w:val="32"/>
          <w:szCs w:val="32"/>
        </w:rPr>
      </w:pPr>
      <w:r>
        <w:rPr>
          <w:rFonts w:hint="eastAsia" w:ascii="仿宋" w:hAnsi="仿宋" w:eastAsia="仿宋" w:cs="仿宋"/>
          <w:color w:val="000000"/>
          <w:sz w:val="32"/>
          <w:szCs w:val="32"/>
          <w:shd w:val="clear" w:color="auto" w:fill="FFFFFF"/>
        </w:rPr>
        <w:t>（六）对保密技术措施有发明创造或改进，为保密工作做出贡献的。</w:t>
      </w:r>
    </w:p>
    <w:p w14:paraId="4A01FF56">
      <w:pPr>
        <w:pStyle w:val="7"/>
        <w:spacing w:before="0" w:beforeAutospacing="0" w:after="0" w:afterAutospacing="0" w:line="560" w:lineRule="exact"/>
        <w:ind w:firstLine="643" w:firstLineChars="200"/>
        <w:rPr>
          <w:rFonts w:ascii="仿宋" w:hAnsi="仿宋" w:eastAsia="仿宋" w:cs="仿宋"/>
          <w:color w:val="333333"/>
          <w:sz w:val="32"/>
          <w:szCs w:val="32"/>
        </w:rPr>
      </w:pPr>
      <w:r>
        <w:rPr>
          <w:rStyle w:val="11"/>
          <w:rFonts w:hint="eastAsia" w:ascii="仿宋" w:hAnsi="仿宋" w:eastAsia="仿宋" w:cs="仿宋"/>
          <w:bCs/>
          <w:color w:val="000000"/>
          <w:sz w:val="32"/>
          <w:szCs w:val="32"/>
          <w:shd w:val="clear" w:color="auto" w:fill="FFFFFF"/>
        </w:rPr>
        <w:t>第三条</w:t>
      </w:r>
      <w:r>
        <w:rPr>
          <w:rFonts w:hint="eastAsia" w:ascii="仿宋" w:hAnsi="仿宋" w:eastAsia="仿宋" w:cs="仿宋"/>
          <w:color w:val="000000"/>
          <w:sz w:val="32"/>
          <w:szCs w:val="32"/>
          <w:shd w:val="clear" w:color="auto" w:fill="FFFFFF"/>
        </w:rPr>
        <w:t xml:space="preserve"> 对违反保密管理规章制度未造成泄密后果的单位和个人，根据以下规定给予处罚：</w:t>
      </w:r>
    </w:p>
    <w:p w14:paraId="22F49D6A">
      <w:pPr>
        <w:pStyle w:val="7"/>
        <w:spacing w:before="0" w:beforeAutospacing="0" w:after="0" w:afterAutospacing="0" w:line="560" w:lineRule="exact"/>
        <w:ind w:firstLine="640" w:firstLineChars="200"/>
        <w:rPr>
          <w:rFonts w:ascii="仿宋" w:hAnsi="仿宋" w:eastAsia="仿宋" w:cs="仿宋"/>
          <w:color w:val="333333"/>
          <w:sz w:val="32"/>
          <w:szCs w:val="32"/>
        </w:rPr>
      </w:pPr>
      <w:r>
        <w:rPr>
          <w:rFonts w:hint="eastAsia" w:ascii="仿宋" w:hAnsi="仿宋" w:eastAsia="仿宋" w:cs="仿宋"/>
          <w:color w:val="000000"/>
          <w:sz w:val="32"/>
          <w:szCs w:val="32"/>
          <w:shd w:val="clear" w:color="auto" w:fill="FFFFFF"/>
        </w:rPr>
        <w:t>（一）无故不参加保密学习、教育、培训和测试等活动。</w:t>
      </w:r>
    </w:p>
    <w:p w14:paraId="14E89D21">
      <w:pPr>
        <w:pStyle w:val="7"/>
        <w:spacing w:before="0" w:beforeAutospacing="0" w:after="0" w:afterAutospacing="0" w:line="560" w:lineRule="exact"/>
        <w:ind w:firstLine="640" w:firstLineChars="200"/>
        <w:rPr>
          <w:rFonts w:ascii="仿宋" w:hAnsi="仿宋" w:eastAsia="仿宋" w:cs="仿宋"/>
          <w:color w:val="333333"/>
          <w:sz w:val="32"/>
          <w:szCs w:val="32"/>
        </w:rPr>
      </w:pPr>
      <w:r>
        <w:rPr>
          <w:rFonts w:hint="eastAsia" w:ascii="仿宋" w:hAnsi="仿宋" w:eastAsia="仿宋" w:cs="仿宋"/>
          <w:color w:val="000000"/>
          <w:sz w:val="32"/>
          <w:szCs w:val="32"/>
          <w:shd w:val="clear" w:color="auto" w:fill="FFFFFF"/>
        </w:rPr>
        <w:t>（二）涉密文件未分开登记、保存。</w:t>
      </w:r>
    </w:p>
    <w:p w14:paraId="0460EF09">
      <w:pPr>
        <w:pStyle w:val="7"/>
        <w:spacing w:before="0" w:beforeAutospacing="0" w:after="0" w:afterAutospacing="0" w:line="560" w:lineRule="exact"/>
        <w:ind w:firstLine="640" w:firstLineChars="200"/>
        <w:rPr>
          <w:rFonts w:ascii="仿宋" w:hAnsi="仿宋" w:eastAsia="仿宋" w:cs="仿宋"/>
          <w:color w:val="333333"/>
          <w:sz w:val="32"/>
          <w:szCs w:val="32"/>
        </w:rPr>
      </w:pPr>
      <w:r>
        <w:rPr>
          <w:rFonts w:hint="eastAsia" w:ascii="仿宋" w:hAnsi="仿宋" w:eastAsia="仿宋" w:cs="仿宋"/>
          <w:color w:val="000000"/>
          <w:sz w:val="32"/>
          <w:szCs w:val="32"/>
          <w:shd w:val="clear" w:color="auto" w:fill="FFFFFF"/>
        </w:rPr>
        <w:t>（三）阅办完毕的涉密文件、资料逾期留存或横传，不及时按规定清退归档。</w:t>
      </w:r>
    </w:p>
    <w:p w14:paraId="39825749">
      <w:pPr>
        <w:pStyle w:val="7"/>
        <w:spacing w:before="0" w:beforeAutospacing="0" w:after="0" w:afterAutospacing="0" w:line="560" w:lineRule="exact"/>
        <w:ind w:firstLine="640" w:firstLineChars="200"/>
        <w:rPr>
          <w:rFonts w:ascii="仿宋" w:hAnsi="仿宋" w:eastAsia="仿宋" w:cs="仿宋"/>
          <w:color w:val="333333"/>
          <w:sz w:val="32"/>
          <w:szCs w:val="32"/>
        </w:rPr>
      </w:pPr>
      <w:r>
        <w:rPr>
          <w:rFonts w:hint="eastAsia" w:ascii="仿宋" w:hAnsi="仿宋" w:eastAsia="仿宋" w:cs="仿宋"/>
          <w:color w:val="000000"/>
          <w:sz w:val="32"/>
          <w:szCs w:val="32"/>
          <w:shd w:val="clear" w:color="auto" w:fill="FFFFFF"/>
        </w:rPr>
        <w:t>（四）载有国家秘密和工作秘密的密件、密品未保存在有保密防范措施的设备中。</w:t>
      </w:r>
    </w:p>
    <w:p w14:paraId="7A738C0F">
      <w:pPr>
        <w:pStyle w:val="7"/>
        <w:spacing w:before="0" w:beforeAutospacing="0" w:after="0" w:afterAutospacing="0" w:line="560" w:lineRule="exact"/>
        <w:ind w:firstLine="640" w:firstLineChars="200"/>
        <w:rPr>
          <w:rFonts w:ascii="仿宋" w:hAnsi="仿宋" w:eastAsia="仿宋" w:cs="仿宋"/>
          <w:color w:val="333333"/>
          <w:sz w:val="32"/>
          <w:szCs w:val="32"/>
        </w:rPr>
      </w:pPr>
      <w:r>
        <w:rPr>
          <w:rFonts w:hint="eastAsia" w:ascii="仿宋" w:hAnsi="仿宋" w:eastAsia="仿宋" w:cs="仿宋"/>
          <w:color w:val="000000"/>
          <w:sz w:val="32"/>
          <w:szCs w:val="32"/>
          <w:shd w:val="clear" w:color="auto" w:fill="FFFFFF"/>
        </w:rPr>
        <w:t>（五）涉密计算机的使用、维护和维修未按有关规定执行。</w:t>
      </w:r>
    </w:p>
    <w:p w14:paraId="44DC5F3D">
      <w:pPr>
        <w:pStyle w:val="7"/>
        <w:spacing w:before="0" w:beforeAutospacing="0" w:after="0" w:afterAutospacing="0" w:line="560" w:lineRule="exact"/>
        <w:ind w:firstLine="640" w:firstLineChars="200"/>
        <w:rPr>
          <w:rFonts w:ascii="仿宋" w:hAnsi="仿宋" w:eastAsia="仿宋" w:cs="仿宋"/>
          <w:color w:val="333333"/>
          <w:sz w:val="32"/>
          <w:szCs w:val="32"/>
        </w:rPr>
      </w:pPr>
      <w:r>
        <w:rPr>
          <w:rFonts w:hint="eastAsia" w:ascii="仿宋" w:hAnsi="仿宋" w:eastAsia="仿宋" w:cs="仿宋"/>
          <w:color w:val="000000"/>
          <w:sz w:val="32"/>
          <w:szCs w:val="32"/>
          <w:shd w:val="clear" w:color="auto" w:fill="FFFFFF"/>
        </w:rPr>
        <w:t>（六）涉密材料归档不及时或归档材料不齐全。</w:t>
      </w:r>
    </w:p>
    <w:p w14:paraId="191846B6">
      <w:pPr>
        <w:pStyle w:val="7"/>
        <w:spacing w:before="0" w:beforeAutospacing="0" w:after="0" w:afterAutospacing="0" w:line="560" w:lineRule="exact"/>
        <w:ind w:firstLine="640" w:firstLineChars="200"/>
        <w:rPr>
          <w:rFonts w:ascii="仿宋" w:hAnsi="仿宋" w:eastAsia="仿宋" w:cs="仿宋"/>
          <w:color w:val="333333"/>
          <w:sz w:val="32"/>
          <w:szCs w:val="32"/>
        </w:rPr>
      </w:pPr>
      <w:r>
        <w:rPr>
          <w:rFonts w:hint="eastAsia" w:ascii="仿宋" w:hAnsi="仿宋" w:eastAsia="仿宋" w:cs="仿宋"/>
          <w:color w:val="000000"/>
          <w:sz w:val="32"/>
          <w:szCs w:val="32"/>
          <w:shd w:val="clear" w:color="auto" w:fill="FFFFFF"/>
        </w:rPr>
        <w:t>（七）未经批准擅自扩大国家秘密事项的知悉范围。</w:t>
      </w:r>
    </w:p>
    <w:p w14:paraId="4E50746F">
      <w:pPr>
        <w:pStyle w:val="7"/>
        <w:spacing w:before="0" w:beforeAutospacing="0" w:after="0" w:afterAutospacing="0" w:line="560" w:lineRule="exact"/>
        <w:ind w:firstLine="640" w:firstLineChars="200"/>
        <w:rPr>
          <w:rFonts w:ascii="仿宋" w:hAnsi="仿宋" w:eastAsia="仿宋" w:cs="仿宋"/>
          <w:color w:val="333333"/>
          <w:sz w:val="32"/>
          <w:szCs w:val="32"/>
        </w:rPr>
      </w:pPr>
      <w:r>
        <w:rPr>
          <w:rFonts w:hint="eastAsia" w:ascii="仿宋" w:hAnsi="仿宋" w:eastAsia="仿宋" w:cs="仿宋"/>
          <w:color w:val="000000"/>
          <w:sz w:val="32"/>
          <w:szCs w:val="32"/>
          <w:shd w:val="clear" w:color="auto" w:fill="FFFFFF"/>
        </w:rPr>
        <w:t>（八）非涉密计算机未经批准擅自上互联网。</w:t>
      </w:r>
    </w:p>
    <w:p w14:paraId="7752066E">
      <w:pPr>
        <w:pStyle w:val="7"/>
        <w:spacing w:before="0" w:beforeAutospacing="0" w:after="0" w:afterAutospacing="0" w:line="560" w:lineRule="exact"/>
        <w:ind w:firstLine="640" w:firstLineChars="200"/>
        <w:rPr>
          <w:rFonts w:ascii="仿宋" w:hAnsi="仿宋" w:eastAsia="仿宋" w:cs="仿宋"/>
          <w:color w:val="333333"/>
          <w:sz w:val="32"/>
          <w:szCs w:val="32"/>
        </w:rPr>
      </w:pPr>
      <w:r>
        <w:rPr>
          <w:rFonts w:hint="eastAsia" w:ascii="仿宋" w:hAnsi="仿宋" w:eastAsia="仿宋" w:cs="仿宋"/>
          <w:color w:val="000000"/>
          <w:sz w:val="32"/>
          <w:szCs w:val="32"/>
          <w:shd w:val="clear" w:color="auto" w:fill="FFFFFF"/>
        </w:rPr>
        <w:t>（九）制作涉密载体过程中产生的废页、废料、校对稿、胶片、蜡纸等作为废品出售。</w:t>
      </w:r>
    </w:p>
    <w:p w14:paraId="4A103337">
      <w:pPr>
        <w:pStyle w:val="7"/>
        <w:spacing w:before="0" w:beforeAutospacing="0" w:after="0" w:afterAutospacing="0" w:line="560" w:lineRule="exact"/>
        <w:ind w:firstLine="640" w:firstLineChars="200"/>
        <w:rPr>
          <w:rFonts w:ascii="仿宋" w:hAnsi="仿宋" w:eastAsia="仿宋" w:cs="仿宋"/>
          <w:color w:val="333333"/>
          <w:sz w:val="32"/>
          <w:szCs w:val="32"/>
        </w:rPr>
      </w:pPr>
      <w:r>
        <w:rPr>
          <w:rFonts w:hint="eastAsia" w:ascii="仿宋" w:hAnsi="仿宋" w:eastAsia="仿宋" w:cs="仿宋"/>
          <w:color w:val="000000"/>
          <w:sz w:val="32"/>
          <w:szCs w:val="32"/>
          <w:shd w:val="clear" w:color="auto" w:fill="FFFFFF"/>
        </w:rPr>
        <w:t>（十）使用普通传真机发送涉密信息。</w:t>
      </w:r>
    </w:p>
    <w:p w14:paraId="7DF69E1D">
      <w:pPr>
        <w:pStyle w:val="7"/>
        <w:spacing w:before="0" w:beforeAutospacing="0" w:after="0" w:afterAutospacing="0" w:line="560" w:lineRule="exact"/>
        <w:ind w:firstLine="640" w:firstLineChars="200"/>
        <w:rPr>
          <w:rFonts w:ascii="仿宋" w:hAnsi="仿宋" w:eastAsia="仿宋" w:cs="仿宋"/>
          <w:color w:val="333333"/>
          <w:sz w:val="32"/>
          <w:szCs w:val="32"/>
        </w:rPr>
      </w:pPr>
      <w:r>
        <w:rPr>
          <w:rFonts w:hint="eastAsia" w:ascii="仿宋" w:hAnsi="仿宋" w:eastAsia="仿宋" w:cs="仿宋"/>
          <w:color w:val="000000"/>
          <w:sz w:val="32"/>
          <w:szCs w:val="32"/>
          <w:shd w:val="clear" w:color="auto" w:fill="FFFFFF"/>
        </w:rPr>
        <w:t>（十一）发现泄密、泄密隐患或涉密载体丢失后，未采取补救措施和未及时上报。</w:t>
      </w:r>
    </w:p>
    <w:p w14:paraId="7C315998">
      <w:pPr>
        <w:pStyle w:val="7"/>
        <w:spacing w:before="0" w:beforeAutospacing="0" w:after="0" w:afterAutospacing="0" w:line="560" w:lineRule="exact"/>
        <w:ind w:firstLine="643" w:firstLineChars="200"/>
        <w:rPr>
          <w:rFonts w:ascii="仿宋" w:hAnsi="仿宋" w:eastAsia="仿宋" w:cs="仿宋"/>
          <w:color w:val="333333"/>
          <w:sz w:val="32"/>
          <w:szCs w:val="32"/>
        </w:rPr>
      </w:pPr>
      <w:r>
        <w:rPr>
          <w:rStyle w:val="11"/>
          <w:rFonts w:hint="eastAsia" w:ascii="仿宋" w:hAnsi="仿宋" w:eastAsia="仿宋" w:cs="仿宋"/>
          <w:bCs/>
          <w:color w:val="000000"/>
          <w:sz w:val="32"/>
          <w:szCs w:val="32"/>
          <w:shd w:val="clear" w:color="auto" w:fill="FFFFFF"/>
        </w:rPr>
        <w:t>第四条</w:t>
      </w:r>
      <w:r>
        <w:rPr>
          <w:rFonts w:hint="eastAsia" w:ascii="仿宋" w:hAnsi="仿宋" w:eastAsia="仿宋" w:cs="仿宋"/>
          <w:color w:val="000000"/>
          <w:sz w:val="32"/>
          <w:szCs w:val="32"/>
          <w:shd w:val="clear" w:color="auto" w:fill="FFFFFF"/>
        </w:rPr>
        <w:t xml:space="preserve"> 凡泄露国家秘密尚不够刑事处罚的，将根据被泄露事项的密级、造成后果和具体情节，分别予以下列行政处分：</w:t>
      </w:r>
    </w:p>
    <w:p w14:paraId="31854C94">
      <w:pPr>
        <w:pStyle w:val="7"/>
        <w:spacing w:before="0" w:beforeAutospacing="0" w:after="0" w:afterAutospacing="0" w:line="560" w:lineRule="exact"/>
        <w:ind w:firstLine="640" w:firstLineChars="200"/>
        <w:rPr>
          <w:rFonts w:ascii="仿宋" w:hAnsi="仿宋" w:eastAsia="仿宋" w:cs="仿宋"/>
          <w:color w:val="333333"/>
          <w:sz w:val="32"/>
          <w:szCs w:val="32"/>
        </w:rPr>
      </w:pPr>
      <w:r>
        <w:rPr>
          <w:rFonts w:hint="eastAsia" w:ascii="仿宋" w:hAnsi="仿宋" w:eastAsia="仿宋" w:cs="仿宋"/>
          <w:color w:val="000000"/>
          <w:sz w:val="32"/>
          <w:szCs w:val="32"/>
          <w:shd w:val="clear" w:color="auto" w:fill="FFFFFF"/>
        </w:rPr>
        <w:t>（一）泄露秘密级国家秘密的，给予警告处分；</w:t>
      </w:r>
    </w:p>
    <w:p w14:paraId="0F3A1AFC">
      <w:pPr>
        <w:pStyle w:val="7"/>
        <w:spacing w:before="0" w:beforeAutospacing="0" w:after="0" w:afterAutospacing="0" w:line="560" w:lineRule="exact"/>
        <w:ind w:firstLine="640" w:firstLineChars="200"/>
        <w:rPr>
          <w:rFonts w:ascii="仿宋" w:hAnsi="仿宋" w:eastAsia="仿宋" w:cs="仿宋"/>
          <w:color w:val="333333"/>
          <w:sz w:val="32"/>
          <w:szCs w:val="32"/>
        </w:rPr>
      </w:pPr>
      <w:r>
        <w:rPr>
          <w:rFonts w:hint="eastAsia" w:ascii="仿宋" w:hAnsi="仿宋" w:eastAsia="仿宋" w:cs="仿宋"/>
          <w:color w:val="000000"/>
          <w:sz w:val="32"/>
          <w:szCs w:val="32"/>
          <w:shd w:val="clear" w:color="auto" w:fill="FFFFFF"/>
        </w:rPr>
        <w:t>造成后果严重或态度不端正，妨碍泄密事件查处的给予记过或记大过处分。</w:t>
      </w:r>
    </w:p>
    <w:p w14:paraId="1F78DB32">
      <w:pPr>
        <w:pStyle w:val="7"/>
        <w:spacing w:before="0" w:beforeAutospacing="0" w:after="0" w:afterAutospacing="0" w:line="560" w:lineRule="exact"/>
        <w:ind w:firstLine="640" w:firstLineChars="200"/>
        <w:rPr>
          <w:rFonts w:ascii="仿宋" w:hAnsi="仿宋" w:eastAsia="仿宋" w:cs="仿宋"/>
          <w:color w:val="333333"/>
          <w:sz w:val="32"/>
          <w:szCs w:val="32"/>
        </w:rPr>
      </w:pPr>
      <w:r>
        <w:rPr>
          <w:rFonts w:hint="eastAsia" w:ascii="仿宋" w:hAnsi="仿宋" w:eastAsia="仿宋" w:cs="仿宋"/>
          <w:color w:val="000000"/>
          <w:sz w:val="32"/>
          <w:szCs w:val="32"/>
          <w:shd w:val="clear" w:color="auto" w:fill="FFFFFF"/>
        </w:rPr>
        <w:t>（二）泄露机密级国家秘密的，给予记过处分；</w:t>
      </w:r>
    </w:p>
    <w:p w14:paraId="3F5866C6">
      <w:pPr>
        <w:pStyle w:val="7"/>
        <w:spacing w:before="0" w:beforeAutospacing="0" w:after="0" w:afterAutospacing="0" w:line="560" w:lineRule="exact"/>
        <w:ind w:firstLine="640" w:firstLineChars="200"/>
        <w:rPr>
          <w:rFonts w:ascii="仿宋" w:hAnsi="仿宋" w:eastAsia="仿宋" w:cs="仿宋"/>
          <w:color w:val="333333"/>
          <w:sz w:val="32"/>
          <w:szCs w:val="32"/>
        </w:rPr>
      </w:pPr>
      <w:r>
        <w:rPr>
          <w:rFonts w:hint="eastAsia" w:ascii="仿宋" w:hAnsi="仿宋" w:eastAsia="仿宋" w:cs="仿宋"/>
          <w:color w:val="000000"/>
          <w:sz w:val="32"/>
          <w:szCs w:val="32"/>
          <w:shd w:val="clear" w:color="auto" w:fill="FFFFFF"/>
        </w:rPr>
        <w:t>造成后果情节严重或态度不端正，妨碍泄密事件查处的，给予记大过各或降职、降级处分。</w:t>
      </w:r>
    </w:p>
    <w:p w14:paraId="18851D28">
      <w:pPr>
        <w:pStyle w:val="7"/>
        <w:spacing w:before="0" w:beforeAutospacing="0" w:after="0" w:afterAutospacing="0" w:line="560" w:lineRule="exact"/>
        <w:ind w:firstLine="640" w:firstLineChars="200"/>
        <w:rPr>
          <w:rFonts w:ascii="仿宋" w:hAnsi="仿宋" w:eastAsia="仿宋" w:cs="仿宋"/>
          <w:color w:val="333333"/>
          <w:sz w:val="32"/>
          <w:szCs w:val="32"/>
        </w:rPr>
      </w:pPr>
      <w:r>
        <w:rPr>
          <w:rFonts w:hint="eastAsia" w:ascii="仿宋" w:hAnsi="仿宋" w:eastAsia="仿宋" w:cs="仿宋"/>
          <w:color w:val="000000"/>
          <w:sz w:val="32"/>
          <w:szCs w:val="32"/>
          <w:shd w:val="clear" w:color="auto" w:fill="FFFFFF"/>
        </w:rPr>
        <w:t>（三）泄露绝密级国家秘密的，给予记大过处分；</w:t>
      </w:r>
    </w:p>
    <w:p w14:paraId="38E3B91B">
      <w:pPr>
        <w:pStyle w:val="7"/>
        <w:spacing w:before="0" w:beforeAutospacing="0" w:after="0" w:afterAutospacing="0" w:line="560" w:lineRule="exact"/>
        <w:ind w:firstLine="640" w:firstLineChars="200"/>
        <w:rPr>
          <w:rFonts w:ascii="仿宋" w:hAnsi="仿宋" w:eastAsia="仿宋" w:cs="仿宋"/>
          <w:color w:val="333333"/>
          <w:sz w:val="32"/>
          <w:szCs w:val="32"/>
        </w:rPr>
      </w:pPr>
      <w:r>
        <w:rPr>
          <w:rFonts w:hint="eastAsia" w:ascii="仿宋" w:hAnsi="仿宋" w:eastAsia="仿宋" w:cs="仿宋"/>
          <w:color w:val="000000"/>
          <w:sz w:val="32"/>
          <w:szCs w:val="32"/>
          <w:shd w:val="clear" w:color="auto" w:fill="FFFFFF"/>
        </w:rPr>
        <w:t>造成后果情节严重或态度不端正，妨碍泄密事件查处的，给予降职、降级、撤职、留用察看或开除的处分。</w:t>
      </w:r>
    </w:p>
    <w:p w14:paraId="7EBBC9B4">
      <w:pPr>
        <w:pStyle w:val="7"/>
        <w:spacing w:before="0" w:beforeAutospacing="0" w:after="0" w:afterAutospacing="0" w:line="560" w:lineRule="exact"/>
        <w:ind w:firstLine="640" w:firstLineChars="200"/>
        <w:rPr>
          <w:rFonts w:ascii="仿宋" w:hAnsi="仿宋" w:eastAsia="仿宋" w:cs="仿宋"/>
          <w:color w:val="333333"/>
          <w:sz w:val="32"/>
          <w:szCs w:val="32"/>
        </w:rPr>
      </w:pPr>
      <w:r>
        <w:rPr>
          <w:rFonts w:hint="eastAsia" w:ascii="仿宋" w:hAnsi="仿宋" w:eastAsia="仿宋" w:cs="仿宋"/>
          <w:color w:val="000000"/>
          <w:sz w:val="32"/>
          <w:szCs w:val="32"/>
          <w:shd w:val="clear" w:color="auto" w:fill="FFFFFF"/>
        </w:rPr>
        <w:t>（四）凡发现泄密事件，局保密工作领导小组除追究当事人的责任外，还要根据泄密原因、情节、泄密级别追究各级领导的责任并给予相应的行政处分。</w:t>
      </w:r>
    </w:p>
    <w:p w14:paraId="3E7788BA">
      <w:pPr>
        <w:pStyle w:val="7"/>
        <w:spacing w:before="0" w:beforeAutospacing="0" w:after="0" w:afterAutospacing="0" w:line="560" w:lineRule="exact"/>
        <w:ind w:firstLine="643" w:firstLineChars="200"/>
        <w:rPr>
          <w:rFonts w:ascii="仿宋" w:hAnsi="仿宋" w:eastAsia="仿宋" w:cs="仿宋"/>
          <w:color w:val="333333"/>
          <w:sz w:val="32"/>
          <w:szCs w:val="32"/>
        </w:rPr>
      </w:pPr>
      <w:r>
        <w:rPr>
          <w:rStyle w:val="11"/>
          <w:rFonts w:hint="eastAsia" w:ascii="仿宋" w:hAnsi="仿宋" w:eastAsia="仿宋" w:cs="仿宋"/>
          <w:bCs/>
          <w:color w:val="000000"/>
          <w:sz w:val="32"/>
          <w:szCs w:val="32"/>
          <w:shd w:val="clear" w:color="auto" w:fill="FFFFFF"/>
        </w:rPr>
        <w:t>第五条</w:t>
      </w:r>
      <w:r>
        <w:rPr>
          <w:rFonts w:hint="eastAsia" w:ascii="仿宋" w:hAnsi="仿宋" w:eastAsia="仿宋" w:cs="仿宋"/>
          <w:color w:val="000000"/>
          <w:sz w:val="32"/>
          <w:szCs w:val="32"/>
          <w:shd w:val="clear" w:color="auto" w:fill="FFFFFF"/>
        </w:rPr>
        <w:t xml:space="preserve"> 对泄露国家秘密尚不够刑事处罚，但具备下列情节之一的，应从重给予行政处分。</w:t>
      </w:r>
    </w:p>
    <w:p w14:paraId="5BFDFB8C">
      <w:pPr>
        <w:pStyle w:val="7"/>
        <w:spacing w:before="0" w:beforeAutospacing="0" w:after="0" w:afterAutospacing="0" w:line="560" w:lineRule="exact"/>
        <w:ind w:firstLine="640" w:firstLineChars="200"/>
        <w:rPr>
          <w:rFonts w:ascii="仿宋" w:hAnsi="仿宋" w:eastAsia="仿宋" w:cs="仿宋"/>
          <w:color w:val="333333"/>
          <w:sz w:val="32"/>
          <w:szCs w:val="32"/>
        </w:rPr>
      </w:pPr>
      <w:r>
        <w:rPr>
          <w:rFonts w:hint="eastAsia" w:ascii="仿宋" w:hAnsi="仿宋" w:eastAsia="仿宋" w:cs="仿宋"/>
          <w:color w:val="000000"/>
          <w:sz w:val="32"/>
          <w:szCs w:val="32"/>
          <w:shd w:val="clear" w:color="auto" w:fill="FFFFFF"/>
        </w:rPr>
        <w:t>（一）故意违反保密规定的；</w:t>
      </w:r>
    </w:p>
    <w:p w14:paraId="2A97E3C6">
      <w:pPr>
        <w:pStyle w:val="7"/>
        <w:spacing w:before="0" w:beforeAutospacing="0" w:after="0" w:afterAutospacing="0" w:line="560" w:lineRule="exact"/>
        <w:ind w:firstLine="640" w:firstLineChars="200"/>
        <w:rPr>
          <w:rFonts w:ascii="仿宋" w:hAnsi="仿宋" w:eastAsia="仿宋" w:cs="仿宋"/>
          <w:color w:val="333333"/>
          <w:sz w:val="32"/>
          <w:szCs w:val="32"/>
        </w:rPr>
      </w:pPr>
      <w:r>
        <w:rPr>
          <w:rFonts w:hint="eastAsia" w:ascii="仿宋" w:hAnsi="仿宋" w:eastAsia="仿宋" w:cs="仿宋"/>
          <w:color w:val="000000"/>
          <w:sz w:val="32"/>
          <w:szCs w:val="32"/>
          <w:shd w:val="clear" w:color="auto" w:fill="FFFFFF"/>
        </w:rPr>
        <w:t>（二）以谋取私利为目的的；</w:t>
      </w:r>
    </w:p>
    <w:p w14:paraId="455B1D57">
      <w:pPr>
        <w:pStyle w:val="7"/>
        <w:spacing w:before="0" w:beforeAutospacing="0" w:after="0" w:afterAutospacing="0" w:line="560" w:lineRule="exact"/>
        <w:ind w:firstLine="640" w:firstLineChars="200"/>
        <w:rPr>
          <w:rFonts w:ascii="仿宋" w:hAnsi="仿宋" w:eastAsia="仿宋" w:cs="仿宋"/>
          <w:color w:val="333333"/>
          <w:sz w:val="32"/>
          <w:szCs w:val="32"/>
        </w:rPr>
      </w:pPr>
      <w:r>
        <w:rPr>
          <w:rFonts w:hint="eastAsia" w:ascii="仿宋" w:hAnsi="仿宋" w:eastAsia="仿宋" w:cs="仿宋"/>
          <w:color w:val="000000"/>
          <w:sz w:val="32"/>
          <w:szCs w:val="32"/>
          <w:shd w:val="clear" w:color="auto" w:fill="FFFFFF"/>
        </w:rPr>
        <w:t>（三）泄露国家秘密在两次以上的；</w:t>
      </w:r>
    </w:p>
    <w:p w14:paraId="344589F7">
      <w:pPr>
        <w:pStyle w:val="7"/>
        <w:spacing w:before="0" w:beforeAutospacing="0" w:after="0" w:afterAutospacing="0" w:line="560" w:lineRule="exact"/>
        <w:ind w:firstLine="640" w:firstLineChars="200"/>
        <w:rPr>
          <w:rFonts w:ascii="仿宋" w:hAnsi="仿宋" w:eastAsia="仿宋" w:cs="仿宋"/>
          <w:color w:val="333333"/>
          <w:sz w:val="32"/>
          <w:szCs w:val="32"/>
        </w:rPr>
      </w:pPr>
      <w:r>
        <w:rPr>
          <w:rFonts w:hint="eastAsia" w:ascii="仿宋" w:hAnsi="仿宋" w:eastAsia="仿宋" w:cs="仿宋"/>
          <w:color w:val="000000"/>
          <w:sz w:val="32"/>
          <w:szCs w:val="32"/>
          <w:shd w:val="clear" w:color="auto" w:fill="FFFFFF"/>
        </w:rPr>
        <w:t>（四）利用职权强制他人违反保密规定的；</w:t>
      </w:r>
    </w:p>
    <w:p w14:paraId="70E805F4">
      <w:pPr>
        <w:pStyle w:val="7"/>
        <w:spacing w:before="0" w:beforeAutospacing="0" w:after="0" w:afterAutospacing="0" w:line="560" w:lineRule="exact"/>
        <w:ind w:firstLine="640" w:firstLineChars="200"/>
        <w:rPr>
          <w:rFonts w:ascii="仿宋" w:hAnsi="仿宋" w:eastAsia="仿宋" w:cs="仿宋"/>
          <w:color w:val="333333"/>
          <w:sz w:val="32"/>
          <w:szCs w:val="32"/>
        </w:rPr>
      </w:pPr>
      <w:r>
        <w:rPr>
          <w:rFonts w:hint="eastAsia" w:ascii="仿宋" w:hAnsi="仿宋" w:eastAsia="仿宋" w:cs="仿宋"/>
          <w:color w:val="000000"/>
          <w:sz w:val="32"/>
          <w:szCs w:val="32"/>
          <w:shd w:val="clear" w:color="auto" w:fill="FFFFFF"/>
        </w:rPr>
        <w:t>（五）发现泄密事件隐匿不报或极力阻碍泄密事件查处的；</w:t>
      </w:r>
    </w:p>
    <w:p w14:paraId="13E0EED6">
      <w:pPr>
        <w:pStyle w:val="7"/>
        <w:spacing w:before="0" w:beforeAutospacing="0" w:after="0" w:afterAutospacing="0" w:line="560" w:lineRule="exact"/>
        <w:ind w:firstLine="640" w:firstLineChars="200"/>
        <w:rPr>
          <w:rFonts w:ascii="仿宋" w:hAnsi="仿宋" w:eastAsia="仿宋" w:cs="仿宋"/>
          <w:color w:val="333333"/>
          <w:sz w:val="32"/>
          <w:szCs w:val="32"/>
        </w:rPr>
      </w:pPr>
      <w:r>
        <w:rPr>
          <w:rFonts w:hint="eastAsia" w:ascii="仿宋" w:hAnsi="仿宋" w:eastAsia="仿宋" w:cs="仿宋"/>
          <w:color w:val="000000"/>
          <w:sz w:val="32"/>
          <w:szCs w:val="32"/>
          <w:shd w:val="clear" w:color="auto" w:fill="FFFFFF"/>
        </w:rPr>
        <w:t>（六）对三次以上接到保密部门发出的整改通知，不加整改的。</w:t>
      </w:r>
    </w:p>
    <w:p w14:paraId="44A78DAA">
      <w:pPr>
        <w:pStyle w:val="7"/>
        <w:spacing w:before="0" w:beforeAutospacing="0" w:after="0" w:afterAutospacing="0" w:line="560" w:lineRule="exact"/>
        <w:ind w:firstLine="643" w:firstLineChars="200"/>
        <w:rPr>
          <w:rFonts w:ascii="仿宋" w:hAnsi="仿宋" w:eastAsia="仿宋" w:cs="仿宋"/>
          <w:color w:val="333333"/>
          <w:sz w:val="32"/>
          <w:szCs w:val="32"/>
        </w:rPr>
      </w:pPr>
      <w:r>
        <w:rPr>
          <w:rStyle w:val="11"/>
          <w:rFonts w:hint="eastAsia" w:ascii="仿宋" w:hAnsi="仿宋" w:eastAsia="仿宋" w:cs="仿宋"/>
          <w:bCs/>
          <w:color w:val="000000"/>
          <w:sz w:val="32"/>
          <w:szCs w:val="32"/>
          <w:shd w:val="clear" w:color="auto" w:fill="FFFFFF"/>
        </w:rPr>
        <w:t>第六条</w:t>
      </w:r>
      <w:r>
        <w:rPr>
          <w:rFonts w:hint="eastAsia" w:ascii="仿宋" w:hAnsi="仿宋" w:eastAsia="仿宋" w:cs="仿宋"/>
          <w:b/>
          <w:bCs/>
          <w:color w:val="000000"/>
          <w:sz w:val="32"/>
          <w:szCs w:val="32"/>
          <w:shd w:val="clear" w:color="auto" w:fill="FFFFFF"/>
        </w:rPr>
        <w:t xml:space="preserve"> </w:t>
      </w:r>
      <w:r>
        <w:rPr>
          <w:rFonts w:hint="eastAsia" w:ascii="仿宋" w:hAnsi="仿宋" w:eastAsia="仿宋" w:cs="仿宋"/>
          <w:color w:val="000000"/>
          <w:sz w:val="32"/>
          <w:szCs w:val="32"/>
          <w:shd w:val="clear" w:color="auto" w:fill="FFFFFF"/>
        </w:rPr>
        <w:t>对泄露国家秘密情况严重的，移交上级公安、安全、保密部门按照国家有关法律、法规处理。</w:t>
      </w:r>
    </w:p>
    <w:p w14:paraId="6FBD8EC5">
      <w:pPr>
        <w:pStyle w:val="7"/>
        <w:spacing w:before="0" w:beforeAutospacing="0" w:after="0" w:afterAutospacing="0" w:line="560" w:lineRule="exact"/>
        <w:ind w:firstLine="643" w:firstLineChars="200"/>
        <w:rPr>
          <w:rFonts w:ascii="仿宋" w:hAnsi="仿宋" w:eastAsia="仿宋" w:cs="仿宋"/>
          <w:color w:val="333333"/>
          <w:sz w:val="32"/>
          <w:szCs w:val="32"/>
        </w:rPr>
      </w:pPr>
      <w:r>
        <w:rPr>
          <w:rStyle w:val="11"/>
          <w:rFonts w:hint="eastAsia" w:ascii="仿宋" w:hAnsi="仿宋" w:eastAsia="仿宋" w:cs="仿宋"/>
          <w:bCs/>
          <w:color w:val="000000"/>
          <w:sz w:val="32"/>
          <w:szCs w:val="32"/>
          <w:shd w:val="clear" w:color="auto" w:fill="FFFFFF"/>
        </w:rPr>
        <w:t>第七条</w:t>
      </w:r>
      <w:r>
        <w:rPr>
          <w:rFonts w:hint="eastAsia" w:ascii="仿宋" w:hAnsi="仿宋" w:eastAsia="仿宋" w:cs="仿宋"/>
          <w:color w:val="000000"/>
          <w:sz w:val="32"/>
          <w:szCs w:val="32"/>
          <w:shd w:val="clear" w:color="auto" w:fill="FFFFFF"/>
        </w:rPr>
        <w:t xml:space="preserve"> 泄露国家秘密，情节轻微并能在发生泄密事件后积极采取补救措施减少损害的，可酌情从轻给予行政处分。</w:t>
      </w:r>
    </w:p>
    <w:p w14:paraId="3072628B">
      <w:pPr>
        <w:pStyle w:val="7"/>
        <w:spacing w:before="0" w:beforeAutospacing="0" w:after="0" w:afterAutospacing="0" w:line="560" w:lineRule="exact"/>
        <w:ind w:firstLine="643" w:firstLineChars="200"/>
        <w:rPr>
          <w:rFonts w:ascii="仿宋" w:hAnsi="仿宋" w:eastAsia="仿宋" w:cs="仿宋"/>
          <w:color w:val="000000"/>
          <w:sz w:val="32"/>
          <w:szCs w:val="32"/>
          <w:shd w:val="clear" w:color="auto" w:fill="FFFFFF"/>
        </w:rPr>
      </w:pPr>
      <w:r>
        <w:rPr>
          <w:rStyle w:val="11"/>
          <w:rFonts w:hint="eastAsia" w:ascii="仿宋" w:hAnsi="仿宋" w:eastAsia="仿宋" w:cs="仿宋"/>
          <w:bCs/>
          <w:color w:val="000000"/>
          <w:sz w:val="32"/>
          <w:szCs w:val="32"/>
          <w:shd w:val="clear" w:color="auto" w:fill="FFFFFF"/>
        </w:rPr>
        <w:t>第八条</w:t>
      </w:r>
      <w:r>
        <w:rPr>
          <w:rFonts w:hint="eastAsia" w:ascii="仿宋" w:hAnsi="仿宋" w:eastAsia="仿宋" w:cs="仿宋"/>
          <w:b/>
          <w:bCs/>
          <w:color w:val="000000"/>
          <w:sz w:val="32"/>
          <w:szCs w:val="32"/>
          <w:shd w:val="clear" w:color="auto" w:fill="FFFFFF"/>
        </w:rPr>
        <w:t xml:space="preserve"> </w:t>
      </w:r>
      <w:r>
        <w:rPr>
          <w:rFonts w:hint="eastAsia" w:ascii="仿宋" w:hAnsi="仿宋" w:eastAsia="仿宋" w:cs="仿宋"/>
          <w:color w:val="000000"/>
          <w:sz w:val="32"/>
          <w:szCs w:val="32"/>
          <w:shd w:val="clear" w:color="auto" w:fill="FFFFFF"/>
        </w:rPr>
        <w:t>泄密事件的责任人，年终考核取消评优资格，两年内不得参加先进个人的评选，发生泄密事件的单位，两年内不得参加先进集体的评选。</w:t>
      </w:r>
    </w:p>
    <w:p w14:paraId="4D7B6979">
      <w:pPr>
        <w:pStyle w:val="7"/>
        <w:spacing w:before="0" w:beforeAutospacing="0" w:after="0" w:afterAutospacing="0" w:line="560" w:lineRule="exact"/>
        <w:ind w:firstLine="643" w:firstLineChars="200"/>
        <w:rPr>
          <w:rFonts w:ascii="仿宋" w:hAnsi="仿宋" w:eastAsia="仿宋" w:cs="仿宋"/>
          <w:color w:val="000000"/>
          <w:sz w:val="32"/>
          <w:szCs w:val="32"/>
          <w:shd w:val="clear" w:color="auto" w:fill="FFFFFF"/>
        </w:rPr>
      </w:pPr>
      <w:r>
        <w:rPr>
          <w:rFonts w:hint="eastAsia" w:ascii="仿宋" w:hAnsi="仿宋" w:eastAsia="仿宋" w:cs="仿宋"/>
          <w:b/>
          <w:bCs/>
          <w:color w:val="000000"/>
          <w:sz w:val="32"/>
          <w:szCs w:val="32"/>
          <w:shd w:val="clear" w:color="auto" w:fill="FFFFFF"/>
        </w:rPr>
        <w:t xml:space="preserve">第九条 </w:t>
      </w:r>
      <w:r>
        <w:rPr>
          <w:rFonts w:hint="eastAsia" w:ascii="仿宋" w:hAnsi="仿宋" w:eastAsia="仿宋" w:cs="仿宋"/>
          <w:color w:val="000000"/>
          <w:sz w:val="32"/>
          <w:szCs w:val="32"/>
          <w:shd w:val="clear" w:color="auto" w:fill="FFFFFF"/>
        </w:rPr>
        <w:t>本制度由局保密领导小组负责解释。</w:t>
      </w:r>
    </w:p>
    <w:p w14:paraId="53132D7D">
      <w:pPr>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br w:type="page"/>
      </w:r>
    </w:p>
    <w:p w14:paraId="6DA29BCE">
      <w:pP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0"/>
          <w:sz w:val="44"/>
          <w:szCs w:val="44"/>
        </w:rPr>
        <w:t xml:space="preserve">       白城市司法局涉密人员管理制度</w:t>
      </w:r>
    </w:p>
    <w:p w14:paraId="46908361">
      <w:pPr>
        <w:widowControl/>
        <w:spacing w:line="560" w:lineRule="exact"/>
        <w:ind w:firstLine="643" w:firstLineChars="200"/>
        <w:jc w:val="left"/>
        <w:rPr>
          <w:rFonts w:ascii="仿宋" w:hAnsi="仿宋" w:eastAsia="仿宋" w:cs="仿宋"/>
          <w:b/>
          <w:bCs/>
          <w:kern w:val="0"/>
          <w:sz w:val="32"/>
          <w:szCs w:val="32"/>
        </w:rPr>
      </w:pPr>
    </w:p>
    <w:p w14:paraId="4C4EBDD6">
      <w:pPr>
        <w:widowControl/>
        <w:spacing w:line="560" w:lineRule="exact"/>
        <w:ind w:firstLine="643" w:firstLineChars="200"/>
        <w:jc w:val="left"/>
        <w:rPr>
          <w:rFonts w:ascii="仿宋" w:hAnsi="仿宋" w:eastAsia="仿宋" w:cs="仿宋"/>
          <w:kern w:val="0"/>
          <w:sz w:val="32"/>
          <w:szCs w:val="32"/>
        </w:rPr>
      </w:pPr>
      <w:r>
        <w:rPr>
          <w:rFonts w:hint="eastAsia" w:ascii="仿宋" w:hAnsi="仿宋" w:eastAsia="仿宋" w:cs="仿宋"/>
          <w:b/>
          <w:bCs/>
          <w:kern w:val="0"/>
          <w:sz w:val="32"/>
          <w:szCs w:val="32"/>
        </w:rPr>
        <w:t>第一条</w:t>
      </w:r>
      <w:r>
        <w:rPr>
          <w:rFonts w:hint="eastAsia" w:ascii="仿宋" w:hAnsi="仿宋" w:eastAsia="仿宋" w:cs="仿宋"/>
          <w:kern w:val="0"/>
          <w:sz w:val="32"/>
          <w:szCs w:val="32"/>
        </w:rPr>
        <w:t xml:space="preserve"> 涉密人员负有维护国家秘密安全的责任和保守国家秘密的义务，应自觉遵守有关的法规和制度，接受保密组织的教育和监督。</w:t>
      </w:r>
    </w:p>
    <w:p w14:paraId="5079D4C0">
      <w:pPr>
        <w:widowControl/>
        <w:spacing w:line="560" w:lineRule="exact"/>
        <w:ind w:firstLine="643" w:firstLineChars="200"/>
        <w:jc w:val="left"/>
        <w:rPr>
          <w:rFonts w:ascii="仿宋" w:hAnsi="仿宋" w:eastAsia="仿宋" w:cs="仿宋"/>
          <w:kern w:val="0"/>
          <w:sz w:val="32"/>
          <w:szCs w:val="32"/>
        </w:rPr>
      </w:pPr>
      <w:r>
        <w:rPr>
          <w:rFonts w:hint="eastAsia" w:ascii="仿宋" w:hAnsi="仿宋" w:eastAsia="仿宋" w:cs="仿宋"/>
          <w:b/>
          <w:bCs/>
          <w:kern w:val="0"/>
          <w:sz w:val="32"/>
          <w:szCs w:val="32"/>
        </w:rPr>
        <w:t>第二条</w:t>
      </w:r>
      <w:r>
        <w:rPr>
          <w:rFonts w:hint="eastAsia" w:ascii="仿宋" w:hAnsi="仿宋" w:eastAsia="仿宋" w:cs="仿宋"/>
          <w:kern w:val="0"/>
          <w:sz w:val="32"/>
          <w:szCs w:val="32"/>
        </w:rPr>
        <w:t xml:space="preserve"> 选拔任用涉密人员，要依照机要干部的标准和保密干部专业化要求，进行严格审查，并报上级保密工作部门备案。不得使用临时聘用人员。</w:t>
      </w:r>
    </w:p>
    <w:p w14:paraId="46252972">
      <w:pPr>
        <w:widowControl/>
        <w:spacing w:line="560" w:lineRule="exact"/>
        <w:ind w:firstLine="643" w:firstLineChars="200"/>
        <w:jc w:val="left"/>
        <w:rPr>
          <w:rFonts w:ascii="仿宋" w:hAnsi="仿宋" w:eastAsia="仿宋" w:cs="仿宋"/>
          <w:kern w:val="0"/>
          <w:sz w:val="32"/>
          <w:szCs w:val="32"/>
        </w:rPr>
      </w:pPr>
      <w:r>
        <w:rPr>
          <w:rFonts w:hint="eastAsia" w:ascii="仿宋" w:hAnsi="仿宋" w:eastAsia="仿宋" w:cs="仿宋"/>
          <w:b/>
          <w:bCs/>
          <w:kern w:val="0"/>
          <w:sz w:val="32"/>
          <w:szCs w:val="32"/>
        </w:rPr>
        <w:t>第三条</w:t>
      </w:r>
      <w:r>
        <w:rPr>
          <w:rFonts w:hint="eastAsia" w:ascii="仿宋" w:hAnsi="仿宋" w:eastAsia="仿宋" w:cs="仿宋"/>
          <w:kern w:val="0"/>
          <w:sz w:val="32"/>
          <w:szCs w:val="32"/>
        </w:rPr>
        <w:t xml:space="preserve"> 涉密人员管理由单位组织、人事和保密部门共同实施，并对涉密人员在岗情况每年定期或不定期进行联合检查。对检查中发现不宜留在涉密岗位的，应坚决调离。</w:t>
      </w:r>
    </w:p>
    <w:p w14:paraId="6C293BA4">
      <w:pPr>
        <w:widowControl/>
        <w:spacing w:line="560" w:lineRule="exact"/>
        <w:ind w:firstLine="643" w:firstLineChars="200"/>
        <w:jc w:val="left"/>
        <w:rPr>
          <w:rFonts w:ascii="仿宋" w:hAnsi="仿宋" w:eastAsia="仿宋" w:cs="仿宋"/>
          <w:kern w:val="0"/>
          <w:sz w:val="32"/>
          <w:szCs w:val="32"/>
        </w:rPr>
      </w:pPr>
      <w:r>
        <w:rPr>
          <w:rFonts w:hint="eastAsia" w:ascii="仿宋" w:hAnsi="仿宋" w:eastAsia="仿宋" w:cs="仿宋"/>
          <w:b/>
          <w:bCs/>
          <w:kern w:val="0"/>
          <w:sz w:val="32"/>
          <w:szCs w:val="32"/>
        </w:rPr>
        <w:t>第四条</w:t>
      </w:r>
      <w:r>
        <w:rPr>
          <w:rFonts w:hint="eastAsia" w:ascii="仿宋" w:hAnsi="仿宋" w:eastAsia="仿宋" w:cs="仿宋"/>
          <w:kern w:val="0"/>
          <w:sz w:val="32"/>
          <w:szCs w:val="32"/>
        </w:rPr>
        <w:t xml:space="preserve"> 涉密人员上岗前，必须先参加保密工作部门举办的保密业务培训。</w:t>
      </w:r>
    </w:p>
    <w:p w14:paraId="3BC25C50">
      <w:pPr>
        <w:widowControl/>
        <w:spacing w:line="560" w:lineRule="exact"/>
        <w:ind w:firstLine="643" w:firstLineChars="200"/>
        <w:jc w:val="left"/>
        <w:rPr>
          <w:rFonts w:ascii="仿宋" w:hAnsi="仿宋" w:eastAsia="仿宋" w:cs="仿宋"/>
          <w:kern w:val="0"/>
          <w:sz w:val="32"/>
          <w:szCs w:val="32"/>
        </w:rPr>
      </w:pPr>
      <w:r>
        <w:rPr>
          <w:rFonts w:hint="eastAsia" w:ascii="仿宋" w:hAnsi="仿宋" w:eastAsia="仿宋" w:cs="仿宋"/>
          <w:b/>
          <w:bCs/>
          <w:kern w:val="0"/>
          <w:sz w:val="32"/>
          <w:szCs w:val="32"/>
        </w:rPr>
        <w:t>第五条</w:t>
      </w:r>
      <w:r>
        <w:rPr>
          <w:rFonts w:hint="eastAsia" w:ascii="仿宋" w:hAnsi="仿宋" w:eastAsia="仿宋" w:cs="仿宋"/>
          <w:kern w:val="0"/>
          <w:sz w:val="32"/>
          <w:szCs w:val="32"/>
        </w:rPr>
        <w:t xml:space="preserve"> 涉密人员在岗、离岗和出国（境）前及涉密外事活动前必须进行保密教育，不断强化政治业务素质。</w:t>
      </w:r>
    </w:p>
    <w:p w14:paraId="5C35F807">
      <w:pPr>
        <w:widowControl/>
        <w:spacing w:line="560" w:lineRule="exact"/>
        <w:ind w:firstLine="643" w:firstLineChars="200"/>
        <w:jc w:val="left"/>
        <w:rPr>
          <w:rFonts w:ascii="仿宋" w:hAnsi="仿宋" w:eastAsia="仿宋" w:cs="仿宋"/>
          <w:kern w:val="0"/>
          <w:sz w:val="32"/>
          <w:szCs w:val="32"/>
        </w:rPr>
      </w:pPr>
      <w:r>
        <w:rPr>
          <w:rFonts w:hint="eastAsia" w:ascii="仿宋" w:hAnsi="仿宋" w:eastAsia="仿宋" w:cs="仿宋"/>
          <w:b/>
          <w:bCs/>
          <w:kern w:val="0"/>
          <w:sz w:val="32"/>
          <w:szCs w:val="32"/>
        </w:rPr>
        <w:t>第六条</w:t>
      </w:r>
      <w:r>
        <w:rPr>
          <w:rFonts w:hint="eastAsia" w:ascii="仿宋" w:hAnsi="仿宋" w:eastAsia="仿宋" w:cs="仿宋"/>
          <w:kern w:val="0"/>
          <w:sz w:val="32"/>
          <w:szCs w:val="32"/>
        </w:rPr>
        <w:t xml:space="preserve"> 涉密人员必须与单位保密组织签定保密责任书，履行保密责任和保密义务，遵守保密纪律和有关规定。</w:t>
      </w:r>
    </w:p>
    <w:p w14:paraId="02A91EF7">
      <w:pPr>
        <w:widowControl/>
        <w:spacing w:line="560" w:lineRule="exact"/>
        <w:ind w:firstLine="643" w:firstLineChars="200"/>
        <w:jc w:val="left"/>
        <w:rPr>
          <w:rFonts w:ascii="仿宋" w:hAnsi="仿宋" w:eastAsia="仿宋" w:cs="仿宋"/>
          <w:kern w:val="0"/>
          <w:sz w:val="32"/>
          <w:szCs w:val="32"/>
        </w:rPr>
      </w:pPr>
      <w:r>
        <w:rPr>
          <w:rFonts w:hint="eastAsia" w:ascii="仿宋" w:hAnsi="仿宋" w:eastAsia="仿宋" w:cs="仿宋"/>
          <w:b/>
          <w:bCs/>
          <w:kern w:val="0"/>
          <w:sz w:val="32"/>
          <w:szCs w:val="32"/>
        </w:rPr>
        <w:t>第七条</w:t>
      </w:r>
      <w:r>
        <w:rPr>
          <w:rFonts w:hint="eastAsia" w:ascii="仿宋" w:hAnsi="仿宋" w:eastAsia="仿宋" w:cs="仿宋"/>
          <w:kern w:val="0"/>
          <w:sz w:val="32"/>
          <w:szCs w:val="32"/>
        </w:rPr>
        <w:t xml:space="preserve"> 涉密人员辞职、调动，单位应征求上级保密工作部门的意见，并视情况进行脱密期管理。脱密期一般为6个月至3年。</w:t>
      </w:r>
    </w:p>
    <w:p w14:paraId="79BBBA07">
      <w:pPr>
        <w:widowControl/>
        <w:spacing w:line="560" w:lineRule="exact"/>
        <w:ind w:firstLine="643" w:firstLineChars="200"/>
        <w:jc w:val="left"/>
        <w:rPr>
          <w:rFonts w:ascii="仿宋" w:hAnsi="仿宋" w:eastAsia="仿宋" w:cs="仿宋"/>
          <w:sz w:val="32"/>
          <w:szCs w:val="32"/>
        </w:rPr>
      </w:pPr>
      <w:r>
        <w:rPr>
          <w:rFonts w:hint="eastAsia" w:ascii="仿宋" w:hAnsi="仿宋" w:eastAsia="仿宋" w:cs="仿宋"/>
          <w:b/>
          <w:bCs/>
          <w:kern w:val="0"/>
          <w:sz w:val="32"/>
          <w:szCs w:val="32"/>
        </w:rPr>
        <w:t>第八条</w:t>
      </w:r>
      <w:r>
        <w:rPr>
          <w:rFonts w:hint="eastAsia" w:ascii="仿宋" w:hAnsi="仿宋" w:eastAsia="仿宋" w:cs="仿宋"/>
          <w:kern w:val="0"/>
          <w:sz w:val="32"/>
          <w:szCs w:val="32"/>
        </w:rPr>
        <w:t xml:space="preserve"> 涉密人员调动或退休须及时清退个人承办、保管的密件，经有关部门验证无误后，方可予以办理工作调动或退休手续。</w:t>
      </w:r>
    </w:p>
    <w:p w14:paraId="37300E8C">
      <w:pPr>
        <w:widowControl/>
        <w:spacing w:line="560" w:lineRule="exact"/>
        <w:ind w:firstLine="643" w:firstLineChars="200"/>
        <w:jc w:val="left"/>
        <w:rPr>
          <w:rFonts w:ascii="仿宋" w:hAnsi="仿宋" w:eastAsia="仿宋" w:cs="仿宋"/>
          <w:kern w:val="0"/>
          <w:sz w:val="32"/>
          <w:szCs w:val="32"/>
        </w:rPr>
      </w:pPr>
      <w:r>
        <w:rPr>
          <w:rFonts w:hint="eastAsia" w:ascii="仿宋" w:hAnsi="仿宋" w:eastAsia="仿宋" w:cs="仿宋"/>
          <w:b/>
          <w:bCs/>
          <w:kern w:val="0"/>
          <w:sz w:val="32"/>
          <w:szCs w:val="32"/>
        </w:rPr>
        <w:t>第九条</w:t>
      </w:r>
      <w:r>
        <w:rPr>
          <w:rFonts w:hint="eastAsia" w:ascii="仿宋" w:hAnsi="仿宋" w:eastAsia="仿宋" w:cs="仿宋"/>
          <w:kern w:val="0"/>
          <w:sz w:val="32"/>
          <w:szCs w:val="32"/>
        </w:rPr>
        <w:t xml:space="preserve"> 涉密人员如违反本制度的有关事项，造成泄密的，年度考核等次不能评为优秀，造成严重后果的，年度考核等次为不及格。</w:t>
      </w:r>
    </w:p>
    <w:p w14:paraId="533F338E">
      <w:pPr>
        <w:widowControl/>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 xml:space="preserve">第十条 </w:t>
      </w:r>
      <w:r>
        <w:rPr>
          <w:rFonts w:hint="eastAsia" w:ascii="仿宋" w:hAnsi="仿宋" w:eastAsia="仿宋" w:cs="仿宋"/>
          <w:sz w:val="32"/>
          <w:szCs w:val="32"/>
        </w:rPr>
        <w:t>由局保密领导小组负责小组负责解释。</w:t>
      </w:r>
    </w:p>
    <w:p w14:paraId="0F5970A9">
      <w:pPr>
        <w:rPr>
          <w:rFonts w:ascii="仿宋" w:hAnsi="仿宋" w:eastAsia="仿宋" w:cs="仿宋"/>
          <w:sz w:val="32"/>
          <w:szCs w:val="32"/>
        </w:rPr>
      </w:pPr>
      <w:r>
        <w:rPr>
          <w:rFonts w:hint="eastAsia" w:ascii="仿宋" w:hAnsi="仿宋" w:eastAsia="仿宋" w:cs="仿宋"/>
          <w:sz w:val="32"/>
          <w:szCs w:val="32"/>
        </w:rPr>
        <w:br w:type="page"/>
      </w:r>
    </w:p>
    <w:p w14:paraId="08AA6EDE">
      <w:pPr>
        <w:spacing w:line="56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白城市司法局机关工作纪律规定</w:t>
      </w:r>
    </w:p>
    <w:p w14:paraId="65D1959D">
      <w:pPr>
        <w:spacing w:line="560" w:lineRule="exact"/>
        <w:ind w:firstLine="640" w:firstLineChars="200"/>
        <w:rPr>
          <w:rFonts w:ascii="仿宋" w:hAnsi="仿宋" w:eastAsia="仿宋" w:cs="宋体"/>
          <w:kern w:val="0"/>
          <w:sz w:val="32"/>
          <w:szCs w:val="32"/>
        </w:rPr>
      </w:pPr>
    </w:p>
    <w:p w14:paraId="33FA8DA5">
      <w:pPr>
        <w:spacing w:line="56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本着立足于加强工作纪律，推进工作作风改变，建设忠诚担当、规范廉洁、务实高效的司法行政队伍，制定如下规定：</w:t>
      </w:r>
    </w:p>
    <w:p w14:paraId="1DEB0D0B">
      <w:pPr>
        <w:pStyle w:val="7"/>
        <w:shd w:val="clear" w:color="auto" w:fill="FFFFFF"/>
        <w:spacing w:before="0" w:beforeAutospacing="0" w:after="0" w:afterAutospacing="0" w:line="560" w:lineRule="exact"/>
        <w:ind w:firstLine="643" w:firstLineChars="200"/>
        <w:rPr>
          <w:rFonts w:ascii="仿宋" w:hAnsi="仿宋" w:eastAsia="仿宋"/>
          <w:sz w:val="32"/>
          <w:szCs w:val="32"/>
        </w:rPr>
      </w:pPr>
      <w:r>
        <w:rPr>
          <w:rFonts w:hint="eastAsia" w:ascii="仿宋" w:hAnsi="仿宋" w:eastAsia="仿宋"/>
          <w:b/>
          <w:bCs/>
          <w:sz w:val="32"/>
          <w:szCs w:val="32"/>
        </w:rPr>
        <w:t>第一条</w:t>
      </w:r>
      <w:r>
        <w:rPr>
          <w:rFonts w:hint="eastAsia" w:ascii="仿宋" w:hAnsi="仿宋" w:eastAsia="仿宋"/>
          <w:sz w:val="32"/>
          <w:szCs w:val="32"/>
        </w:rPr>
        <w:t xml:space="preserve"> 机关主要领导对机关（含直属事业单位，下同）工作纪律负总责，牵头负责机关工作纪律；各领导班子成员（含参与分工的调研员）履行一岗双责规定，对分管领域机关工作纪律工作负直接领导责任，负责抓好本分管领域人员工作纪律；各科（室、处、中心）负责人作为第一责任人，协助分管领导抓好本科（室、处、中心）工作纪律工作，对出现的违反工作纪律问题及时报分管领导研究解决；机关工作纪律办公室（由机关党委、局办公室和相关科室人员组成）负责机关日常考勤，对出勤情况进行监督检查。</w:t>
      </w:r>
    </w:p>
    <w:p w14:paraId="54359B37">
      <w:pPr>
        <w:widowControl/>
        <w:shd w:val="clear" w:color="auto" w:fill="FFFFFF"/>
        <w:spacing w:line="560" w:lineRule="exact"/>
        <w:ind w:firstLine="643" w:firstLineChars="200"/>
        <w:rPr>
          <w:rFonts w:ascii="仿宋" w:hAnsi="仿宋" w:eastAsia="仿宋" w:cs="宋体"/>
          <w:kern w:val="0"/>
          <w:sz w:val="32"/>
          <w:szCs w:val="32"/>
        </w:rPr>
      </w:pPr>
      <w:r>
        <w:rPr>
          <w:rFonts w:hint="eastAsia" w:ascii="仿宋" w:hAnsi="仿宋" w:eastAsia="仿宋" w:cs="宋体"/>
          <w:b/>
          <w:bCs/>
          <w:kern w:val="0"/>
          <w:sz w:val="32"/>
          <w:szCs w:val="32"/>
        </w:rPr>
        <w:t>第二条</w:t>
      </w:r>
      <w:r>
        <w:rPr>
          <w:rFonts w:hint="eastAsia" w:ascii="仿宋" w:hAnsi="仿宋" w:eastAsia="仿宋" w:cs="宋体"/>
          <w:kern w:val="0"/>
          <w:sz w:val="32"/>
          <w:szCs w:val="32"/>
        </w:rPr>
        <w:t xml:space="preserve"> </w:t>
      </w:r>
      <w:r>
        <w:rPr>
          <w:rFonts w:hint="eastAsia" w:ascii="仿宋" w:hAnsi="仿宋" w:eastAsia="仿宋"/>
          <w:sz w:val="32"/>
          <w:szCs w:val="32"/>
        </w:rPr>
        <w:t>机关工作人员要</w:t>
      </w:r>
      <w:r>
        <w:rPr>
          <w:rFonts w:hint="eastAsia" w:ascii="仿宋" w:hAnsi="仿宋" w:eastAsia="仿宋" w:cs="宋体"/>
          <w:kern w:val="0"/>
          <w:sz w:val="32"/>
          <w:szCs w:val="32"/>
        </w:rPr>
        <w:t>严格执行请销假制度。请假</w:t>
      </w:r>
      <w:r>
        <w:rPr>
          <w:rFonts w:ascii="仿宋" w:hAnsi="仿宋" w:eastAsia="仿宋" w:cs="宋体"/>
          <w:kern w:val="0"/>
          <w:sz w:val="32"/>
          <w:szCs w:val="32"/>
        </w:rPr>
        <w:t>1</w:t>
      </w:r>
      <w:r>
        <w:rPr>
          <w:rFonts w:hint="eastAsia" w:ascii="仿宋" w:hAnsi="仿宋" w:eastAsia="仿宋" w:cs="宋体"/>
          <w:kern w:val="0"/>
          <w:sz w:val="32"/>
          <w:szCs w:val="32"/>
        </w:rPr>
        <w:t>天以下，报分管领导审批；请假超过</w:t>
      </w:r>
      <w:r>
        <w:rPr>
          <w:rFonts w:ascii="仿宋" w:hAnsi="仿宋" w:eastAsia="仿宋" w:cs="宋体"/>
          <w:kern w:val="0"/>
          <w:sz w:val="32"/>
          <w:szCs w:val="32"/>
        </w:rPr>
        <w:t>1</w:t>
      </w:r>
      <w:r>
        <w:rPr>
          <w:rFonts w:hint="eastAsia" w:ascii="仿宋" w:hAnsi="仿宋" w:eastAsia="仿宋" w:cs="宋体"/>
          <w:kern w:val="0"/>
          <w:sz w:val="32"/>
          <w:szCs w:val="32"/>
        </w:rPr>
        <w:t>天，须报主要领导审批。病假超过</w:t>
      </w:r>
      <w:r>
        <w:rPr>
          <w:rFonts w:ascii="仿宋" w:hAnsi="仿宋" w:eastAsia="仿宋" w:cs="宋体"/>
          <w:kern w:val="0"/>
          <w:sz w:val="32"/>
          <w:szCs w:val="32"/>
        </w:rPr>
        <w:t>5</w:t>
      </w:r>
      <w:r>
        <w:rPr>
          <w:rFonts w:hint="eastAsia" w:ascii="仿宋" w:hAnsi="仿宋" w:eastAsia="仿宋" w:cs="宋体"/>
          <w:kern w:val="0"/>
          <w:sz w:val="32"/>
          <w:szCs w:val="32"/>
        </w:rPr>
        <w:t>天，应提供医院诊断证明。</w:t>
      </w:r>
    </w:p>
    <w:p w14:paraId="2CF8A9A2">
      <w:pPr>
        <w:pStyle w:val="7"/>
        <w:shd w:val="clear" w:color="auto" w:fill="FFFFFF"/>
        <w:spacing w:before="0" w:beforeAutospacing="0" w:after="0" w:afterAutospacing="0" w:line="560" w:lineRule="exact"/>
        <w:ind w:firstLine="643" w:firstLineChars="200"/>
        <w:rPr>
          <w:rFonts w:ascii="仿宋" w:hAnsi="仿宋" w:eastAsia="仿宋"/>
          <w:sz w:val="32"/>
          <w:szCs w:val="32"/>
        </w:rPr>
      </w:pPr>
      <w:r>
        <w:rPr>
          <w:rFonts w:hint="eastAsia" w:ascii="仿宋" w:hAnsi="仿宋" w:eastAsia="仿宋"/>
          <w:b/>
          <w:bCs/>
          <w:sz w:val="32"/>
          <w:szCs w:val="32"/>
        </w:rPr>
        <w:t>第三条</w:t>
      </w:r>
      <w:r>
        <w:rPr>
          <w:rFonts w:hint="eastAsia" w:ascii="仿宋" w:hAnsi="仿宋" w:eastAsia="仿宋"/>
          <w:sz w:val="32"/>
          <w:szCs w:val="32"/>
        </w:rPr>
        <w:t xml:space="preserve"> 机关工作人员要严格遵守考勤管理制度，因公外出或因事请假须分别填《白城市司法局机关（直属事业单位）因公外出报备单》或《白城市司法局机关（直属事业单位）请假条》，并报局机关工作纪律办公室备案。无报备，上班或开会没有签到，按旷工处理。</w:t>
      </w:r>
    </w:p>
    <w:p w14:paraId="50418CEE">
      <w:pPr>
        <w:pStyle w:val="7"/>
        <w:shd w:val="clear" w:color="auto" w:fill="FFFFFF"/>
        <w:spacing w:before="0" w:beforeAutospacing="0" w:after="0" w:afterAutospacing="0" w:line="560" w:lineRule="exact"/>
        <w:ind w:firstLine="643" w:firstLineChars="200"/>
        <w:rPr>
          <w:rFonts w:ascii="仿宋" w:hAnsi="仿宋" w:eastAsia="仿宋"/>
          <w:sz w:val="32"/>
          <w:szCs w:val="32"/>
        </w:rPr>
      </w:pPr>
      <w:r>
        <w:rPr>
          <w:rFonts w:hint="eastAsia" w:ascii="仿宋" w:hAnsi="仿宋" w:eastAsia="仿宋"/>
          <w:b/>
          <w:bCs/>
          <w:sz w:val="32"/>
          <w:szCs w:val="32"/>
        </w:rPr>
        <w:t>第四条</w:t>
      </w:r>
      <w:r>
        <w:rPr>
          <w:rFonts w:hint="eastAsia" w:ascii="仿宋" w:hAnsi="仿宋" w:eastAsia="仿宋"/>
          <w:sz w:val="32"/>
          <w:szCs w:val="32"/>
        </w:rPr>
        <w:t xml:space="preserve"> 机关工作人员要严格遵守签到制度。严禁上班或开会签到代签，一经发现，对代签人员和被代签人员都要做相应处理。</w:t>
      </w:r>
      <w:r>
        <w:rPr>
          <w:rFonts w:ascii="仿宋" w:hAnsi="仿宋" w:eastAsia="仿宋"/>
          <w:sz w:val="32"/>
          <w:szCs w:val="32"/>
        </w:rPr>
        <w:t xml:space="preserve"> </w:t>
      </w:r>
    </w:p>
    <w:p w14:paraId="560C35BD">
      <w:pPr>
        <w:pStyle w:val="7"/>
        <w:shd w:val="clear" w:color="auto" w:fill="FFFFFF"/>
        <w:spacing w:before="0" w:beforeAutospacing="0" w:after="0" w:afterAutospacing="0" w:line="560" w:lineRule="exact"/>
        <w:ind w:firstLine="643" w:firstLineChars="200"/>
        <w:rPr>
          <w:rFonts w:ascii="仿宋" w:hAnsi="仿宋" w:eastAsia="仿宋"/>
          <w:sz w:val="32"/>
          <w:szCs w:val="32"/>
        </w:rPr>
      </w:pPr>
      <w:r>
        <w:rPr>
          <w:rFonts w:hint="eastAsia" w:ascii="仿宋" w:hAnsi="仿宋" w:eastAsia="仿宋"/>
          <w:b/>
          <w:bCs/>
          <w:sz w:val="32"/>
          <w:szCs w:val="32"/>
        </w:rPr>
        <w:t>第五条</w:t>
      </w:r>
      <w:r>
        <w:rPr>
          <w:rFonts w:hint="eastAsia" w:ascii="仿宋" w:hAnsi="仿宋" w:eastAsia="仿宋"/>
          <w:sz w:val="32"/>
          <w:szCs w:val="32"/>
        </w:rPr>
        <w:t xml:space="preserve"> 机关工作人员要严格遵守会议制度，开会迟到或早退超出</w:t>
      </w:r>
      <w:r>
        <w:rPr>
          <w:rFonts w:ascii="仿宋" w:hAnsi="仿宋" w:eastAsia="仿宋"/>
          <w:sz w:val="32"/>
          <w:szCs w:val="32"/>
        </w:rPr>
        <w:t>20</w:t>
      </w:r>
      <w:r>
        <w:rPr>
          <w:rFonts w:hint="eastAsia" w:ascii="仿宋" w:hAnsi="仿宋" w:eastAsia="仿宋"/>
          <w:sz w:val="32"/>
          <w:szCs w:val="32"/>
        </w:rPr>
        <w:t>分钟的人员，按旷会处理。开会旷会</w:t>
      </w:r>
      <w:r>
        <w:rPr>
          <w:rFonts w:ascii="仿宋" w:hAnsi="仿宋" w:eastAsia="仿宋"/>
          <w:sz w:val="32"/>
          <w:szCs w:val="32"/>
        </w:rPr>
        <w:t>1</w:t>
      </w:r>
      <w:r>
        <w:rPr>
          <w:rFonts w:hint="eastAsia" w:ascii="仿宋" w:hAnsi="仿宋" w:eastAsia="仿宋"/>
          <w:sz w:val="32"/>
          <w:szCs w:val="32"/>
        </w:rPr>
        <w:t>次按旷工半天处理。</w:t>
      </w:r>
    </w:p>
    <w:p w14:paraId="26535016">
      <w:pPr>
        <w:pStyle w:val="7"/>
        <w:shd w:val="clear" w:color="auto" w:fill="FFFFFF"/>
        <w:spacing w:before="0" w:beforeAutospacing="0" w:after="0" w:afterAutospacing="0" w:line="560" w:lineRule="exact"/>
        <w:ind w:firstLine="643" w:firstLineChars="200"/>
        <w:rPr>
          <w:rFonts w:ascii="仿宋" w:hAnsi="仿宋" w:eastAsia="仿宋"/>
          <w:sz w:val="32"/>
          <w:szCs w:val="32"/>
        </w:rPr>
      </w:pPr>
      <w:r>
        <w:rPr>
          <w:rFonts w:hint="eastAsia" w:ascii="仿宋" w:hAnsi="仿宋" w:eastAsia="仿宋"/>
          <w:b/>
          <w:bCs/>
          <w:sz w:val="32"/>
          <w:szCs w:val="32"/>
        </w:rPr>
        <w:t>第六条</w:t>
      </w:r>
      <w:r>
        <w:rPr>
          <w:rFonts w:hint="eastAsia" w:ascii="仿宋" w:hAnsi="仿宋" w:eastAsia="仿宋"/>
          <w:sz w:val="32"/>
          <w:szCs w:val="32"/>
        </w:rPr>
        <w:t xml:space="preserve"> 机关工作人员要严格遵守年休假制度。个人的年休假可以集中使用，也可以分段安排。遇法定节日和公休假日可以顺延相应的假期期限。但有下列情形之一的，不享受当年的年休假：一是请事假累计</w:t>
      </w:r>
      <w:r>
        <w:rPr>
          <w:rFonts w:ascii="仿宋" w:hAnsi="仿宋" w:eastAsia="仿宋"/>
          <w:sz w:val="32"/>
          <w:szCs w:val="32"/>
        </w:rPr>
        <w:t>20</w:t>
      </w:r>
      <w:r>
        <w:rPr>
          <w:rFonts w:hint="eastAsia" w:ascii="仿宋" w:hAnsi="仿宋" w:eastAsia="仿宋"/>
          <w:sz w:val="32"/>
          <w:szCs w:val="32"/>
        </w:rPr>
        <w:t>天以上且没扣工资的；二是工作年限满</w:t>
      </w:r>
      <w:r>
        <w:rPr>
          <w:rFonts w:ascii="仿宋" w:hAnsi="仿宋" w:eastAsia="仿宋"/>
          <w:sz w:val="32"/>
          <w:szCs w:val="32"/>
        </w:rPr>
        <w:t>1</w:t>
      </w:r>
      <w:r>
        <w:rPr>
          <w:rFonts w:hint="eastAsia" w:ascii="仿宋" w:hAnsi="仿宋" w:eastAsia="仿宋"/>
          <w:sz w:val="32"/>
          <w:szCs w:val="32"/>
        </w:rPr>
        <w:t>年不满</w:t>
      </w:r>
      <w:r>
        <w:rPr>
          <w:rFonts w:ascii="仿宋" w:hAnsi="仿宋" w:eastAsia="仿宋"/>
          <w:sz w:val="32"/>
          <w:szCs w:val="32"/>
        </w:rPr>
        <w:t>10</w:t>
      </w:r>
      <w:r>
        <w:rPr>
          <w:rFonts w:hint="eastAsia" w:ascii="仿宋" w:hAnsi="仿宋" w:eastAsia="仿宋"/>
          <w:sz w:val="32"/>
          <w:szCs w:val="32"/>
        </w:rPr>
        <w:t>年，请病假累计</w:t>
      </w:r>
      <w:r>
        <w:rPr>
          <w:rFonts w:ascii="仿宋" w:hAnsi="仿宋" w:eastAsia="仿宋"/>
          <w:sz w:val="32"/>
          <w:szCs w:val="32"/>
        </w:rPr>
        <w:t>2</w:t>
      </w:r>
      <w:r>
        <w:rPr>
          <w:rFonts w:hint="eastAsia" w:ascii="仿宋" w:hAnsi="仿宋" w:eastAsia="仿宋"/>
          <w:sz w:val="32"/>
          <w:szCs w:val="32"/>
        </w:rPr>
        <w:t>个月以上的；三是工作年限满</w:t>
      </w:r>
      <w:r>
        <w:rPr>
          <w:rFonts w:ascii="仿宋" w:hAnsi="仿宋" w:eastAsia="仿宋"/>
          <w:sz w:val="32"/>
          <w:szCs w:val="32"/>
        </w:rPr>
        <w:t>10</w:t>
      </w:r>
      <w:r>
        <w:rPr>
          <w:rFonts w:hint="eastAsia" w:ascii="仿宋" w:hAnsi="仿宋" w:eastAsia="仿宋"/>
          <w:sz w:val="32"/>
          <w:szCs w:val="32"/>
        </w:rPr>
        <w:t>年不满</w:t>
      </w:r>
      <w:r>
        <w:rPr>
          <w:rFonts w:ascii="仿宋" w:hAnsi="仿宋" w:eastAsia="仿宋"/>
          <w:sz w:val="32"/>
          <w:szCs w:val="32"/>
        </w:rPr>
        <w:t>20</w:t>
      </w:r>
      <w:r>
        <w:rPr>
          <w:rFonts w:hint="eastAsia" w:ascii="仿宋" w:hAnsi="仿宋" w:eastAsia="仿宋"/>
          <w:sz w:val="32"/>
          <w:szCs w:val="32"/>
        </w:rPr>
        <w:t>年，请病假累计</w:t>
      </w:r>
      <w:r>
        <w:rPr>
          <w:rFonts w:ascii="仿宋" w:hAnsi="仿宋" w:eastAsia="仿宋"/>
          <w:sz w:val="32"/>
          <w:szCs w:val="32"/>
        </w:rPr>
        <w:t>3</w:t>
      </w:r>
      <w:r>
        <w:rPr>
          <w:rFonts w:hint="eastAsia" w:ascii="仿宋" w:hAnsi="仿宋" w:eastAsia="仿宋"/>
          <w:sz w:val="32"/>
          <w:szCs w:val="32"/>
        </w:rPr>
        <w:t>个月以上的；四是工作年限满</w:t>
      </w:r>
      <w:r>
        <w:rPr>
          <w:rFonts w:ascii="仿宋" w:hAnsi="仿宋" w:eastAsia="仿宋"/>
          <w:sz w:val="32"/>
          <w:szCs w:val="32"/>
        </w:rPr>
        <w:t>20</w:t>
      </w:r>
      <w:r>
        <w:rPr>
          <w:rFonts w:hint="eastAsia" w:ascii="仿宋" w:hAnsi="仿宋" w:eastAsia="仿宋"/>
          <w:sz w:val="32"/>
          <w:szCs w:val="32"/>
        </w:rPr>
        <w:t>年以上，请病假累计</w:t>
      </w:r>
      <w:r>
        <w:rPr>
          <w:rFonts w:ascii="仿宋" w:hAnsi="仿宋" w:eastAsia="仿宋"/>
          <w:sz w:val="32"/>
          <w:szCs w:val="32"/>
        </w:rPr>
        <w:t>4</w:t>
      </w:r>
      <w:r>
        <w:rPr>
          <w:rFonts w:hint="eastAsia" w:ascii="仿宋" w:hAnsi="仿宋" w:eastAsia="仿宋"/>
          <w:sz w:val="32"/>
          <w:szCs w:val="32"/>
        </w:rPr>
        <w:t>个月以上的。如当年享受了年休假以后，出现以上情形的，则不再享受下一年度的年休假。年休假假期应当年用完，不得跨年度使用。</w:t>
      </w:r>
    </w:p>
    <w:p w14:paraId="43F0F14D">
      <w:pPr>
        <w:pStyle w:val="7"/>
        <w:shd w:val="clear" w:color="auto" w:fill="FFFFFF"/>
        <w:spacing w:before="0" w:beforeAutospacing="0" w:after="0" w:afterAutospacing="0" w:line="560" w:lineRule="exact"/>
        <w:ind w:firstLine="643" w:firstLineChars="200"/>
        <w:rPr>
          <w:rFonts w:ascii="仿宋" w:hAnsi="仿宋" w:eastAsia="仿宋"/>
          <w:sz w:val="32"/>
          <w:szCs w:val="32"/>
        </w:rPr>
      </w:pPr>
      <w:r>
        <w:rPr>
          <w:rFonts w:hint="eastAsia" w:ascii="仿宋" w:hAnsi="仿宋" w:eastAsia="仿宋"/>
          <w:b/>
          <w:bCs/>
          <w:sz w:val="32"/>
          <w:szCs w:val="32"/>
        </w:rPr>
        <w:t>第七条</w:t>
      </w:r>
      <w:r>
        <w:rPr>
          <w:rFonts w:hint="eastAsia" w:ascii="仿宋" w:hAnsi="仿宋" w:eastAsia="仿宋"/>
          <w:sz w:val="32"/>
          <w:szCs w:val="32"/>
        </w:rPr>
        <w:t xml:space="preserve"> 机关工作人员严禁在工作日中午以任何理由饮酒。严禁对待办事群众态度冷淡恶劣，说话粗鲁，方式蛮横，举止不雅，推诿扯皮等行为。</w:t>
      </w:r>
    </w:p>
    <w:p w14:paraId="40616525">
      <w:pPr>
        <w:pStyle w:val="7"/>
        <w:shd w:val="clear" w:color="auto" w:fill="FFFFFF"/>
        <w:spacing w:before="0" w:beforeAutospacing="0" w:after="0" w:afterAutospacing="0" w:line="560" w:lineRule="exact"/>
        <w:ind w:firstLine="643" w:firstLineChars="200"/>
        <w:rPr>
          <w:rFonts w:ascii="仿宋" w:hAnsi="仿宋" w:eastAsia="仿宋"/>
          <w:sz w:val="32"/>
          <w:szCs w:val="32"/>
        </w:rPr>
      </w:pPr>
      <w:r>
        <w:rPr>
          <w:rFonts w:hint="eastAsia" w:ascii="仿宋" w:hAnsi="仿宋" w:eastAsia="仿宋"/>
          <w:b/>
          <w:bCs/>
          <w:sz w:val="32"/>
          <w:szCs w:val="32"/>
        </w:rPr>
        <w:t>第八条</w:t>
      </w:r>
      <w:r>
        <w:rPr>
          <w:rFonts w:hint="eastAsia" w:ascii="仿宋" w:hAnsi="仿宋" w:eastAsia="仿宋"/>
          <w:sz w:val="32"/>
          <w:szCs w:val="32"/>
        </w:rPr>
        <w:t xml:space="preserve"> 实行机关考勤情况月通报制度，局机关工作纪律办公室每月将机关考勤情况报局主要领导审阅，并在局领导班子传阅。</w:t>
      </w:r>
    </w:p>
    <w:p w14:paraId="3B520AAC">
      <w:pPr>
        <w:pStyle w:val="7"/>
        <w:shd w:val="clear" w:color="auto" w:fill="FFFFFF"/>
        <w:spacing w:before="0" w:beforeAutospacing="0" w:after="0" w:afterAutospacing="0" w:line="560" w:lineRule="exact"/>
        <w:ind w:firstLine="480"/>
        <w:rPr>
          <w:rFonts w:ascii="仿宋" w:hAnsi="仿宋" w:eastAsia="仿宋"/>
          <w:sz w:val="32"/>
          <w:szCs w:val="32"/>
        </w:rPr>
      </w:pPr>
      <w:r>
        <w:rPr>
          <w:rFonts w:hint="eastAsia" w:ascii="仿宋" w:hAnsi="仿宋" w:eastAsia="仿宋"/>
          <w:b/>
          <w:bCs/>
          <w:sz w:val="32"/>
          <w:szCs w:val="32"/>
        </w:rPr>
        <w:t>第九条</w:t>
      </w:r>
      <w:r>
        <w:rPr>
          <w:rFonts w:hint="eastAsia" w:ascii="仿宋" w:hAnsi="仿宋" w:eastAsia="仿宋"/>
          <w:sz w:val="32"/>
          <w:szCs w:val="32"/>
        </w:rPr>
        <w:t xml:space="preserve"> 副处级以上领导干部要严格执行重大事项请示报告制度。对于分管领域人员出现严重问题在社会上造成不良影响的分管领导，局主要领导将进行约谈。</w:t>
      </w:r>
    </w:p>
    <w:p w14:paraId="1737C489">
      <w:pPr>
        <w:rPr>
          <w:rFonts w:ascii="仿宋" w:hAnsi="仿宋" w:eastAsia="仿宋"/>
          <w:sz w:val="32"/>
          <w:szCs w:val="32"/>
        </w:rPr>
      </w:pPr>
      <w:r>
        <w:rPr>
          <w:rFonts w:hint="eastAsia" w:ascii="仿宋" w:hAnsi="仿宋" w:eastAsia="仿宋"/>
          <w:sz w:val="32"/>
          <w:szCs w:val="32"/>
        </w:rPr>
        <w:br w:type="page"/>
      </w:r>
    </w:p>
    <w:p w14:paraId="55B4E495">
      <w:pPr>
        <w:widowControl/>
        <w:spacing w:line="560" w:lineRule="exact"/>
        <w:jc w:val="center"/>
        <w:rPr>
          <w:rFonts w:ascii="方正小标宋_GBK" w:hAnsi="方正小标宋_GBK" w:eastAsia="方正小标宋_GBK" w:cs="方正小标宋_GBK"/>
          <w:color w:val="000000"/>
          <w:spacing w:val="-20"/>
          <w:sz w:val="44"/>
          <w:szCs w:val="44"/>
        </w:rPr>
      </w:pPr>
      <w:r>
        <w:rPr>
          <w:rFonts w:hint="eastAsia" w:ascii="方正小标宋_GBK" w:hAnsi="方正小标宋_GBK" w:eastAsia="方正小标宋_GBK" w:cs="方正小标宋_GBK"/>
          <w:color w:val="000000"/>
          <w:spacing w:val="-20"/>
          <w:sz w:val="44"/>
          <w:szCs w:val="44"/>
        </w:rPr>
        <w:t>白城市司法局问题整改与工作进度定期通报制度</w:t>
      </w:r>
    </w:p>
    <w:p w14:paraId="0C624BE7">
      <w:pPr>
        <w:widowControl/>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为认真做好中央巡视、省市巡察及上级部门检查督查反馈问题整改工作，切实加强作风效能建设，“打通中梗阻、提升执行力”，推动各科室、直属单位对存在问题短板整改的有效落实，决定建立问题整改与工作进度定期通报制度，有关事项如下：</w:t>
      </w:r>
    </w:p>
    <w:p w14:paraId="6164730C">
      <w:pPr>
        <w:widowControl/>
        <w:spacing w:line="560" w:lineRule="exact"/>
        <w:rPr>
          <w:rFonts w:ascii="黑体" w:hAnsi="黑体" w:eastAsia="黑体"/>
          <w:color w:val="000000"/>
          <w:sz w:val="32"/>
          <w:szCs w:val="32"/>
        </w:rPr>
      </w:pPr>
      <w:r>
        <w:rPr>
          <w:rFonts w:hint="eastAsia" w:ascii="仿宋" w:hAnsi="仿宋" w:eastAsia="仿宋" w:cs="宋体"/>
          <w:color w:val="000000"/>
          <w:sz w:val="32"/>
          <w:szCs w:val="32"/>
        </w:rPr>
        <w:t xml:space="preserve">    第一条 通过建立问题</w:t>
      </w:r>
      <w:r>
        <w:rPr>
          <w:rFonts w:hint="eastAsia" w:ascii="仿宋" w:hAnsi="仿宋" w:eastAsia="仿宋"/>
          <w:color w:val="000000"/>
          <w:sz w:val="32"/>
          <w:szCs w:val="32"/>
        </w:rPr>
        <w:t>整改与工作进度定期通报制度，强化监督力度，保障问题短板整改的有效落实，切实改进作风提升机关服务效能和水平，助推司法行政重大工作攻坚破难、落地见效。</w:t>
      </w:r>
    </w:p>
    <w:p w14:paraId="084FEBDF">
      <w:pPr>
        <w:widowControl/>
        <w:spacing w:line="560" w:lineRule="exact"/>
        <w:rPr>
          <w:rFonts w:ascii="黑体" w:hAnsi="黑体" w:eastAsia="黑体"/>
          <w:color w:val="000000"/>
          <w:sz w:val="32"/>
          <w:szCs w:val="32"/>
        </w:rPr>
      </w:pPr>
      <w:r>
        <w:rPr>
          <w:rFonts w:hint="eastAsia" w:ascii="仿宋" w:hAnsi="仿宋" w:eastAsia="仿宋" w:cs="宋体"/>
          <w:color w:val="000000"/>
          <w:sz w:val="32"/>
          <w:szCs w:val="32"/>
        </w:rPr>
        <w:t xml:space="preserve">    第二条 各</w:t>
      </w:r>
      <w:r>
        <w:rPr>
          <w:rFonts w:hint="eastAsia" w:ascii="仿宋" w:hAnsi="仿宋" w:eastAsia="仿宋"/>
          <w:color w:val="000000"/>
          <w:sz w:val="32"/>
          <w:szCs w:val="32"/>
        </w:rPr>
        <w:t>科室、直属单位要认真对照中央巡视、省委巡视、市委巡察及各级检查督查要求，在前期查找梳理的基础上，列出在不作为、不担当、不廉洁奉公、不遵守党规党纪等方面的突出问题清单，并逐条制定整改措施。对已完成整改和正在整改中的问题短板或意见建议，要明确整改措施、完成时间、责任领导、联系人，确保逐条落实。</w:t>
      </w:r>
    </w:p>
    <w:p w14:paraId="3C360E66">
      <w:pPr>
        <w:widowControl/>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第三条 在各科室、直属单位梳理短板报送整改方案的基础上，局政治部将建立跟踪督办、定期通报制度。各部门要填写“整改进度报表”，局里将对报送情况进行核实，并于每季度公布整改进度，进行通报。</w:t>
      </w:r>
    </w:p>
    <w:p w14:paraId="01CE880E">
      <w:pPr>
        <w:widowControl/>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第四条 </w:t>
      </w:r>
      <w:r>
        <w:rPr>
          <w:rFonts w:hint="eastAsia" w:ascii="仿宋" w:hAnsi="仿宋" w:eastAsia="仿宋" w:cs="宋体"/>
          <w:color w:val="000000"/>
          <w:sz w:val="32"/>
          <w:szCs w:val="32"/>
        </w:rPr>
        <w:t>局政治部将</w:t>
      </w:r>
      <w:r>
        <w:rPr>
          <w:rFonts w:hint="eastAsia" w:ascii="仿宋" w:hAnsi="仿宋" w:eastAsia="仿宋"/>
          <w:color w:val="000000"/>
          <w:sz w:val="32"/>
          <w:szCs w:val="32"/>
        </w:rPr>
        <w:t>对各部门整改情况进行集中督查，主要督察整改是否到位，是否取得实效，重点工作是否按计划推进，群众反映评价如何等等。对在督查中发现的好的做法和典型及时进行宣传，对暴露出的问题进行通报和曝光。</w:t>
      </w:r>
    </w:p>
    <w:p w14:paraId="3B9B61FC">
      <w:pPr>
        <w:pStyle w:val="3"/>
        <w:widowControl/>
        <w:spacing w:line="560" w:lineRule="exact"/>
        <w:ind w:firstLine="640" w:firstLineChars="200"/>
        <w:rPr>
          <w:rFonts w:ascii="仿宋" w:hAnsi="仿宋" w:eastAsia="仿宋"/>
          <w:szCs w:val="32"/>
        </w:rPr>
      </w:pPr>
      <w:r>
        <w:rPr>
          <w:rFonts w:hint="eastAsia" w:ascii="仿宋" w:hAnsi="仿宋" w:eastAsia="仿宋" w:cs="宋体"/>
          <w:color w:val="000000"/>
          <w:szCs w:val="32"/>
        </w:rPr>
        <w:t>第五条  各科室、直属单位</w:t>
      </w:r>
      <w:r>
        <w:rPr>
          <w:rFonts w:hint="eastAsia" w:ascii="仿宋" w:hAnsi="仿宋" w:eastAsia="仿宋"/>
          <w:color w:val="000000"/>
          <w:szCs w:val="32"/>
        </w:rPr>
        <w:t>要落实整改责任，逐条梳理意见，明确责任主体，切实抓好整改工作，及时报送有关情况，</w:t>
      </w:r>
      <w:r>
        <w:rPr>
          <w:rFonts w:hint="eastAsia" w:ascii="仿宋" w:hAnsi="仿宋" w:eastAsia="仿宋"/>
          <w:szCs w:val="32"/>
        </w:rPr>
        <w:t>第六条 局政治部</w:t>
      </w:r>
      <w:r>
        <w:rPr>
          <w:rFonts w:ascii="仿宋" w:hAnsi="仿宋" w:eastAsia="仿宋"/>
          <w:szCs w:val="32"/>
        </w:rPr>
        <w:t>对监督检查与整改情况要及时反馈，报送</w:t>
      </w:r>
      <w:r>
        <w:rPr>
          <w:rFonts w:hint="eastAsia" w:ascii="仿宋" w:hAnsi="仿宋" w:eastAsia="仿宋"/>
          <w:szCs w:val="32"/>
        </w:rPr>
        <w:t>主要领导</w:t>
      </w:r>
      <w:r>
        <w:rPr>
          <w:rFonts w:ascii="仿宋" w:hAnsi="仿宋" w:eastAsia="仿宋"/>
          <w:szCs w:val="32"/>
        </w:rPr>
        <w:t>领导</w:t>
      </w:r>
      <w:r>
        <w:rPr>
          <w:rFonts w:hint="eastAsia" w:ascii="仿宋" w:hAnsi="仿宋" w:eastAsia="仿宋"/>
          <w:szCs w:val="32"/>
        </w:rPr>
        <w:t>审</w:t>
      </w:r>
      <w:r>
        <w:rPr>
          <w:rFonts w:ascii="仿宋" w:hAnsi="仿宋" w:eastAsia="仿宋"/>
          <w:szCs w:val="32"/>
        </w:rPr>
        <w:t>阅，同时，要加强对监督检查与整改工作的考核。并把监督检查与整改考核评价结果与各部门的工作绩效考核紧密结合起来，作为部门工作评估考核的一项重要依据。</w:t>
      </w:r>
    </w:p>
    <w:p w14:paraId="5F080815">
      <w:pPr>
        <w:pStyle w:val="3"/>
        <w:widowControl/>
        <w:spacing w:line="560" w:lineRule="exact"/>
        <w:ind w:firstLine="640" w:firstLineChars="200"/>
        <w:rPr>
          <w:rFonts w:ascii="仿宋" w:hAnsi="仿宋" w:eastAsia="仿宋"/>
          <w:szCs w:val="32"/>
        </w:rPr>
      </w:pPr>
      <w:r>
        <w:rPr>
          <w:rFonts w:hint="eastAsia" w:ascii="仿宋" w:hAnsi="仿宋" w:eastAsia="仿宋"/>
          <w:szCs w:val="32"/>
        </w:rPr>
        <w:t>第七条 本制度规定的各项情形应严格执行，如有违反将视情节追究责任。</w:t>
      </w:r>
    </w:p>
    <w:p w14:paraId="2DAC1248">
      <w:pPr>
        <w:rPr>
          <w:rFonts w:ascii="仿宋" w:hAnsi="仿宋" w:eastAsia="仿宋"/>
          <w:sz w:val="32"/>
          <w:szCs w:val="32"/>
        </w:rPr>
      </w:pPr>
      <w:r>
        <w:rPr>
          <w:rFonts w:hint="eastAsia" w:ascii="仿宋" w:hAnsi="仿宋" w:eastAsia="仿宋"/>
          <w:sz w:val="32"/>
          <w:szCs w:val="32"/>
        </w:rPr>
        <w:br w:type="page"/>
      </w:r>
    </w:p>
    <w:p w14:paraId="094D2791">
      <w:pPr>
        <w:widowControl/>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白城市司法局关于进一步规范</w:t>
      </w:r>
    </w:p>
    <w:p w14:paraId="435B6813">
      <w:pPr>
        <w:widowControl/>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会议记录工作制度</w:t>
      </w:r>
    </w:p>
    <w:p w14:paraId="04DD92E1">
      <w:pPr>
        <w:widowControl/>
        <w:spacing w:line="560" w:lineRule="exact"/>
        <w:jc w:val="center"/>
        <w:rPr>
          <w:rFonts w:ascii="宋体" w:hAnsi="宋体" w:eastAsia="宋体" w:cs="宋体"/>
          <w:kern w:val="0"/>
          <w:szCs w:val="21"/>
        </w:rPr>
      </w:pPr>
    </w:p>
    <w:p w14:paraId="4B59FB8D">
      <w:pPr>
        <w:widowControl/>
        <w:spacing w:line="560" w:lineRule="exact"/>
        <w:ind w:firstLine="645"/>
        <w:jc w:val="left"/>
        <w:rPr>
          <w:rFonts w:ascii="仿宋" w:hAnsi="仿宋" w:eastAsia="仿宋" w:cs="Arial"/>
          <w:color w:val="222222"/>
          <w:spacing w:val="6"/>
          <w:kern w:val="0"/>
          <w:sz w:val="32"/>
          <w:szCs w:val="32"/>
        </w:rPr>
      </w:pPr>
      <w:r>
        <w:rPr>
          <w:rFonts w:hint="eastAsia" w:ascii="仿宋" w:hAnsi="仿宋" w:eastAsia="仿宋" w:cs="Arial"/>
          <w:color w:val="222222"/>
          <w:spacing w:val="6"/>
          <w:kern w:val="0"/>
          <w:sz w:val="32"/>
          <w:szCs w:val="32"/>
        </w:rPr>
        <w:t>为进一步加强会议记录管理和规范、提高会议记录质量，现就相关事项制定本制度：</w:t>
      </w:r>
    </w:p>
    <w:p w14:paraId="5582B98D">
      <w:pPr>
        <w:widowControl/>
        <w:spacing w:line="560" w:lineRule="exact"/>
        <w:ind w:firstLine="645"/>
        <w:jc w:val="left"/>
        <w:rPr>
          <w:rFonts w:ascii="黑体" w:hAnsi="黑体" w:eastAsia="黑体" w:cs="Arial"/>
          <w:color w:val="222222"/>
          <w:spacing w:val="6"/>
          <w:kern w:val="0"/>
          <w:sz w:val="32"/>
          <w:szCs w:val="32"/>
        </w:rPr>
      </w:pPr>
      <w:r>
        <w:rPr>
          <w:rFonts w:hint="eastAsia" w:ascii="黑体" w:hAnsi="黑体" w:eastAsia="黑体" w:cs="Arial"/>
          <w:color w:val="222222"/>
          <w:spacing w:val="6"/>
          <w:kern w:val="0"/>
          <w:sz w:val="32"/>
          <w:szCs w:val="32"/>
        </w:rPr>
        <w:t>第一条 适用范围</w:t>
      </w:r>
    </w:p>
    <w:p w14:paraId="72C489C1">
      <w:pPr>
        <w:widowControl/>
        <w:spacing w:line="560" w:lineRule="exact"/>
        <w:ind w:firstLine="645"/>
        <w:jc w:val="left"/>
        <w:rPr>
          <w:rFonts w:ascii="仿宋" w:hAnsi="仿宋" w:eastAsia="仿宋" w:cs="Arial"/>
          <w:color w:val="222222"/>
          <w:spacing w:val="6"/>
          <w:kern w:val="0"/>
          <w:sz w:val="32"/>
          <w:szCs w:val="32"/>
        </w:rPr>
      </w:pPr>
      <w:r>
        <w:rPr>
          <w:rFonts w:hint="eastAsia" w:ascii="仿宋" w:hAnsi="仿宋" w:eastAsia="仿宋" w:cs="Arial"/>
          <w:color w:val="222222"/>
          <w:spacing w:val="6"/>
          <w:kern w:val="0"/>
          <w:sz w:val="32"/>
          <w:szCs w:val="32"/>
        </w:rPr>
        <w:t>（一）局党组会议、局长办公会议；</w:t>
      </w:r>
      <w:r>
        <w:rPr>
          <w:rFonts w:ascii="仿宋" w:hAnsi="仿宋" w:eastAsia="仿宋" w:cs="Arial"/>
          <w:color w:val="222222"/>
          <w:spacing w:val="6"/>
          <w:kern w:val="0"/>
          <w:sz w:val="32"/>
          <w:szCs w:val="32"/>
        </w:rPr>
        <w:t xml:space="preserve"> </w:t>
      </w:r>
    </w:p>
    <w:p w14:paraId="296C9EEE">
      <w:pPr>
        <w:widowControl/>
        <w:spacing w:line="560" w:lineRule="exact"/>
        <w:ind w:firstLine="645"/>
        <w:jc w:val="left"/>
        <w:rPr>
          <w:rFonts w:ascii="仿宋" w:hAnsi="仿宋" w:eastAsia="仿宋" w:cs="Arial"/>
          <w:color w:val="222222"/>
          <w:spacing w:val="6"/>
          <w:kern w:val="0"/>
          <w:sz w:val="32"/>
          <w:szCs w:val="32"/>
        </w:rPr>
      </w:pPr>
      <w:r>
        <w:rPr>
          <w:rFonts w:hint="eastAsia" w:ascii="仿宋" w:hAnsi="仿宋" w:eastAsia="仿宋" w:cs="Arial"/>
          <w:color w:val="222222"/>
          <w:spacing w:val="6"/>
          <w:kern w:val="0"/>
          <w:sz w:val="32"/>
          <w:szCs w:val="32"/>
        </w:rPr>
        <w:t>（二）局领导主持召开的各类专题会议，各领导小组、工作小组等非常设机构重要会议；</w:t>
      </w:r>
    </w:p>
    <w:p w14:paraId="0FB77C37">
      <w:pPr>
        <w:widowControl/>
        <w:spacing w:line="560" w:lineRule="exact"/>
        <w:ind w:firstLine="645"/>
        <w:jc w:val="left"/>
        <w:rPr>
          <w:rFonts w:ascii="仿宋" w:hAnsi="仿宋" w:eastAsia="仿宋" w:cs="Arial"/>
          <w:color w:val="222222"/>
          <w:spacing w:val="6"/>
          <w:kern w:val="0"/>
          <w:sz w:val="32"/>
          <w:szCs w:val="32"/>
        </w:rPr>
      </w:pPr>
      <w:r>
        <w:rPr>
          <w:rFonts w:hint="eastAsia" w:ascii="仿宋" w:hAnsi="仿宋" w:eastAsia="仿宋" w:cs="Arial"/>
          <w:color w:val="222222"/>
          <w:spacing w:val="6"/>
          <w:kern w:val="0"/>
          <w:sz w:val="32"/>
          <w:szCs w:val="32"/>
        </w:rPr>
        <w:t>（三）各类业务协调（部署）会议；部门议事决策会议，各级党组织会议；</w:t>
      </w:r>
    </w:p>
    <w:p w14:paraId="00AFE82B">
      <w:pPr>
        <w:widowControl/>
        <w:spacing w:line="560" w:lineRule="exact"/>
        <w:ind w:firstLine="645"/>
        <w:jc w:val="left"/>
        <w:rPr>
          <w:rFonts w:ascii="仿宋" w:hAnsi="仿宋" w:eastAsia="仿宋" w:cs="Arial"/>
          <w:color w:val="222222"/>
          <w:spacing w:val="6"/>
          <w:kern w:val="0"/>
          <w:sz w:val="32"/>
          <w:szCs w:val="32"/>
        </w:rPr>
      </w:pPr>
      <w:r>
        <w:rPr>
          <w:rFonts w:hint="eastAsia" w:ascii="仿宋" w:hAnsi="仿宋" w:eastAsia="仿宋" w:cs="Arial"/>
          <w:color w:val="222222"/>
          <w:spacing w:val="6"/>
          <w:kern w:val="0"/>
          <w:sz w:val="32"/>
          <w:szCs w:val="32"/>
        </w:rPr>
        <w:t>（四）其他需要过程性记录的会议。</w:t>
      </w:r>
    </w:p>
    <w:p w14:paraId="5CC82BC8">
      <w:pPr>
        <w:widowControl/>
        <w:spacing w:line="560" w:lineRule="exact"/>
        <w:ind w:firstLine="645"/>
        <w:jc w:val="left"/>
        <w:rPr>
          <w:rFonts w:ascii="黑体" w:hAnsi="黑体" w:eastAsia="黑体" w:cs="Arial"/>
          <w:color w:val="222222"/>
          <w:spacing w:val="6"/>
          <w:kern w:val="0"/>
          <w:sz w:val="32"/>
          <w:szCs w:val="32"/>
        </w:rPr>
      </w:pPr>
      <w:r>
        <w:rPr>
          <w:rFonts w:hint="eastAsia" w:ascii="黑体" w:hAnsi="黑体" w:eastAsia="黑体" w:cs="Arial"/>
          <w:color w:val="222222"/>
          <w:spacing w:val="6"/>
          <w:kern w:val="0"/>
          <w:sz w:val="32"/>
          <w:szCs w:val="32"/>
        </w:rPr>
        <w:t>第二条 基本要求</w:t>
      </w:r>
    </w:p>
    <w:p w14:paraId="4767BC92">
      <w:pPr>
        <w:widowControl/>
        <w:spacing w:line="560" w:lineRule="exact"/>
        <w:ind w:firstLine="645"/>
        <w:jc w:val="left"/>
        <w:rPr>
          <w:rFonts w:ascii="仿宋" w:hAnsi="仿宋" w:eastAsia="仿宋" w:cs="Arial"/>
          <w:color w:val="222222"/>
          <w:spacing w:val="6"/>
          <w:kern w:val="0"/>
          <w:sz w:val="32"/>
          <w:szCs w:val="32"/>
        </w:rPr>
      </w:pPr>
      <w:r>
        <w:rPr>
          <w:rFonts w:hint="eastAsia" w:ascii="仿宋" w:hAnsi="仿宋" w:eastAsia="仿宋" w:cs="Arial"/>
          <w:color w:val="222222"/>
          <w:spacing w:val="6"/>
          <w:kern w:val="0"/>
          <w:sz w:val="32"/>
          <w:szCs w:val="32"/>
        </w:rPr>
        <w:t>会议记录的基本要求是：结构完整、内容真实、词句准确、书面整洁。</w:t>
      </w:r>
    </w:p>
    <w:p w14:paraId="2D4C034A">
      <w:pPr>
        <w:widowControl/>
        <w:spacing w:line="560" w:lineRule="exact"/>
        <w:ind w:firstLine="645"/>
        <w:jc w:val="left"/>
        <w:rPr>
          <w:rFonts w:ascii="楷体" w:hAnsi="楷体" w:eastAsia="楷体" w:cs="楷体"/>
          <w:color w:val="222222"/>
          <w:spacing w:val="6"/>
          <w:kern w:val="0"/>
          <w:sz w:val="32"/>
          <w:szCs w:val="32"/>
        </w:rPr>
      </w:pPr>
      <w:r>
        <w:rPr>
          <w:rFonts w:hint="eastAsia" w:ascii="仿宋" w:hAnsi="仿宋" w:eastAsia="仿宋" w:cs="Arial"/>
          <w:color w:val="222222"/>
          <w:spacing w:val="6"/>
          <w:kern w:val="0"/>
          <w:sz w:val="32"/>
          <w:szCs w:val="32"/>
        </w:rPr>
        <w:t>（一）</w:t>
      </w:r>
      <w:r>
        <w:rPr>
          <w:rFonts w:hint="eastAsia" w:ascii="楷体" w:hAnsi="楷体" w:eastAsia="楷体" w:cs="楷体"/>
          <w:color w:val="222222"/>
          <w:spacing w:val="6"/>
          <w:kern w:val="0"/>
          <w:sz w:val="32"/>
          <w:szCs w:val="32"/>
        </w:rPr>
        <w:t>结构完整</w:t>
      </w:r>
    </w:p>
    <w:p w14:paraId="2133D430">
      <w:pPr>
        <w:widowControl/>
        <w:spacing w:line="560" w:lineRule="exact"/>
        <w:ind w:firstLine="645"/>
        <w:jc w:val="left"/>
        <w:rPr>
          <w:rFonts w:ascii="仿宋" w:hAnsi="仿宋" w:eastAsia="仿宋" w:cs="Arial"/>
          <w:color w:val="222222"/>
          <w:spacing w:val="6"/>
          <w:kern w:val="0"/>
          <w:sz w:val="32"/>
          <w:szCs w:val="32"/>
        </w:rPr>
      </w:pPr>
      <w:r>
        <w:rPr>
          <w:rFonts w:hint="eastAsia" w:ascii="仿宋" w:hAnsi="仿宋" w:eastAsia="仿宋" w:cs="Arial"/>
          <w:color w:val="222222"/>
          <w:spacing w:val="6"/>
          <w:kern w:val="0"/>
          <w:sz w:val="32"/>
          <w:szCs w:val="32"/>
        </w:rPr>
        <w:t>1、会议基本情况：包括会议名称、时间、地点、主持人、出席人、列席人、缺席人、记录人等，缺席者应注明原因；</w:t>
      </w:r>
    </w:p>
    <w:p w14:paraId="1C9F7DB3">
      <w:pPr>
        <w:widowControl/>
        <w:spacing w:line="560" w:lineRule="exact"/>
        <w:ind w:firstLine="645"/>
        <w:jc w:val="left"/>
        <w:rPr>
          <w:rFonts w:ascii="仿宋" w:hAnsi="仿宋" w:eastAsia="仿宋" w:cs="Arial"/>
          <w:color w:val="222222"/>
          <w:spacing w:val="6"/>
          <w:kern w:val="0"/>
          <w:sz w:val="32"/>
          <w:szCs w:val="32"/>
        </w:rPr>
      </w:pPr>
      <w:r>
        <w:rPr>
          <w:rFonts w:hint="eastAsia" w:ascii="仿宋" w:hAnsi="仿宋" w:eastAsia="仿宋" w:cs="Arial"/>
          <w:color w:val="222222"/>
          <w:spacing w:val="6"/>
          <w:kern w:val="0"/>
          <w:sz w:val="32"/>
          <w:szCs w:val="32"/>
        </w:rPr>
        <w:t>2、会议内容：包括会议研究事项，汇报人姓名及汇报内容，与会人员发言、讨论情况，决议事项等；</w:t>
      </w:r>
    </w:p>
    <w:p w14:paraId="06AF2F8F">
      <w:pPr>
        <w:widowControl/>
        <w:spacing w:line="560" w:lineRule="exact"/>
        <w:ind w:firstLine="645"/>
        <w:jc w:val="left"/>
        <w:rPr>
          <w:rFonts w:ascii="仿宋" w:hAnsi="仿宋" w:eastAsia="仿宋" w:cs="Arial"/>
          <w:color w:val="222222"/>
          <w:spacing w:val="6"/>
          <w:kern w:val="0"/>
          <w:sz w:val="32"/>
          <w:szCs w:val="32"/>
        </w:rPr>
      </w:pPr>
      <w:r>
        <w:rPr>
          <w:rFonts w:hint="eastAsia" w:ascii="仿宋" w:hAnsi="仿宋" w:eastAsia="仿宋" w:cs="Arial"/>
          <w:color w:val="222222"/>
          <w:spacing w:val="6"/>
          <w:kern w:val="0"/>
          <w:sz w:val="32"/>
          <w:szCs w:val="32"/>
        </w:rPr>
        <w:t>3、必要时出席人员应签名。</w:t>
      </w:r>
    </w:p>
    <w:p w14:paraId="214E7208">
      <w:pPr>
        <w:widowControl/>
        <w:spacing w:line="560" w:lineRule="exact"/>
        <w:ind w:firstLine="645"/>
        <w:jc w:val="left"/>
        <w:rPr>
          <w:rFonts w:ascii="楷体" w:hAnsi="楷体" w:eastAsia="楷体" w:cs="楷体"/>
          <w:color w:val="222222"/>
          <w:spacing w:val="6"/>
          <w:kern w:val="0"/>
          <w:sz w:val="32"/>
          <w:szCs w:val="32"/>
        </w:rPr>
      </w:pPr>
      <w:r>
        <w:rPr>
          <w:rFonts w:hint="eastAsia" w:ascii="仿宋" w:hAnsi="仿宋" w:eastAsia="仿宋" w:cs="Arial"/>
          <w:color w:val="222222"/>
          <w:spacing w:val="6"/>
          <w:kern w:val="0"/>
          <w:sz w:val="32"/>
          <w:szCs w:val="32"/>
        </w:rPr>
        <w:t>（二）</w:t>
      </w:r>
      <w:r>
        <w:rPr>
          <w:rFonts w:hint="eastAsia" w:ascii="楷体" w:hAnsi="楷体" w:eastAsia="楷体" w:cs="楷体"/>
          <w:color w:val="222222"/>
          <w:spacing w:val="6"/>
          <w:kern w:val="0"/>
          <w:sz w:val="32"/>
          <w:szCs w:val="32"/>
        </w:rPr>
        <w:t>内容真实</w:t>
      </w:r>
    </w:p>
    <w:p w14:paraId="11F42ACB">
      <w:pPr>
        <w:widowControl/>
        <w:spacing w:line="560" w:lineRule="exact"/>
        <w:ind w:firstLine="645"/>
        <w:jc w:val="left"/>
        <w:rPr>
          <w:rFonts w:ascii="仿宋" w:hAnsi="仿宋" w:eastAsia="仿宋" w:cs="Arial"/>
          <w:color w:val="222222"/>
          <w:spacing w:val="6"/>
          <w:kern w:val="0"/>
          <w:sz w:val="32"/>
          <w:szCs w:val="32"/>
        </w:rPr>
      </w:pPr>
      <w:r>
        <w:rPr>
          <w:rFonts w:hint="eastAsia" w:ascii="仿宋" w:hAnsi="仿宋" w:eastAsia="仿宋" w:cs="Arial"/>
          <w:color w:val="222222"/>
          <w:spacing w:val="6"/>
          <w:kern w:val="0"/>
          <w:sz w:val="32"/>
          <w:szCs w:val="32"/>
        </w:rPr>
        <w:t>会议记录的主要内容为：会议讨论的焦点及发言者的主要观点或意见；会议主持人的总结性讲话内容；会议决议事项。</w:t>
      </w:r>
    </w:p>
    <w:p w14:paraId="730ABC6D">
      <w:pPr>
        <w:widowControl/>
        <w:spacing w:line="560" w:lineRule="exact"/>
        <w:ind w:firstLine="645"/>
        <w:jc w:val="left"/>
        <w:rPr>
          <w:rFonts w:ascii="仿宋" w:hAnsi="仿宋" w:eastAsia="仿宋" w:cs="Arial"/>
          <w:color w:val="222222"/>
          <w:spacing w:val="6"/>
          <w:kern w:val="0"/>
          <w:sz w:val="32"/>
          <w:szCs w:val="32"/>
        </w:rPr>
      </w:pPr>
      <w:r>
        <w:rPr>
          <w:rFonts w:hint="eastAsia" w:ascii="仿宋" w:hAnsi="仿宋" w:eastAsia="仿宋" w:cs="Arial"/>
          <w:color w:val="222222"/>
          <w:spacing w:val="6"/>
          <w:kern w:val="0"/>
          <w:sz w:val="32"/>
          <w:szCs w:val="32"/>
        </w:rPr>
        <w:t>会议记录必须实事求是，尽可能完整地记下发言者的原话，忠实于发言者的原意，客观地记载会议情况，真实地反映会议的内容和全过程，不得任意增删和改动。记录要突出重点，有详有略，重要的内容和发言要详记，不重要的或与会议无关的可以略记或不记。</w:t>
      </w:r>
    </w:p>
    <w:p w14:paraId="566F9035">
      <w:pPr>
        <w:widowControl/>
        <w:spacing w:line="560" w:lineRule="exact"/>
        <w:ind w:firstLine="645"/>
        <w:jc w:val="left"/>
        <w:rPr>
          <w:rFonts w:ascii="楷体" w:hAnsi="楷体" w:eastAsia="楷体" w:cs="楷体"/>
          <w:color w:val="222222"/>
          <w:spacing w:val="6"/>
          <w:kern w:val="0"/>
          <w:sz w:val="32"/>
          <w:szCs w:val="32"/>
        </w:rPr>
      </w:pPr>
      <w:r>
        <w:rPr>
          <w:rFonts w:hint="eastAsia" w:ascii="仿宋" w:hAnsi="仿宋" w:eastAsia="仿宋" w:cs="Arial"/>
          <w:color w:val="222222"/>
          <w:spacing w:val="6"/>
          <w:kern w:val="0"/>
          <w:sz w:val="32"/>
          <w:szCs w:val="32"/>
        </w:rPr>
        <w:t>（三）</w:t>
      </w:r>
      <w:r>
        <w:rPr>
          <w:rFonts w:hint="eastAsia" w:ascii="楷体" w:hAnsi="楷体" w:eastAsia="楷体" w:cs="楷体"/>
          <w:color w:val="222222"/>
          <w:spacing w:val="6"/>
          <w:kern w:val="0"/>
          <w:sz w:val="32"/>
          <w:szCs w:val="32"/>
        </w:rPr>
        <w:t>词句准确</w:t>
      </w:r>
    </w:p>
    <w:p w14:paraId="7728344A">
      <w:pPr>
        <w:widowControl/>
        <w:spacing w:line="560" w:lineRule="exact"/>
        <w:ind w:firstLine="645"/>
        <w:jc w:val="left"/>
        <w:rPr>
          <w:rFonts w:ascii="仿宋" w:hAnsi="仿宋" w:eastAsia="仿宋" w:cs="Arial"/>
          <w:color w:val="222222"/>
          <w:spacing w:val="6"/>
          <w:kern w:val="0"/>
          <w:sz w:val="32"/>
          <w:szCs w:val="32"/>
        </w:rPr>
      </w:pPr>
      <w:r>
        <w:rPr>
          <w:rFonts w:hint="eastAsia" w:ascii="仿宋" w:hAnsi="仿宋" w:eastAsia="仿宋" w:cs="Arial"/>
          <w:color w:val="222222"/>
          <w:spacing w:val="6"/>
          <w:kern w:val="0"/>
          <w:sz w:val="32"/>
          <w:szCs w:val="32"/>
        </w:rPr>
        <w:t>会议记录要用词准确、语句通顺，不能产生曲解和疏漏，主要领导的发言、对关键问题、有争议问题的发言，要准确记下原话。对没有听清楚或发言者表达不清楚的，不能凭主观想象任意推断，应找发言者本人进行核实。</w:t>
      </w:r>
    </w:p>
    <w:p w14:paraId="0E4CF5CF">
      <w:pPr>
        <w:widowControl/>
        <w:spacing w:line="560" w:lineRule="exact"/>
        <w:ind w:firstLine="645"/>
        <w:jc w:val="left"/>
        <w:rPr>
          <w:rFonts w:ascii="楷体" w:hAnsi="楷体" w:eastAsia="楷体" w:cs="楷体"/>
          <w:color w:val="222222"/>
          <w:spacing w:val="6"/>
          <w:kern w:val="0"/>
          <w:sz w:val="32"/>
          <w:szCs w:val="32"/>
        </w:rPr>
      </w:pPr>
      <w:r>
        <w:rPr>
          <w:rFonts w:hint="eastAsia" w:ascii="仿宋" w:hAnsi="仿宋" w:eastAsia="仿宋" w:cs="Arial"/>
          <w:color w:val="222222"/>
          <w:spacing w:val="6"/>
          <w:kern w:val="0"/>
          <w:sz w:val="32"/>
          <w:szCs w:val="32"/>
        </w:rPr>
        <w:t>（四）</w:t>
      </w:r>
      <w:r>
        <w:rPr>
          <w:rFonts w:hint="eastAsia" w:ascii="楷体" w:hAnsi="楷体" w:eastAsia="楷体" w:cs="楷体"/>
          <w:color w:val="222222"/>
          <w:spacing w:val="6"/>
          <w:kern w:val="0"/>
          <w:sz w:val="32"/>
          <w:szCs w:val="32"/>
        </w:rPr>
        <w:t>书面整洁</w:t>
      </w:r>
    </w:p>
    <w:p w14:paraId="3C313561">
      <w:pPr>
        <w:widowControl/>
        <w:spacing w:line="560" w:lineRule="exact"/>
        <w:ind w:firstLine="645"/>
        <w:jc w:val="left"/>
        <w:rPr>
          <w:rFonts w:ascii="仿宋" w:hAnsi="仿宋" w:eastAsia="仿宋" w:cs="Arial"/>
          <w:color w:val="222222"/>
          <w:spacing w:val="6"/>
          <w:kern w:val="0"/>
          <w:sz w:val="32"/>
          <w:szCs w:val="32"/>
        </w:rPr>
      </w:pPr>
      <w:r>
        <w:rPr>
          <w:rFonts w:hint="eastAsia" w:ascii="仿宋" w:hAnsi="仿宋" w:eastAsia="仿宋" w:cs="Arial"/>
          <w:color w:val="222222"/>
          <w:spacing w:val="6"/>
          <w:kern w:val="0"/>
          <w:sz w:val="32"/>
          <w:szCs w:val="32"/>
        </w:rPr>
        <w:t>会议记录的书写格式应规范、统一，不同的会议、不同的议题、不同与会者的发言、不同的发言内容，其分页、段落、起行要清清楚楚，一目了然。书写尽可能工整、清晰。</w:t>
      </w:r>
    </w:p>
    <w:p w14:paraId="39B11734">
      <w:pPr>
        <w:widowControl/>
        <w:spacing w:line="560" w:lineRule="exact"/>
        <w:ind w:firstLine="645"/>
        <w:jc w:val="left"/>
        <w:rPr>
          <w:rFonts w:ascii="黑体" w:hAnsi="黑体" w:eastAsia="黑体" w:cs="Arial"/>
          <w:color w:val="222222"/>
          <w:spacing w:val="6"/>
          <w:kern w:val="0"/>
          <w:sz w:val="32"/>
          <w:szCs w:val="32"/>
        </w:rPr>
      </w:pPr>
      <w:r>
        <w:rPr>
          <w:rFonts w:hint="eastAsia" w:ascii="黑体" w:hAnsi="黑体" w:eastAsia="黑体" w:cs="Arial"/>
          <w:color w:val="222222"/>
          <w:spacing w:val="6"/>
          <w:kern w:val="0"/>
          <w:sz w:val="32"/>
          <w:szCs w:val="32"/>
        </w:rPr>
        <w:t>第三条 其他要求</w:t>
      </w:r>
    </w:p>
    <w:p w14:paraId="5A535A20">
      <w:pPr>
        <w:widowControl/>
        <w:spacing w:line="560" w:lineRule="exact"/>
        <w:ind w:firstLine="645"/>
        <w:jc w:val="left"/>
        <w:rPr>
          <w:rFonts w:ascii="仿宋" w:hAnsi="仿宋" w:eastAsia="仿宋" w:cs="Arial"/>
          <w:color w:val="222222"/>
          <w:spacing w:val="6"/>
          <w:kern w:val="0"/>
          <w:sz w:val="32"/>
          <w:szCs w:val="32"/>
        </w:rPr>
      </w:pPr>
      <w:r>
        <w:rPr>
          <w:rFonts w:hint="eastAsia" w:ascii="仿宋" w:hAnsi="仿宋" w:eastAsia="仿宋" w:cs="Arial"/>
          <w:color w:val="222222"/>
          <w:spacing w:val="6"/>
          <w:kern w:val="0"/>
          <w:sz w:val="32"/>
          <w:szCs w:val="32"/>
        </w:rPr>
        <w:t>（一）党组会议由机关党委记录、局长办公会由办公室记录，各科室、直属单位也应安排专人记录、专人保管、及时归档；其他需要保存的资料也应一并保管（或归档）备查。保管人员工作变动时，应及时办理交接手续。</w:t>
      </w:r>
    </w:p>
    <w:p w14:paraId="699DC0AC">
      <w:pPr>
        <w:widowControl/>
        <w:spacing w:line="560" w:lineRule="exact"/>
        <w:ind w:firstLine="645"/>
        <w:jc w:val="left"/>
        <w:rPr>
          <w:rFonts w:ascii="仿宋" w:hAnsi="仿宋" w:eastAsia="仿宋" w:cs="Arial"/>
          <w:color w:val="222222"/>
          <w:spacing w:val="6"/>
          <w:kern w:val="0"/>
          <w:sz w:val="32"/>
          <w:szCs w:val="32"/>
        </w:rPr>
      </w:pPr>
      <w:r>
        <w:rPr>
          <w:rFonts w:hint="eastAsia" w:ascii="仿宋" w:hAnsi="仿宋" w:eastAsia="仿宋" w:cs="Arial"/>
          <w:color w:val="222222"/>
          <w:spacing w:val="6"/>
          <w:kern w:val="0"/>
          <w:sz w:val="32"/>
          <w:szCs w:val="32"/>
        </w:rPr>
        <w:t>（二）会议记录人不得随意外传会议内容；其他人员未经允许不得阅看会议记录，如确需查询需经会议主持人同意。</w:t>
      </w:r>
    </w:p>
    <w:p w14:paraId="1C783007">
      <w:pPr>
        <w:widowControl/>
        <w:spacing w:line="560" w:lineRule="exact"/>
        <w:ind w:firstLine="645"/>
        <w:jc w:val="left"/>
        <w:rPr>
          <w:rFonts w:ascii="仿宋" w:hAnsi="仿宋" w:eastAsia="仿宋" w:cs="Arial"/>
          <w:color w:val="222222"/>
          <w:spacing w:val="6"/>
          <w:kern w:val="0"/>
          <w:sz w:val="32"/>
          <w:szCs w:val="32"/>
        </w:rPr>
      </w:pPr>
      <w:r>
        <w:rPr>
          <w:rFonts w:hint="eastAsia" w:ascii="仿宋" w:hAnsi="仿宋" w:eastAsia="仿宋" w:cs="Arial"/>
          <w:color w:val="222222"/>
          <w:spacing w:val="6"/>
          <w:kern w:val="0"/>
          <w:sz w:val="32"/>
          <w:szCs w:val="32"/>
        </w:rPr>
        <w:t>（三）会议记录应按会议时间先后顺序依次连续记录，不得跳页和拆页，也不得插页。</w:t>
      </w:r>
    </w:p>
    <w:p w14:paraId="2E97AA31">
      <w:pPr>
        <w:widowControl/>
        <w:spacing w:line="560" w:lineRule="exact"/>
        <w:ind w:firstLine="645"/>
        <w:jc w:val="left"/>
        <w:rPr>
          <w:rFonts w:ascii="仿宋" w:hAnsi="仿宋" w:eastAsia="仿宋" w:cs="Arial"/>
          <w:color w:val="222222"/>
          <w:spacing w:val="6"/>
          <w:kern w:val="0"/>
          <w:sz w:val="32"/>
          <w:szCs w:val="32"/>
        </w:rPr>
      </w:pPr>
      <w:r>
        <w:rPr>
          <w:rFonts w:hint="eastAsia" w:ascii="仿宋" w:hAnsi="仿宋" w:eastAsia="仿宋" w:cs="Arial"/>
          <w:color w:val="222222"/>
          <w:spacing w:val="6"/>
          <w:kern w:val="0"/>
          <w:sz w:val="32"/>
          <w:szCs w:val="32"/>
        </w:rPr>
        <w:t>（四）同一类别会议的记录本规格、式样应相对统一和固定。不同种类的会议，记录本应当分开，并在封面标明会议类别。</w:t>
      </w:r>
    </w:p>
    <w:p w14:paraId="0338CD16">
      <w:pPr>
        <w:rPr>
          <w:rFonts w:ascii="仿宋" w:hAnsi="仿宋" w:eastAsia="仿宋" w:cs="Arial"/>
          <w:color w:val="222222"/>
          <w:spacing w:val="6"/>
          <w:kern w:val="0"/>
          <w:sz w:val="32"/>
          <w:szCs w:val="32"/>
        </w:rPr>
      </w:pPr>
      <w:r>
        <w:rPr>
          <w:rFonts w:hint="eastAsia" w:ascii="仿宋" w:hAnsi="仿宋" w:eastAsia="仿宋" w:cs="Arial"/>
          <w:color w:val="222222"/>
          <w:spacing w:val="6"/>
          <w:kern w:val="0"/>
          <w:sz w:val="32"/>
          <w:szCs w:val="32"/>
        </w:rPr>
        <w:br w:type="page"/>
      </w:r>
    </w:p>
    <w:p w14:paraId="5D0CC7BB">
      <w:pPr>
        <w:pStyle w:val="7"/>
        <w:spacing w:before="0" w:beforeAutospacing="0" w:after="0" w:afterAutospacing="0" w:line="560" w:lineRule="exact"/>
        <w:jc w:val="center"/>
        <w:rPr>
          <w:rFonts w:eastAsia="方正小标宋_GBK"/>
          <w:sz w:val="44"/>
          <w:szCs w:val="44"/>
        </w:rPr>
      </w:pPr>
      <w:r>
        <w:rPr>
          <w:rFonts w:hint="eastAsia" w:ascii="方正小标宋_GBK" w:hAnsi="方正小标宋_GBK" w:eastAsia="方正小标宋_GBK" w:cs="方正小标宋_GBK"/>
          <w:sz w:val="44"/>
          <w:szCs w:val="44"/>
        </w:rPr>
        <w:t>白城市司法局轮岗交流制度</w:t>
      </w:r>
    </w:p>
    <w:p w14:paraId="5F961765">
      <w:pPr>
        <w:pStyle w:val="7"/>
        <w:spacing w:before="0" w:beforeAutospacing="0" w:after="0" w:afterAutospacing="0" w:line="560" w:lineRule="exact"/>
        <w:ind w:firstLine="640" w:firstLineChars="200"/>
        <w:rPr>
          <w:rFonts w:ascii="仿宋" w:hAnsi="仿宋" w:eastAsia="仿宋"/>
          <w:sz w:val="32"/>
          <w:szCs w:val="32"/>
        </w:rPr>
      </w:pPr>
    </w:p>
    <w:p w14:paraId="082BB750">
      <w:pPr>
        <w:pStyle w:val="7"/>
        <w:spacing w:before="0" w:beforeAutospacing="0" w:after="0" w:afterAutospacing="0" w:line="560" w:lineRule="exact"/>
        <w:ind w:firstLine="640" w:firstLineChars="200"/>
        <w:rPr>
          <w:rFonts w:ascii="仿宋" w:hAnsi="仿宋" w:eastAsia="仿宋"/>
          <w:sz w:val="32"/>
          <w:szCs w:val="32"/>
        </w:rPr>
      </w:pPr>
      <w:r>
        <w:rPr>
          <w:rFonts w:hint="eastAsia" w:ascii="仿宋" w:hAnsi="仿宋" w:eastAsia="仿宋"/>
          <w:sz w:val="32"/>
          <w:szCs w:val="32"/>
        </w:rPr>
        <w:t>为进一步深化干部人事制度改革，完善干部队伍管理的竞争、激励机制，促进优秀人才脱颖而出，提升干部职工队伍整体素质，为推动全市司法行政工作又好又快发展提供强有力的人才支撑。根据公务员法等有关文件精神，经研究决定，在中层干部、工作人员中实行轮岗。现结合本局实际，制定本制度。</w:t>
      </w:r>
    </w:p>
    <w:p w14:paraId="3C5A4F36">
      <w:pPr>
        <w:pStyle w:val="7"/>
        <w:spacing w:before="0" w:beforeAutospacing="0" w:after="0" w:afterAutospacing="0" w:line="560" w:lineRule="exact"/>
        <w:ind w:firstLine="643" w:firstLineChars="200"/>
        <w:rPr>
          <w:rFonts w:ascii="仿宋" w:hAnsi="仿宋" w:eastAsia="仿宋"/>
          <w:sz w:val="32"/>
          <w:szCs w:val="32"/>
        </w:rPr>
      </w:pPr>
      <w:r>
        <w:rPr>
          <w:rFonts w:hint="eastAsia" w:ascii="仿宋" w:hAnsi="仿宋" w:eastAsia="仿宋"/>
          <w:b/>
          <w:bCs/>
          <w:sz w:val="32"/>
          <w:szCs w:val="32"/>
        </w:rPr>
        <w:t>第一条</w:t>
      </w:r>
      <w:r>
        <w:rPr>
          <w:rFonts w:hint="eastAsia" w:ascii="仿宋" w:hAnsi="仿宋" w:eastAsia="仿宋"/>
          <w:sz w:val="32"/>
          <w:szCs w:val="32"/>
        </w:rPr>
        <w:t xml:space="preserve"> 合理配置，规避风险。通过定期轮岗制度来防止腐败，采取岗位轮换的方式可以防范管理风险或道德、法律风险。</w:t>
      </w:r>
    </w:p>
    <w:p w14:paraId="33B86EEA">
      <w:pPr>
        <w:pStyle w:val="7"/>
        <w:spacing w:before="0" w:beforeAutospacing="0" w:after="0" w:afterAutospacing="0" w:line="560" w:lineRule="exact"/>
        <w:ind w:firstLine="643" w:firstLineChars="200"/>
        <w:jc w:val="both"/>
        <w:rPr>
          <w:rFonts w:ascii="仿宋" w:hAnsi="仿宋" w:eastAsia="仿宋"/>
          <w:sz w:val="32"/>
          <w:szCs w:val="32"/>
        </w:rPr>
      </w:pPr>
      <w:r>
        <w:rPr>
          <w:rFonts w:hint="eastAsia" w:ascii="仿宋" w:hAnsi="仿宋" w:eastAsia="仿宋"/>
          <w:b/>
          <w:bCs/>
          <w:sz w:val="32"/>
          <w:szCs w:val="32"/>
        </w:rPr>
        <w:t>第二条</w:t>
      </w:r>
      <w:r>
        <w:rPr>
          <w:rFonts w:hint="eastAsia" w:ascii="仿宋" w:hAnsi="仿宋" w:eastAsia="仿宋"/>
          <w:sz w:val="32"/>
          <w:szCs w:val="32"/>
        </w:rPr>
        <w:t xml:space="preserve"> 多岗锻炼，培养人才。通过内部岗位轮换，缓解晋升岗位不足的压力，有效地培养出能够在司法行政工作中独挡一面的复合型人才。</w:t>
      </w:r>
    </w:p>
    <w:p w14:paraId="242E5766">
      <w:pPr>
        <w:pStyle w:val="7"/>
        <w:spacing w:before="0" w:beforeAutospacing="0" w:after="0" w:afterAutospacing="0" w:line="560" w:lineRule="exact"/>
        <w:ind w:firstLine="643" w:firstLineChars="200"/>
        <w:jc w:val="both"/>
        <w:rPr>
          <w:rFonts w:ascii="仿宋" w:hAnsi="仿宋" w:eastAsia="仿宋"/>
          <w:sz w:val="32"/>
          <w:szCs w:val="32"/>
        </w:rPr>
      </w:pPr>
      <w:r>
        <w:rPr>
          <w:rFonts w:hint="eastAsia" w:ascii="仿宋" w:hAnsi="仿宋" w:eastAsia="仿宋"/>
          <w:b/>
          <w:bCs/>
          <w:sz w:val="32"/>
          <w:szCs w:val="32"/>
        </w:rPr>
        <w:t>第三条</w:t>
      </w:r>
      <w:r>
        <w:rPr>
          <w:rFonts w:hint="eastAsia" w:ascii="仿宋" w:hAnsi="仿宋" w:eastAsia="仿宋"/>
          <w:sz w:val="32"/>
          <w:szCs w:val="32"/>
        </w:rPr>
        <w:t xml:space="preserve"> 激励干部，创造宽度。轮岗可以使干部开拓视野、积累人脉资源、发现自己真正的兴趣与能力所在、锻造多方面的能力与经验，从而拓宽干部工作宽度，真正做到“把合适的人用在合适的岗位”，也就是“以人为本”。</w:t>
      </w:r>
    </w:p>
    <w:p w14:paraId="781CEAB8">
      <w:pPr>
        <w:pStyle w:val="7"/>
        <w:spacing w:before="0" w:beforeAutospacing="0" w:after="0" w:afterAutospacing="0" w:line="560" w:lineRule="exact"/>
        <w:ind w:firstLine="643" w:firstLineChars="200"/>
        <w:rPr>
          <w:rFonts w:ascii="仿宋" w:hAnsi="仿宋" w:eastAsia="仿宋"/>
          <w:sz w:val="32"/>
          <w:szCs w:val="32"/>
        </w:rPr>
      </w:pPr>
      <w:r>
        <w:rPr>
          <w:rFonts w:hint="eastAsia" w:ascii="仿宋" w:hAnsi="仿宋" w:eastAsia="仿宋"/>
          <w:b/>
          <w:bCs/>
          <w:sz w:val="32"/>
          <w:szCs w:val="32"/>
        </w:rPr>
        <w:t>第四条</w:t>
      </w:r>
      <w:r>
        <w:rPr>
          <w:rFonts w:hint="eastAsia" w:ascii="仿宋" w:hAnsi="仿宋" w:eastAsia="仿宋"/>
          <w:sz w:val="32"/>
          <w:szCs w:val="32"/>
        </w:rPr>
        <w:t xml:space="preserve"> 轮岗的范围为局各科室、分局、直属事业单位的在职在岗中层干部及职工。</w:t>
      </w:r>
    </w:p>
    <w:p w14:paraId="5BA77578">
      <w:pPr>
        <w:pStyle w:val="7"/>
        <w:spacing w:before="0" w:beforeAutospacing="0" w:after="0" w:afterAutospacing="0" w:line="560" w:lineRule="exact"/>
        <w:ind w:firstLine="643" w:firstLineChars="200"/>
        <w:rPr>
          <w:rFonts w:ascii="仿宋" w:hAnsi="仿宋" w:eastAsia="仿宋"/>
          <w:sz w:val="32"/>
          <w:szCs w:val="32"/>
        </w:rPr>
      </w:pPr>
      <w:r>
        <w:rPr>
          <w:rFonts w:hint="eastAsia" w:ascii="仿宋" w:hAnsi="仿宋" w:eastAsia="仿宋"/>
          <w:b/>
          <w:bCs/>
          <w:sz w:val="32"/>
          <w:szCs w:val="32"/>
        </w:rPr>
        <w:t>第五条</w:t>
      </w:r>
      <w:r>
        <w:rPr>
          <w:rFonts w:hint="eastAsia" w:ascii="仿宋" w:hAnsi="仿宋" w:eastAsia="仿宋"/>
          <w:sz w:val="32"/>
          <w:szCs w:val="32"/>
        </w:rPr>
        <w:t xml:space="preserve"> 由局政治（警务）部提出交流轮岗人选和岗位。</w:t>
      </w:r>
    </w:p>
    <w:p w14:paraId="0743367B">
      <w:pPr>
        <w:pStyle w:val="7"/>
        <w:spacing w:before="0" w:beforeAutospacing="0" w:after="0" w:afterAutospacing="0" w:line="560" w:lineRule="exact"/>
        <w:ind w:firstLine="643" w:firstLineChars="200"/>
        <w:rPr>
          <w:rFonts w:ascii="仿宋" w:hAnsi="仿宋" w:eastAsia="仿宋"/>
          <w:sz w:val="32"/>
          <w:szCs w:val="32"/>
        </w:rPr>
      </w:pPr>
      <w:r>
        <w:rPr>
          <w:rFonts w:hint="eastAsia" w:ascii="仿宋" w:hAnsi="仿宋" w:eastAsia="仿宋"/>
          <w:b/>
          <w:bCs/>
          <w:sz w:val="32"/>
          <w:szCs w:val="32"/>
        </w:rPr>
        <w:t>第六条</w:t>
      </w:r>
      <w:r>
        <w:rPr>
          <w:rFonts w:hint="eastAsia" w:ascii="仿宋" w:hAnsi="仿宋" w:eastAsia="仿宋"/>
          <w:sz w:val="32"/>
          <w:szCs w:val="32"/>
        </w:rPr>
        <w:t xml:space="preserve"> 征求干部交流轮岗部门分管领导意见。</w:t>
      </w:r>
    </w:p>
    <w:p w14:paraId="223CC41D">
      <w:pPr>
        <w:pStyle w:val="7"/>
        <w:spacing w:before="0" w:beforeAutospacing="0" w:after="0" w:afterAutospacing="0" w:line="560" w:lineRule="exact"/>
        <w:ind w:firstLine="643" w:firstLineChars="200"/>
        <w:rPr>
          <w:rFonts w:ascii="仿宋" w:hAnsi="仿宋" w:eastAsia="仿宋"/>
          <w:sz w:val="32"/>
          <w:szCs w:val="32"/>
        </w:rPr>
      </w:pPr>
      <w:r>
        <w:rPr>
          <w:rFonts w:hint="eastAsia" w:ascii="仿宋" w:hAnsi="仿宋" w:eastAsia="仿宋"/>
          <w:b/>
          <w:bCs/>
          <w:sz w:val="32"/>
          <w:szCs w:val="32"/>
        </w:rPr>
        <w:t>第七条</w:t>
      </w:r>
      <w:r>
        <w:rPr>
          <w:rFonts w:hint="eastAsia" w:ascii="仿宋" w:hAnsi="仿宋" w:eastAsia="仿宋"/>
          <w:sz w:val="32"/>
          <w:szCs w:val="32"/>
        </w:rPr>
        <w:t xml:space="preserve"> 召开党组会议讨论研究决定。</w:t>
      </w:r>
    </w:p>
    <w:p w14:paraId="5B5FA61C">
      <w:pPr>
        <w:pStyle w:val="7"/>
        <w:spacing w:before="0" w:beforeAutospacing="0" w:after="0" w:afterAutospacing="0" w:line="560" w:lineRule="exact"/>
        <w:ind w:firstLine="643" w:firstLineChars="200"/>
        <w:rPr>
          <w:rFonts w:ascii="仿宋" w:hAnsi="仿宋" w:eastAsia="仿宋"/>
          <w:sz w:val="32"/>
          <w:szCs w:val="32"/>
        </w:rPr>
      </w:pPr>
      <w:r>
        <w:rPr>
          <w:rFonts w:hint="eastAsia" w:ascii="仿宋" w:hAnsi="仿宋" w:eastAsia="仿宋"/>
          <w:b/>
          <w:bCs/>
          <w:sz w:val="32"/>
          <w:szCs w:val="32"/>
        </w:rPr>
        <w:t>第八条</w:t>
      </w:r>
      <w:r>
        <w:rPr>
          <w:rFonts w:hint="eastAsia" w:ascii="仿宋" w:hAnsi="仿宋" w:eastAsia="仿宋"/>
          <w:sz w:val="32"/>
          <w:szCs w:val="32"/>
        </w:rPr>
        <w:t xml:space="preserve"> 局分管领导与交流轮岗干部谈话，做好思想工作，提出有关要求。</w:t>
      </w:r>
    </w:p>
    <w:p w14:paraId="11441956">
      <w:pPr>
        <w:pStyle w:val="7"/>
        <w:spacing w:before="0" w:beforeAutospacing="0" w:after="0" w:afterAutospacing="0" w:line="560" w:lineRule="exact"/>
        <w:ind w:firstLine="643" w:firstLineChars="200"/>
        <w:rPr>
          <w:rFonts w:ascii="仿宋" w:hAnsi="仿宋" w:eastAsia="仿宋"/>
          <w:sz w:val="32"/>
          <w:szCs w:val="32"/>
        </w:rPr>
      </w:pPr>
      <w:r>
        <w:rPr>
          <w:rFonts w:hint="eastAsia" w:ascii="仿宋" w:hAnsi="仿宋" w:eastAsia="仿宋"/>
          <w:b/>
          <w:bCs/>
          <w:sz w:val="32"/>
          <w:szCs w:val="32"/>
        </w:rPr>
        <w:t>第九条</w:t>
      </w:r>
      <w:r>
        <w:rPr>
          <w:rFonts w:hint="eastAsia" w:ascii="仿宋" w:hAnsi="仿宋" w:eastAsia="仿宋"/>
          <w:sz w:val="32"/>
          <w:szCs w:val="32"/>
        </w:rPr>
        <w:t xml:space="preserve"> 局政治（警务）部行文办理有关手续。</w:t>
      </w:r>
    </w:p>
    <w:p w14:paraId="3541FE32">
      <w:pPr>
        <w:pStyle w:val="7"/>
        <w:spacing w:before="0" w:beforeAutospacing="0" w:after="0" w:afterAutospacing="0" w:line="560" w:lineRule="exact"/>
        <w:ind w:firstLine="643" w:firstLineChars="200"/>
        <w:rPr>
          <w:rFonts w:ascii="仿宋" w:hAnsi="仿宋" w:eastAsia="仿宋"/>
          <w:sz w:val="32"/>
          <w:szCs w:val="32"/>
        </w:rPr>
      </w:pPr>
      <w:r>
        <w:rPr>
          <w:rFonts w:hint="eastAsia" w:ascii="仿宋" w:hAnsi="仿宋" w:eastAsia="仿宋"/>
          <w:b/>
          <w:bCs/>
          <w:sz w:val="32"/>
          <w:szCs w:val="32"/>
        </w:rPr>
        <w:t>第十条</w:t>
      </w:r>
      <w:r>
        <w:rPr>
          <w:rFonts w:hint="eastAsia" w:ascii="仿宋" w:hAnsi="仿宋" w:eastAsia="仿宋"/>
          <w:sz w:val="32"/>
          <w:szCs w:val="32"/>
        </w:rPr>
        <w:t xml:space="preserve"> 已明确即将交流轮岗的干部职工，在做好交接工作的基础上，尽快到岗。</w:t>
      </w:r>
    </w:p>
    <w:p w14:paraId="0884B0F0">
      <w:pPr>
        <w:pStyle w:val="7"/>
        <w:spacing w:before="0" w:beforeAutospacing="0" w:after="0" w:afterAutospacing="0" w:line="560" w:lineRule="exact"/>
        <w:ind w:firstLine="643" w:firstLineChars="200"/>
        <w:rPr>
          <w:rFonts w:ascii="仿宋" w:hAnsi="仿宋" w:eastAsia="仿宋"/>
          <w:sz w:val="32"/>
          <w:szCs w:val="32"/>
        </w:rPr>
      </w:pPr>
      <w:r>
        <w:rPr>
          <w:rFonts w:hint="eastAsia" w:ascii="仿宋" w:hAnsi="仿宋" w:eastAsia="仿宋"/>
          <w:b/>
          <w:bCs/>
          <w:sz w:val="32"/>
          <w:szCs w:val="32"/>
        </w:rPr>
        <w:t>第十一条</w:t>
      </w:r>
      <w:r>
        <w:rPr>
          <w:rFonts w:hint="eastAsia" w:ascii="仿宋" w:hAnsi="仿宋" w:eastAsia="仿宋"/>
          <w:sz w:val="32"/>
          <w:szCs w:val="32"/>
        </w:rPr>
        <w:t xml:space="preserve"> 凡经组织研究决定安排交流轮岗的干部，应自觉服从组织决定，尽快到岗任职。对无正当理由拒不服从组织决定者，要进行批评教育；经批评教育不改者，应予以相应的处分。</w:t>
      </w:r>
    </w:p>
    <w:p w14:paraId="735BE8FB">
      <w:pPr>
        <w:rPr>
          <w:rFonts w:ascii="仿宋" w:hAnsi="仿宋" w:eastAsia="仿宋"/>
          <w:sz w:val="32"/>
          <w:szCs w:val="32"/>
        </w:rPr>
      </w:pPr>
      <w:r>
        <w:rPr>
          <w:rFonts w:hint="eastAsia" w:ascii="仿宋" w:hAnsi="仿宋" w:eastAsia="仿宋"/>
          <w:sz w:val="32"/>
          <w:szCs w:val="32"/>
        </w:rPr>
        <w:br w:type="page"/>
      </w:r>
    </w:p>
    <w:p w14:paraId="5A911B8D">
      <w:pPr>
        <w:pStyle w:val="7"/>
        <w:spacing w:before="0" w:beforeAutospacing="0" w:after="0" w:afterAutospacing="0" w:line="560" w:lineRule="exact"/>
        <w:ind w:firstLine="640" w:firstLineChars="200"/>
        <w:rPr>
          <w:rFonts w:ascii="仿宋" w:hAnsi="仿宋" w:eastAsia="仿宋"/>
          <w:sz w:val="32"/>
          <w:szCs w:val="32"/>
        </w:rPr>
      </w:pPr>
    </w:p>
    <w:p w14:paraId="17A4B988">
      <w:pPr>
        <w:spacing w:line="560" w:lineRule="exact"/>
        <w:jc w:val="center"/>
        <w:rPr>
          <w:rFonts w:ascii="方正小标宋_GBK" w:eastAsia="方正小标宋_GBK"/>
          <w:sz w:val="44"/>
          <w:szCs w:val="44"/>
        </w:rPr>
      </w:pPr>
      <w:r>
        <w:rPr>
          <w:rFonts w:hint="eastAsia" w:ascii="方正小标宋_GBK" w:eastAsia="方正小标宋_GBK"/>
          <w:sz w:val="44"/>
          <w:szCs w:val="44"/>
        </w:rPr>
        <w:t>白城市司法局关于全市司法</w:t>
      </w:r>
    </w:p>
    <w:p w14:paraId="3F73350F">
      <w:pPr>
        <w:spacing w:line="560" w:lineRule="exact"/>
        <w:jc w:val="center"/>
        <w:rPr>
          <w:rFonts w:ascii="方正小标宋_GBK" w:eastAsia="方正小标宋_GBK"/>
          <w:sz w:val="44"/>
          <w:szCs w:val="44"/>
        </w:rPr>
      </w:pPr>
      <w:r>
        <w:rPr>
          <w:rFonts w:hint="eastAsia" w:ascii="方正小标宋_GBK" w:eastAsia="方正小标宋_GBK"/>
          <w:sz w:val="44"/>
          <w:szCs w:val="44"/>
        </w:rPr>
        <w:t>行政机关警务督察工作有关制度</w:t>
      </w:r>
    </w:p>
    <w:p w14:paraId="455CF649">
      <w:pPr>
        <w:spacing w:line="560" w:lineRule="exact"/>
      </w:pPr>
    </w:p>
    <w:p w14:paraId="205838B3">
      <w:pPr>
        <w:spacing w:line="560" w:lineRule="exact"/>
        <w:ind w:firstLine="640" w:firstLineChars="200"/>
        <w:rPr>
          <w:sz w:val="32"/>
          <w:szCs w:val="32"/>
        </w:rPr>
      </w:pPr>
      <w:r>
        <w:rPr>
          <w:rFonts w:hint="eastAsia" w:ascii="仿宋" w:hAnsi="仿宋" w:eastAsia="仿宋" w:cs="仿宋"/>
          <w:sz w:val="32"/>
          <w:szCs w:val="32"/>
        </w:rPr>
        <w:t>为进一步推进推进全市司法行政机关警务督察运行体系科学化、系统化、规范化建设，确保司法行政干警依法履职尽责、行使职权、遵章守纪，特制定本规定。</w:t>
      </w:r>
    </w:p>
    <w:p w14:paraId="64442EDE">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第一章 强化政治督察</w:t>
      </w:r>
    </w:p>
    <w:p w14:paraId="511199F6">
      <w:pPr>
        <w:spacing w:line="560" w:lineRule="exact"/>
        <w:ind w:firstLine="643" w:firstLineChars="200"/>
        <w:rPr>
          <w:rFonts w:ascii="仿宋" w:hAnsi="仿宋" w:eastAsia="仿宋" w:cs="仿宋"/>
          <w:sz w:val="32"/>
          <w:szCs w:val="32"/>
        </w:rPr>
      </w:pPr>
      <w:r>
        <w:rPr>
          <w:rFonts w:hint="eastAsia" w:ascii="楷体" w:hAnsi="楷体" w:eastAsia="楷体"/>
          <w:b/>
          <w:bCs/>
          <w:sz w:val="32"/>
          <w:szCs w:val="32"/>
        </w:rPr>
        <w:t>第一条</w:t>
      </w:r>
      <w:r>
        <w:rPr>
          <w:rFonts w:hint="eastAsia" w:ascii="楷体" w:hAnsi="楷体" w:eastAsia="楷体"/>
          <w:sz w:val="32"/>
          <w:szCs w:val="32"/>
        </w:rPr>
        <w:t xml:space="preserve"> 加强党的政治建设方面的督察。</w:t>
      </w:r>
      <w:r>
        <w:rPr>
          <w:rFonts w:hint="eastAsia" w:ascii="仿宋" w:hAnsi="仿宋" w:eastAsia="仿宋" w:cs="仿宋"/>
          <w:sz w:val="32"/>
          <w:szCs w:val="32"/>
        </w:rPr>
        <w:t>重点对深入学习贯彻习近平新时代中国特色社会主义思想，把习近平新时代中国特色社会主义思想作为党委理论学习中心组学习的主要内容，作为干警学习的中心内容情况：增强“四个意识”、坚定“四个自信”、做到“两个维护”情况；巩固深化“不忘初心，牢记使命”主题教育成果，形成长效机制情况；深入学习贯彻党的十九届四中全会精神，健全完善工作制度，提高干部队伍履职能力情况；市委关于制度建设年建设有关部署落实情况等进行督察。</w:t>
      </w:r>
    </w:p>
    <w:p w14:paraId="43F001F2">
      <w:pPr>
        <w:spacing w:line="560" w:lineRule="exact"/>
        <w:ind w:firstLine="643" w:firstLineChars="200"/>
        <w:rPr>
          <w:rFonts w:ascii="仿宋" w:hAnsi="仿宋" w:eastAsia="仿宋" w:cs="仿宋"/>
          <w:sz w:val="32"/>
          <w:szCs w:val="32"/>
        </w:rPr>
      </w:pPr>
      <w:r>
        <w:rPr>
          <w:rFonts w:hint="eastAsia" w:ascii="楷体" w:hAnsi="楷体" w:eastAsia="楷体"/>
          <w:b/>
          <w:bCs/>
          <w:sz w:val="32"/>
          <w:szCs w:val="32"/>
        </w:rPr>
        <w:t>第二条</w:t>
      </w:r>
      <w:r>
        <w:rPr>
          <w:rFonts w:hint="eastAsia" w:ascii="楷体" w:hAnsi="楷体" w:eastAsia="楷体"/>
          <w:sz w:val="32"/>
          <w:szCs w:val="32"/>
        </w:rPr>
        <w:t xml:space="preserve"> 加强党的绝对领导方面的督察。</w:t>
      </w:r>
      <w:r>
        <w:rPr>
          <w:rFonts w:hint="eastAsia" w:ascii="仿宋" w:hAnsi="仿宋" w:eastAsia="仿宋" w:cs="仿宋"/>
          <w:sz w:val="32"/>
          <w:szCs w:val="32"/>
        </w:rPr>
        <w:t>重点对深入贯彻《中国共产党政法工作条例》《中国共产党重大事项请示报告条例》和省市有关规定，加强党对司法行政工作的绝对领导，严格执行重大事项请示报告制度，把党的绝对领导落到决策、执行、监督等各环节情况进行督察。</w:t>
      </w:r>
    </w:p>
    <w:p w14:paraId="59AAD0BC">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第二章 深化综合督察</w:t>
      </w:r>
    </w:p>
    <w:p w14:paraId="76D126E1">
      <w:pPr>
        <w:spacing w:line="560" w:lineRule="exact"/>
        <w:ind w:firstLine="643" w:firstLineChars="200"/>
        <w:rPr>
          <w:rFonts w:ascii="仿宋" w:hAnsi="仿宋" w:eastAsia="仿宋" w:cs="仿宋"/>
          <w:sz w:val="32"/>
          <w:szCs w:val="32"/>
        </w:rPr>
      </w:pPr>
      <w:r>
        <w:rPr>
          <w:rFonts w:hint="eastAsia" w:ascii="楷体" w:hAnsi="楷体" w:eastAsia="楷体"/>
          <w:b/>
          <w:bCs/>
          <w:sz w:val="32"/>
          <w:szCs w:val="32"/>
        </w:rPr>
        <w:t>第三条</w:t>
      </w:r>
      <w:r>
        <w:rPr>
          <w:rFonts w:hint="eastAsia" w:ascii="楷体" w:hAnsi="楷体" w:eastAsia="楷体"/>
          <w:sz w:val="32"/>
          <w:szCs w:val="32"/>
        </w:rPr>
        <w:t xml:space="preserve"> 贯彻落实重要会议精神方面的督察。</w:t>
      </w:r>
      <w:r>
        <w:rPr>
          <w:rFonts w:hint="eastAsia" w:ascii="仿宋" w:hAnsi="仿宋" w:eastAsia="仿宋" w:cs="仿宋"/>
          <w:sz w:val="32"/>
          <w:szCs w:val="32"/>
        </w:rPr>
        <w:t>重点对贯彻，落实中央政法工作会议、全国司法厅（局）长会议、全省政法工作会议、全省司法行政工作会议和全市司法行政工作会议精神情况等进行督察。</w:t>
      </w:r>
    </w:p>
    <w:p w14:paraId="11D9D3CA">
      <w:pPr>
        <w:spacing w:line="560" w:lineRule="exact"/>
        <w:ind w:firstLine="643" w:firstLineChars="200"/>
        <w:rPr>
          <w:rFonts w:ascii="仿宋" w:hAnsi="仿宋" w:eastAsia="仿宋" w:cs="仿宋"/>
          <w:sz w:val="32"/>
          <w:szCs w:val="32"/>
        </w:rPr>
      </w:pPr>
      <w:r>
        <w:rPr>
          <w:rFonts w:hint="eastAsia" w:ascii="楷体" w:hAnsi="楷体" w:eastAsia="楷体"/>
          <w:b/>
          <w:bCs/>
          <w:sz w:val="32"/>
          <w:szCs w:val="32"/>
        </w:rPr>
        <w:t>第四条</w:t>
      </w:r>
      <w:r>
        <w:rPr>
          <w:rFonts w:hint="eastAsia" w:ascii="楷体" w:hAnsi="楷体" w:eastAsia="楷体"/>
          <w:sz w:val="32"/>
          <w:szCs w:val="32"/>
        </w:rPr>
        <w:t xml:space="preserve"> 贯彻落实重要警务部暑方面的督察。</w:t>
      </w:r>
      <w:r>
        <w:rPr>
          <w:rFonts w:hint="eastAsia" w:ascii="仿宋" w:hAnsi="仿宋" w:eastAsia="仿宋" w:cs="仿宋"/>
          <w:sz w:val="32"/>
          <w:szCs w:val="32"/>
        </w:rPr>
        <w:t>重点对贯彻落实习近平总书记关于新冠肺炎疫情防控工作系列重要指示批示精神和党中央、国务院关于疫情防控各项决策部署执行情况；贯彻落实扫黑除恶专项斗争部署，建立扫黑除恶工作长效机制情况；组织开展深化队伍建设大整顿情况；全国“两会”“国庆”及其他重要节点安全保卫工作组织实施情况等进行督察。</w:t>
      </w:r>
    </w:p>
    <w:p w14:paraId="549AE542">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第三章 细化专项督察</w:t>
      </w:r>
    </w:p>
    <w:p w14:paraId="205055F7">
      <w:pPr>
        <w:spacing w:line="560" w:lineRule="exact"/>
        <w:ind w:firstLine="643" w:firstLineChars="200"/>
        <w:rPr>
          <w:sz w:val="32"/>
          <w:szCs w:val="32"/>
        </w:rPr>
      </w:pPr>
      <w:r>
        <w:rPr>
          <w:rFonts w:hint="eastAsia" w:ascii="楷体" w:hAnsi="楷体" w:eastAsia="楷体"/>
          <w:b/>
          <w:bCs/>
          <w:sz w:val="32"/>
          <w:szCs w:val="32"/>
        </w:rPr>
        <w:t>第五条</w:t>
      </w:r>
      <w:r>
        <w:rPr>
          <w:rFonts w:hint="eastAsia" w:ascii="楷体" w:hAnsi="楷体" w:eastAsia="楷体"/>
          <w:sz w:val="32"/>
          <w:szCs w:val="32"/>
        </w:rPr>
        <w:t xml:space="preserve"> 执法管理方面的督察。</w:t>
      </w:r>
      <w:r>
        <w:rPr>
          <w:rFonts w:hint="eastAsia" w:ascii="仿宋" w:hAnsi="仿宋" w:eastAsia="仿宋" w:cs="仿宋"/>
          <w:sz w:val="32"/>
          <w:szCs w:val="32"/>
        </w:rPr>
        <w:t>重点对依法有序进行戒毒所所务公开，落实会见（探视、探访）、分级处遇管理，劳动生产岗位管理、工种安排和计分考核，戒毒人员调遣、戒毒人员诊断评估、所外就医和变更强制隔离戒毒措施制度情况；加强内防外防联动、安全警戒设施管理、门卫安全检查、外协人员管理、违禁危险物品清查、所情分析研判、重点戒毒人员管理、特珠岗位和勤杂事务岗位戒毒人员管理、戒毒人员生活劳动现场管理、会见和亲情电话管理、安全生产培训、安全生产管理制度执行情况等进行督察。</w:t>
      </w:r>
    </w:p>
    <w:p w14:paraId="016D2536">
      <w:pPr>
        <w:spacing w:line="560" w:lineRule="exact"/>
        <w:ind w:firstLine="643" w:firstLineChars="200"/>
        <w:rPr>
          <w:rFonts w:ascii="仿宋" w:hAnsi="仿宋" w:eastAsia="仿宋" w:cs="仿宋"/>
          <w:sz w:val="32"/>
          <w:szCs w:val="32"/>
        </w:rPr>
      </w:pPr>
      <w:r>
        <w:rPr>
          <w:rFonts w:hint="eastAsia" w:ascii="楷体" w:hAnsi="楷体" w:eastAsia="楷体"/>
          <w:b/>
          <w:bCs/>
          <w:sz w:val="32"/>
          <w:szCs w:val="32"/>
        </w:rPr>
        <w:t>第六条</w:t>
      </w:r>
      <w:r>
        <w:rPr>
          <w:rFonts w:hint="eastAsia" w:ascii="楷体" w:hAnsi="楷体" w:eastAsia="楷体"/>
          <w:sz w:val="32"/>
          <w:szCs w:val="32"/>
        </w:rPr>
        <w:t xml:space="preserve"> 队伍管理方面的督察。</w:t>
      </w:r>
      <w:r>
        <w:rPr>
          <w:rFonts w:hint="eastAsia" w:ascii="仿宋" w:hAnsi="仿宋" w:eastAsia="仿宋" w:cs="仿宋"/>
          <w:sz w:val="32"/>
          <w:szCs w:val="32"/>
        </w:rPr>
        <w:t>重点对推进干警队伍革命化、正规化、专业化、职业化建设情况；加强干警日常管理和八小时以外管理情况；贯彻落实“三项规定”执行情况；整治干预司法活动、插手具体案件、警囚界限不清、充当涉黑涉恶罪犯和其他重点罪犯保护伞问题情况；落实干警值班执勤、文明窗口建设、干警管理教育监督、警察抚恤、津补贴管理、警用装备配备、武器管理、警用车辆管理、着装管理、警械管理制度和警察纪律、警察职业道德规范、警察职业行为规范情况等进行督察。</w:t>
      </w:r>
    </w:p>
    <w:p w14:paraId="397618AB">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第四章 加强督察运行机制建设</w:t>
      </w:r>
    </w:p>
    <w:p w14:paraId="5211C2DD">
      <w:pPr>
        <w:spacing w:line="560" w:lineRule="exact"/>
        <w:ind w:firstLine="643" w:firstLineChars="200"/>
        <w:rPr>
          <w:rFonts w:ascii="仿宋" w:hAnsi="仿宋" w:eastAsia="仿宋" w:cs="仿宋"/>
          <w:sz w:val="32"/>
          <w:szCs w:val="32"/>
        </w:rPr>
      </w:pPr>
      <w:r>
        <w:rPr>
          <w:rFonts w:hint="eastAsia" w:ascii="楷体" w:hAnsi="楷体" w:eastAsia="楷体"/>
          <w:b/>
          <w:bCs/>
          <w:sz w:val="32"/>
          <w:szCs w:val="32"/>
        </w:rPr>
        <w:t>第七条</w:t>
      </w:r>
      <w:r>
        <w:rPr>
          <w:rFonts w:hint="eastAsia" w:ascii="楷体" w:hAnsi="楷体" w:eastAsia="楷体"/>
          <w:sz w:val="32"/>
          <w:szCs w:val="32"/>
        </w:rPr>
        <w:t xml:space="preserve"> 加快督察信息化建设。</w:t>
      </w:r>
      <w:r>
        <w:rPr>
          <w:rFonts w:hint="eastAsia" w:ascii="仿宋" w:hAnsi="仿宋" w:eastAsia="仿宋" w:cs="仿宋"/>
          <w:sz w:val="32"/>
          <w:szCs w:val="32"/>
        </w:rPr>
        <w:t>推进依托指挥中心平台，对戒毒场所警务活动执法行为进行监督检査。</w:t>
      </w:r>
    </w:p>
    <w:p w14:paraId="2198A756">
      <w:pPr>
        <w:spacing w:line="560" w:lineRule="exact"/>
        <w:ind w:firstLine="643" w:firstLineChars="200"/>
        <w:rPr>
          <w:sz w:val="32"/>
          <w:szCs w:val="32"/>
        </w:rPr>
      </w:pPr>
      <w:r>
        <w:rPr>
          <w:rFonts w:hint="eastAsia" w:ascii="楷体" w:hAnsi="楷体" w:eastAsia="楷体"/>
          <w:b/>
          <w:bCs/>
          <w:sz w:val="32"/>
          <w:szCs w:val="32"/>
        </w:rPr>
        <w:t>第八条</w:t>
      </w:r>
      <w:r>
        <w:rPr>
          <w:rFonts w:hint="eastAsia" w:ascii="楷体" w:hAnsi="楷体" w:eastAsia="楷体"/>
          <w:sz w:val="32"/>
          <w:szCs w:val="32"/>
        </w:rPr>
        <w:t xml:space="preserve"> 健全督察整改机制建设。</w:t>
      </w:r>
      <w:r>
        <w:rPr>
          <w:rFonts w:hint="eastAsia" w:ascii="仿宋" w:hAnsi="仿宋" w:eastAsia="仿宋" w:cs="仿宋"/>
          <w:sz w:val="32"/>
          <w:szCs w:val="32"/>
        </w:rPr>
        <w:t>建立督察问题台账，明确整改措施、责任人和整改时限，实行对账销号</w:t>
      </w:r>
      <w:r>
        <w:rPr>
          <w:rFonts w:hint="eastAsia"/>
          <w:sz w:val="32"/>
          <w:szCs w:val="32"/>
        </w:rPr>
        <w:t>。</w:t>
      </w:r>
    </w:p>
    <w:p w14:paraId="695DEC43">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第五章 突出督察队伍素质能力建设</w:t>
      </w:r>
    </w:p>
    <w:p w14:paraId="40AFD41A">
      <w:pPr>
        <w:spacing w:line="560" w:lineRule="exact"/>
        <w:ind w:firstLine="643" w:firstLineChars="200"/>
        <w:rPr>
          <w:rFonts w:ascii="仿宋" w:hAnsi="仿宋" w:eastAsia="仿宋" w:cs="仿宋"/>
          <w:sz w:val="32"/>
          <w:szCs w:val="32"/>
        </w:rPr>
      </w:pPr>
      <w:r>
        <w:rPr>
          <w:rFonts w:hint="eastAsia" w:ascii="楷体" w:hAnsi="楷体" w:eastAsia="楷体"/>
          <w:b/>
          <w:bCs/>
          <w:sz w:val="32"/>
          <w:szCs w:val="32"/>
        </w:rPr>
        <w:t>第九条</w:t>
      </w:r>
      <w:r>
        <w:rPr>
          <w:rFonts w:hint="eastAsia" w:ascii="楷体" w:hAnsi="楷体" w:eastAsia="楷体"/>
          <w:sz w:val="32"/>
          <w:szCs w:val="32"/>
        </w:rPr>
        <w:t xml:space="preserve"> 加强思想政治建设。</w:t>
      </w:r>
      <w:r>
        <w:rPr>
          <w:rFonts w:hint="eastAsia" w:ascii="仿宋" w:hAnsi="仿宋" w:eastAsia="仿宋" w:cs="仿宋"/>
          <w:sz w:val="32"/>
          <w:szCs w:val="32"/>
        </w:rPr>
        <w:t>积极开展政治理论学习，强化政治教育，站稳政治立场，坚定政治方向，不断调高政治敏锐性和政治鉴别力，增强“四个意识”、坚定“四个自信”、做到“两个维护”，在重大问题方面坚持原则，贯彻执行上级方针政策时毫不犹豫，行动迅速、措施有力，自觉从思想上政治上行动上同党中央保持高度一致。</w:t>
      </w:r>
    </w:p>
    <w:p w14:paraId="5DB33E80">
      <w:pPr>
        <w:spacing w:line="560" w:lineRule="exact"/>
        <w:ind w:firstLine="643" w:firstLineChars="200"/>
        <w:rPr>
          <w:sz w:val="32"/>
          <w:szCs w:val="32"/>
        </w:rPr>
      </w:pPr>
      <w:r>
        <w:rPr>
          <w:rFonts w:hint="eastAsia" w:ascii="楷体" w:hAnsi="楷体" w:eastAsia="楷体"/>
          <w:b/>
          <w:bCs/>
          <w:sz w:val="32"/>
          <w:szCs w:val="32"/>
        </w:rPr>
        <w:t>第十条</w:t>
      </w:r>
      <w:r>
        <w:rPr>
          <w:rFonts w:hint="eastAsia" w:ascii="楷体" w:hAnsi="楷体" w:eastAsia="楷体"/>
          <w:sz w:val="32"/>
          <w:szCs w:val="32"/>
        </w:rPr>
        <w:t xml:space="preserve"> 加强业务能力建设。</w:t>
      </w:r>
      <w:r>
        <w:rPr>
          <w:rFonts w:hint="eastAsia" w:ascii="仿宋" w:hAnsi="仿宋" w:eastAsia="仿宋" w:cs="仿宋"/>
          <w:sz w:val="32"/>
          <w:szCs w:val="32"/>
        </w:rPr>
        <w:t>建立督察案件评査剖析研讨常态化机制。加强对督察干警的业务培训，提高督察队伍法律政策运用、重点风险防控、复杂事件处置、科技应用、舆论引导等方面能力，督促广大督察干警牢固树立底线思维、逆向思维、换位思维、创新思维、法治思维，不断提高督察能力和水平。</w:t>
      </w:r>
    </w:p>
    <w:p w14:paraId="5F897100">
      <w:pPr>
        <w:spacing w:line="560" w:lineRule="exact"/>
        <w:ind w:firstLine="643" w:firstLineChars="200"/>
        <w:rPr>
          <w:rFonts w:ascii="仿宋" w:hAnsi="仿宋" w:eastAsia="仿宋" w:cs="仿宋"/>
          <w:sz w:val="32"/>
          <w:szCs w:val="32"/>
        </w:rPr>
      </w:pPr>
      <w:r>
        <w:rPr>
          <w:rFonts w:hint="eastAsia" w:ascii="楷体" w:hAnsi="楷体" w:eastAsia="楷体"/>
          <w:b/>
          <w:bCs/>
          <w:sz w:val="32"/>
          <w:szCs w:val="32"/>
        </w:rPr>
        <w:t>第十一条</w:t>
      </w:r>
      <w:r>
        <w:rPr>
          <w:rFonts w:hint="eastAsia" w:ascii="楷体" w:hAnsi="楷体" w:eastAsia="楷体"/>
          <w:sz w:val="32"/>
          <w:szCs w:val="32"/>
        </w:rPr>
        <w:t xml:space="preserve"> 加强纪律作风建设。</w:t>
      </w:r>
      <w:r>
        <w:rPr>
          <w:rFonts w:hint="eastAsia" w:ascii="仿宋" w:hAnsi="仿宋" w:eastAsia="仿宋" w:cs="仿宋"/>
          <w:sz w:val="32"/>
          <w:szCs w:val="32"/>
        </w:rPr>
        <w:t>自觉树牢法律意识，强化树立法治思维，严格执行政治纪律、组织纪律、保密纪律，做到知敬畏、存戒惧、守底线，维护督察队伍良好形象。以党纪国法和警纪警令为戒尺，及时将不敢担当、作风漂浮、纪律涣散人员调整出督察队伍，依纪依法严肃查处督察队伍中出现的违纪违法问题，切实提高督察队伍战斗力。</w:t>
      </w:r>
    </w:p>
    <w:p w14:paraId="70D4618D">
      <w:pPr>
        <w:rPr>
          <w:rFonts w:ascii="仿宋" w:hAnsi="仿宋" w:eastAsia="仿宋" w:cs="仿宋"/>
          <w:sz w:val="32"/>
          <w:szCs w:val="32"/>
        </w:rPr>
      </w:pPr>
      <w:r>
        <w:rPr>
          <w:rFonts w:hint="eastAsia" w:ascii="仿宋" w:hAnsi="仿宋" w:eastAsia="仿宋" w:cs="仿宋"/>
          <w:sz w:val="32"/>
          <w:szCs w:val="32"/>
        </w:rPr>
        <w:br w:type="page"/>
      </w:r>
    </w:p>
    <w:p w14:paraId="01AB13EB">
      <w:pPr>
        <w:pStyle w:val="7"/>
        <w:shd w:val="clear" w:color="auto" w:fill="FFFFFF"/>
        <w:spacing w:before="0" w:beforeAutospacing="0" w:after="0" w:afterAutospacing="0" w:line="560" w:lineRule="exact"/>
        <w:jc w:val="center"/>
        <w:rPr>
          <w:rFonts w:ascii="方正小标宋简体" w:hAnsi="仿宋" w:eastAsia="方正小标宋简体"/>
          <w:color w:val="000000"/>
          <w:sz w:val="44"/>
          <w:szCs w:val="44"/>
        </w:rPr>
      </w:pPr>
      <w:r>
        <w:rPr>
          <w:rFonts w:hint="eastAsia" w:ascii="方正小标宋简体" w:hAnsi="仿宋" w:eastAsia="方正小标宋简体"/>
          <w:color w:val="000000"/>
          <w:sz w:val="44"/>
          <w:szCs w:val="44"/>
        </w:rPr>
        <w:t>白城市司法局警示教育制度</w:t>
      </w:r>
    </w:p>
    <w:p w14:paraId="0D47D3BE">
      <w:pPr>
        <w:pStyle w:val="7"/>
        <w:shd w:val="clear" w:color="auto" w:fill="FFFFFF"/>
        <w:spacing w:before="0" w:beforeAutospacing="0" w:after="0" w:afterAutospacing="0" w:line="560" w:lineRule="exact"/>
        <w:ind w:firstLine="640" w:firstLineChars="200"/>
        <w:rPr>
          <w:rFonts w:ascii="仿宋" w:hAnsi="仿宋" w:eastAsia="仿宋"/>
          <w:color w:val="000000"/>
          <w:sz w:val="32"/>
          <w:szCs w:val="32"/>
        </w:rPr>
      </w:pPr>
    </w:p>
    <w:p w14:paraId="24D03E42">
      <w:pPr>
        <w:pStyle w:val="7"/>
        <w:shd w:val="clear" w:color="auto" w:fill="FFFFFF"/>
        <w:spacing w:before="0" w:beforeAutospacing="0" w:after="0" w:afterAutospacing="0"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为进一步推动党风廉政建设和反腐败工作，结合我局惩防体系建设工作实际，特制定反腐倡廉警示教育制度。</w:t>
      </w:r>
    </w:p>
    <w:p w14:paraId="6C5FD709">
      <w:pPr>
        <w:pStyle w:val="7"/>
        <w:shd w:val="clear" w:color="auto" w:fill="FFFFFF"/>
        <w:spacing w:before="0" w:beforeAutospacing="0" w:after="0" w:afterAutospacing="0" w:line="560" w:lineRule="exact"/>
        <w:ind w:firstLine="643" w:firstLineChars="200"/>
        <w:jc w:val="both"/>
        <w:rPr>
          <w:rFonts w:ascii="仿宋" w:hAnsi="仿宋" w:eastAsia="仿宋"/>
          <w:color w:val="000000"/>
          <w:sz w:val="32"/>
          <w:szCs w:val="32"/>
        </w:rPr>
      </w:pPr>
      <w:r>
        <w:rPr>
          <w:rFonts w:hint="eastAsia" w:ascii="仿宋" w:hAnsi="仿宋" w:eastAsia="仿宋"/>
          <w:b/>
          <w:bCs/>
          <w:color w:val="000000"/>
          <w:sz w:val="32"/>
          <w:szCs w:val="32"/>
        </w:rPr>
        <w:t>第一条</w:t>
      </w:r>
      <w:r>
        <w:rPr>
          <w:rFonts w:hint="eastAsia" w:ascii="仿宋" w:hAnsi="仿宋" w:eastAsia="仿宋"/>
          <w:color w:val="000000"/>
          <w:sz w:val="32"/>
          <w:szCs w:val="32"/>
        </w:rPr>
        <w:t xml:space="preserve"> 反腐倡廉警示教育必须认真贯彻落实党中央有关党风廉政建设和反腐败工作的战略决策、指导思想和工作原则。坚持标本兼治、综合治理、惩防并举，注重预防的方针，健全制度、源头治理；注重监督，防微杜渐；逐步建立起反腐倡廉教育的长效机制。</w:t>
      </w:r>
    </w:p>
    <w:p w14:paraId="1AA39ED9">
      <w:pPr>
        <w:pStyle w:val="7"/>
        <w:shd w:val="clear" w:color="auto" w:fill="FFFFFF"/>
        <w:spacing w:before="0" w:beforeAutospacing="0" w:after="0" w:afterAutospacing="0" w:line="560" w:lineRule="exact"/>
        <w:ind w:firstLine="643" w:firstLineChars="200"/>
        <w:jc w:val="both"/>
        <w:rPr>
          <w:rFonts w:ascii="仿宋" w:hAnsi="仿宋" w:eastAsia="仿宋"/>
          <w:color w:val="000000"/>
          <w:sz w:val="32"/>
          <w:szCs w:val="32"/>
        </w:rPr>
      </w:pPr>
      <w:r>
        <w:rPr>
          <w:rFonts w:hint="eastAsia" w:ascii="仿宋" w:hAnsi="仿宋" w:eastAsia="仿宋"/>
          <w:b/>
          <w:bCs/>
          <w:color w:val="000000"/>
          <w:sz w:val="32"/>
          <w:szCs w:val="32"/>
        </w:rPr>
        <w:t>第二条</w:t>
      </w:r>
      <w:r>
        <w:rPr>
          <w:rFonts w:hint="eastAsia" w:ascii="仿宋" w:hAnsi="仿宋" w:eastAsia="仿宋"/>
          <w:color w:val="000000"/>
          <w:sz w:val="32"/>
          <w:szCs w:val="32"/>
        </w:rPr>
        <w:t xml:space="preserve"> 反腐倡廉警示教育工作由局机关纪委负责。</w:t>
      </w:r>
    </w:p>
    <w:p w14:paraId="4647C864">
      <w:pPr>
        <w:pStyle w:val="7"/>
        <w:shd w:val="clear" w:color="auto" w:fill="FFFFFF"/>
        <w:spacing w:before="0" w:beforeAutospacing="0" w:after="0" w:afterAutospacing="0" w:line="560" w:lineRule="exact"/>
        <w:ind w:firstLine="643" w:firstLineChars="200"/>
        <w:jc w:val="both"/>
        <w:rPr>
          <w:rFonts w:ascii="仿宋" w:hAnsi="仿宋" w:eastAsia="仿宋"/>
          <w:color w:val="000000"/>
          <w:sz w:val="32"/>
          <w:szCs w:val="32"/>
        </w:rPr>
      </w:pPr>
      <w:r>
        <w:rPr>
          <w:rFonts w:hint="eastAsia" w:ascii="仿宋" w:hAnsi="仿宋" w:eastAsia="仿宋"/>
          <w:b/>
          <w:bCs/>
          <w:color w:val="000000"/>
          <w:sz w:val="32"/>
          <w:szCs w:val="32"/>
        </w:rPr>
        <w:t>第三条</w:t>
      </w:r>
      <w:r>
        <w:rPr>
          <w:rFonts w:hint="eastAsia" w:ascii="仿宋" w:hAnsi="仿宋" w:eastAsia="仿宋"/>
          <w:color w:val="000000"/>
          <w:sz w:val="32"/>
          <w:szCs w:val="32"/>
        </w:rPr>
        <w:t xml:space="preserve"> 加强反腐倡廉教育要以领导干部为重点，以树立马克思主义的</w:t>
      </w:r>
      <w:r>
        <w:rPr>
          <w:rFonts w:hint="eastAsia" w:ascii="仿宋" w:hAnsi="仿宋" w:eastAsia="仿宋"/>
          <w:color w:val="000000"/>
          <w:sz w:val="32"/>
          <w:szCs w:val="32"/>
          <w:lang w:eastAsia="zh-CN"/>
        </w:rPr>
        <w:t>世界观、人生观、价值观</w:t>
      </w:r>
      <w:r>
        <w:rPr>
          <w:rFonts w:hint="eastAsia" w:ascii="仿宋" w:hAnsi="仿宋" w:eastAsia="仿宋"/>
          <w:color w:val="000000"/>
          <w:sz w:val="32"/>
          <w:szCs w:val="32"/>
        </w:rPr>
        <w:t>和正确的权力观、地位观、利益观为根本，以艰苦奋斗、廉洁奉公为主题，以立党为公，执政为民为目标，进行理想信念和从政道德教育，党的优良传统教育，党规党纪和国家法律法规的教育。</w:t>
      </w:r>
    </w:p>
    <w:p w14:paraId="2B7653FD">
      <w:pPr>
        <w:pStyle w:val="7"/>
        <w:shd w:val="clear" w:color="auto" w:fill="FFFFFF"/>
        <w:spacing w:before="0" w:beforeAutospacing="0" w:after="0" w:afterAutospacing="0" w:line="560" w:lineRule="exact"/>
        <w:ind w:firstLine="480"/>
        <w:jc w:val="both"/>
        <w:rPr>
          <w:rFonts w:ascii="仿宋" w:hAnsi="仿宋" w:eastAsia="仿宋"/>
          <w:color w:val="000000"/>
          <w:sz w:val="32"/>
          <w:szCs w:val="32"/>
        </w:rPr>
      </w:pPr>
      <w:r>
        <w:rPr>
          <w:rFonts w:hint="eastAsia" w:ascii="仿宋" w:hAnsi="仿宋" w:eastAsia="仿宋"/>
          <w:b/>
          <w:bCs/>
          <w:color w:val="000000"/>
          <w:sz w:val="32"/>
          <w:szCs w:val="32"/>
        </w:rPr>
        <w:t>第四条</w:t>
      </w:r>
      <w:r>
        <w:rPr>
          <w:rFonts w:hint="eastAsia" w:ascii="仿宋" w:hAnsi="仿宋" w:eastAsia="仿宋"/>
          <w:color w:val="000000"/>
          <w:sz w:val="32"/>
          <w:szCs w:val="32"/>
        </w:rPr>
        <w:t xml:space="preserve"> 每季度开展1-2次反腐倡廉警示教育，可采取观看警示教育片、专家讲座、集中学习、谈心谈话等方式方法对广大党员干部进行警示教育。</w:t>
      </w:r>
    </w:p>
    <w:p w14:paraId="71E8C58D">
      <w:pPr>
        <w:widowControl/>
        <w:shd w:val="clear" w:color="auto" w:fill="FFFFFF"/>
        <w:snapToGrid w:val="0"/>
        <w:spacing w:line="560" w:lineRule="exact"/>
        <w:ind w:firstLine="643" w:firstLineChars="200"/>
        <w:jc w:val="left"/>
        <w:rPr>
          <w:rFonts w:ascii="仿宋" w:hAnsi="仿宋" w:eastAsia="仿宋"/>
          <w:sz w:val="32"/>
          <w:szCs w:val="32"/>
        </w:rPr>
      </w:pPr>
      <w:r>
        <w:rPr>
          <w:rFonts w:hint="eastAsia" w:ascii="仿宋" w:hAnsi="仿宋" w:eastAsia="仿宋"/>
          <w:b/>
          <w:bCs/>
          <w:color w:val="000000"/>
          <w:sz w:val="32"/>
          <w:szCs w:val="32"/>
        </w:rPr>
        <w:t>第五条</w:t>
      </w:r>
      <w:r>
        <w:rPr>
          <w:rFonts w:hint="eastAsia" w:ascii="仿宋" w:hAnsi="仿宋" w:eastAsia="仿宋"/>
          <w:color w:val="000000"/>
          <w:sz w:val="32"/>
          <w:szCs w:val="32"/>
        </w:rPr>
        <w:t xml:space="preserve"> </w:t>
      </w:r>
      <w:r>
        <w:rPr>
          <w:rFonts w:hint="eastAsia" w:ascii="仿宋" w:hAnsi="仿宋" w:eastAsia="仿宋"/>
          <w:sz w:val="32"/>
          <w:szCs w:val="32"/>
        </w:rPr>
        <w:t>本制度规定的各项情形应严格执行，如有违反将视情节追究责任。</w:t>
      </w:r>
    </w:p>
    <w:p w14:paraId="2ABB212B">
      <w:pPr>
        <w:rPr>
          <w:rFonts w:ascii="仿宋" w:hAnsi="仿宋" w:eastAsia="仿宋"/>
          <w:sz w:val="32"/>
          <w:szCs w:val="32"/>
        </w:rPr>
      </w:pPr>
      <w:r>
        <w:rPr>
          <w:rFonts w:hint="eastAsia" w:ascii="仿宋" w:hAnsi="仿宋" w:eastAsia="仿宋"/>
          <w:sz w:val="32"/>
          <w:szCs w:val="32"/>
        </w:rPr>
        <w:br w:type="page"/>
      </w:r>
    </w:p>
    <w:p w14:paraId="3AB732B2">
      <w:pP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    白城市强制隔离戒毒所廉政教育制度</w:t>
      </w:r>
    </w:p>
    <w:p w14:paraId="5F232DD4">
      <w:pPr>
        <w:widowControl/>
        <w:spacing w:line="560" w:lineRule="exact"/>
        <w:ind w:firstLine="640" w:firstLineChars="200"/>
        <w:rPr>
          <w:rFonts w:ascii="仿宋字体" w:hAnsi="仿宋字体" w:eastAsia="仿宋字体" w:cs="仿宋字体"/>
          <w:kern w:val="0"/>
          <w:sz w:val="32"/>
          <w:szCs w:val="32"/>
          <w:shd w:val="clear" w:color="auto" w:fill="FFFFFF"/>
        </w:rPr>
      </w:pPr>
    </w:p>
    <w:p w14:paraId="61D05475">
      <w:pPr>
        <w:widowControl/>
        <w:spacing w:line="560" w:lineRule="exact"/>
        <w:ind w:firstLine="640" w:firstLineChars="200"/>
        <w:rPr>
          <w:rFonts w:ascii="仿宋字体" w:hAnsi="仿宋字体" w:eastAsia="仿宋字体" w:cs="仿宋字体"/>
          <w:sz w:val="32"/>
          <w:szCs w:val="32"/>
        </w:rPr>
      </w:pPr>
      <w:r>
        <w:rPr>
          <w:rFonts w:hint="eastAsia" w:ascii="仿宋字体" w:hAnsi="仿宋字体" w:eastAsia="仿宋字体" w:cs="仿宋字体"/>
          <w:kern w:val="0"/>
          <w:sz w:val="32"/>
          <w:szCs w:val="32"/>
          <w:shd w:val="clear" w:color="auto" w:fill="FFFFFF"/>
        </w:rPr>
        <w:t>为认真学习贯彻习近平总书记系列重要讲话精神和治国理政的新思想新观点新论断新要求，认真贯彻落实标本兼治、综合治理，以预防、教育为主的方针，抓好对党员经常性的党性、党风、党纪教育工作。特制定我所廉政教育制度如下：</w:t>
      </w:r>
    </w:p>
    <w:p w14:paraId="09A387FB">
      <w:pPr>
        <w:jc w:val="center"/>
        <w:rPr>
          <w:b/>
          <w:bCs/>
          <w:sz w:val="32"/>
          <w:szCs w:val="32"/>
        </w:rPr>
      </w:pPr>
      <w:r>
        <w:rPr>
          <w:rFonts w:hint="eastAsia"/>
          <w:b/>
          <w:bCs/>
          <w:sz w:val="32"/>
          <w:szCs w:val="32"/>
        </w:rPr>
        <w:t>第一章 廉政教育内容</w:t>
      </w:r>
    </w:p>
    <w:p w14:paraId="01C20767">
      <w:pPr>
        <w:widowControl/>
        <w:spacing w:line="560" w:lineRule="exact"/>
        <w:ind w:firstLine="643" w:firstLineChars="200"/>
        <w:rPr>
          <w:rFonts w:ascii="仿宋字体" w:hAnsi="仿宋字体" w:eastAsia="仿宋字体" w:cs="仿宋字体"/>
          <w:sz w:val="32"/>
          <w:szCs w:val="32"/>
        </w:rPr>
      </w:pPr>
      <w:r>
        <w:rPr>
          <w:rFonts w:hint="eastAsia" w:ascii="仿宋字体" w:hAnsi="仿宋字体" w:eastAsia="仿宋字体" w:cs="仿宋字体"/>
          <w:b/>
          <w:bCs/>
          <w:sz w:val="32"/>
          <w:szCs w:val="32"/>
        </w:rPr>
        <w:t>第一条</w:t>
      </w:r>
      <w:r>
        <w:rPr>
          <w:rFonts w:hint="eastAsia" w:ascii="仿宋字体" w:hAnsi="仿宋字体" w:eastAsia="仿宋字体" w:cs="仿宋字体"/>
          <w:kern w:val="0"/>
          <w:sz w:val="32"/>
          <w:szCs w:val="32"/>
          <w:shd w:val="clear" w:color="auto" w:fill="FFFFFF"/>
        </w:rPr>
        <w:t xml:space="preserve"> 组织党员民警职工学习《党章》，中央、省委、市委制定的各项方针政策以及发布的规定、指示、决议等党规党法，通过学习，使每个党员了解上级的有关精神。</w:t>
      </w:r>
    </w:p>
    <w:p w14:paraId="71E8344D">
      <w:pPr>
        <w:widowControl/>
        <w:spacing w:line="560" w:lineRule="exact"/>
        <w:ind w:firstLine="643" w:firstLineChars="200"/>
        <w:rPr>
          <w:rFonts w:ascii="仿宋字体" w:hAnsi="仿宋字体" w:eastAsia="仿宋字体" w:cs="仿宋字体"/>
          <w:kern w:val="0"/>
          <w:sz w:val="32"/>
          <w:szCs w:val="32"/>
          <w:shd w:val="clear" w:color="auto" w:fill="FFFFFF"/>
        </w:rPr>
      </w:pPr>
      <w:r>
        <w:rPr>
          <w:rFonts w:hint="eastAsia" w:ascii="仿宋字体" w:hAnsi="仿宋字体" w:eastAsia="仿宋字体" w:cs="仿宋字体"/>
          <w:b/>
          <w:bCs/>
          <w:sz w:val="32"/>
          <w:szCs w:val="32"/>
        </w:rPr>
        <w:t xml:space="preserve">第二条 </w:t>
      </w:r>
      <w:r>
        <w:rPr>
          <w:rFonts w:hint="eastAsia" w:ascii="仿宋字体" w:hAnsi="仿宋字体" w:eastAsia="仿宋字体" w:cs="仿宋字体"/>
          <w:kern w:val="0"/>
          <w:sz w:val="32"/>
          <w:szCs w:val="32"/>
          <w:shd w:val="clear" w:color="auto" w:fill="FFFFFF"/>
        </w:rPr>
        <w:t>认真组织全体党员民警</w:t>
      </w:r>
      <w:r>
        <w:rPr>
          <w:rFonts w:ascii="仿宋字体" w:hAnsi="仿宋字体" w:eastAsia="仿宋字体" w:cs="仿宋字体"/>
          <w:kern w:val="0"/>
          <w:sz w:val="32"/>
          <w:szCs w:val="32"/>
          <w:shd w:val="clear" w:color="auto" w:fill="FFFFFF"/>
        </w:rPr>
        <w:t>职工</w:t>
      </w:r>
      <w:r>
        <w:rPr>
          <w:rFonts w:hint="eastAsia" w:ascii="仿宋字体" w:hAnsi="仿宋字体" w:eastAsia="仿宋字体" w:cs="仿宋字体"/>
          <w:kern w:val="0"/>
          <w:sz w:val="32"/>
          <w:szCs w:val="32"/>
          <w:shd w:val="clear" w:color="auto" w:fill="FFFFFF"/>
        </w:rPr>
        <w:t>学习省、市纪委全会</w:t>
      </w:r>
      <w:r>
        <w:rPr>
          <w:rFonts w:ascii="仿宋字体" w:hAnsi="仿宋字体" w:eastAsia="仿宋字体" w:cs="仿宋字体"/>
          <w:kern w:val="0"/>
          <w:sz w:val="32"/>
          <w:szCs w:val="32"/>
          <w:shd w:val="clear" w:color="auto" w:fill="FFFFFF"/>
        </w:rPr>
        <w:t>、</w:t>
      </w:r>
      <w:r>
        <w:rPr>
          <w:rFonts w:hint="eastAsia" w:ascii="仿宋字体" w:hAnsi="仿宋字体" w:eastAsia="仿宋字体" w:cs="仿宋字体"/>
          <w:kern w:val="0"/>
          <w:sz w:val="32"/>
          <w:szCs w:val="32"/>
          <w:shd w:val="clear" w:color="auto" w:fill="FFFFFF"/>
        </w:rPr>
        <w:t>纪检监察工作会议精神，领会精神实质，明确党风廉政建设和反败的工作任务和工作重点。</w:t>
      </w:r>
    </w:p>
    <w:p w14:paraId="322A77C3">
      <w:pPr>
        <w:widowControl/>
        <w:spacing w:line="560" w:lineRule="exact"/>
        <w:ind w:firstLine="643" w:firstLineChars="200"/>
        <w:rPr>
          <w:rFonts w:ascii="仿宋字体" w:hAnsi="仿宋字体" w:eastAsia="仿宋字体" w:cs="仿宋字体"/>
          <w:kern w:val="0"/>
          <w:sz w:val="32"/>
          <w:szCs w:val="32"/>
          <w:shd w:val="clear" w:color="auto" w:fill="FFFFFF"/>
        </w:rPr>
      </w:pPr>
      <w:r>
        <w:rPr>
          <w:rFonts w:hint="eastAsia" w:ascii="仿宋字体" w:hAnsi="仿宋字体" w:eastAsia="仿宋字体" w:cs="仿宋字体"/>
          <w:b/>
          <w:bCs/>
          <w:sz w:val="32"/>
          <w:szCs w:val="32"/>
        </w:rPr>
        <w:t xml:space="preserve">第三条 </w:t>
      </w:r>
      <w:r>
        <w:rPr>
          <w:rFonts w:hint="eastAsia" w:ascii="仿宋字体" w:hAnsi="仿宋字体" w:eastAsia="仿宋字体" w:cs="仿宋字体"/>
          <w:kern w:val="0"/>
          <w:sz w:val="32"/>
          <w:szCs w:val="32"/>
          <w:shd w:val="clear" w:color="auto" w:fill="FFFFFF"/>
        </w:rPr>
        <w:t>组织党员民警职工学习《中国共产党纪律处分条例》、《中国共产党</w:t>
      </w:r>
      <w:r>
        <w:rPr>
          <w:rFonts w:hint="eastAsia" w:ascii="仿宋字体" w:hAnsi="仿宋字体" w:eastAsia="仿宋字体" w:cs="仿宋字体"/>
          <w:kern w:val="0"/>
          <w:sz w:val="32"/>
          <w:szCs w:val="32"/>
          <w:shd w:val="clear" w:color="auto" w:fill="FFFFFF"/>
          <w:lang w:val="en-US" w:eastAsia="zh-CN"/>
        </w:rPr>
        <w:t>党</w:t>
      </w:r>
      <w:r>
        <w:rPr>
          <w:rFonts w:hint="eastAsia" w:ascii="仿宋字体" w:hAnsi="仿宋字体" w:eastAsia="仿宋字体" w:cs="仿宋字体"/>
          <w:kern w:val="0"/>
          <w:sz w:val="32"/>
          <w:szCs w:val="32"/>
          <w:shd w:val="clear" w:color="auto" w:fill="FFFFFF"/>
        </w:rPr>
        <w:t>员领导干部廉洁从政若干准则》、《关于实行党风廉政建设责任制的规定》、《中央八项规定》精神和中央、省委、市委关于党员领导干部廉洁自律的各项制度精神。</w:t>
      </w:r>
    </w:p>
    <w:p w14:paraId="4D9C67DB">
      <w:pPr>
        <w:widowControl/>
        <w:spacing w:line="560" w:lineRule="exact"/>
        <w:ind w:firstLine="643" w:firstLineChars="200"/>
        <w:rPr>
          <w:rFonts w:ascii="仿宋字体" w:hAnsi="仿宋字体" w:eastAsia="仿宋字体" w:cs="仿宋字体"/>
          <w:kern w:val="0"/>
          <w:sz w:val="32"/>
          <w:szCs w:val="32"/>
          <w:shd w:val="clear" w:color="auto" w:fill="FFFFFF"/>
        </w:rPr>
      </w:pPr>
      <w:r>
        <w:rPr>
          <w:rFonts w:hint="eastAsia" w:ascii="仿宋字体" w:hAnsi="仿宋字体" w:eastAsia="仿宋字体" w:cs="仿宋字体"/>
          <w:b/>
          <w:bCs/>
          <w:sz w:val="32"/>
          <w:szCs w:val="32"/>
        </w:rPr>
        <w:t xml:space="preserve">第四条 </w:t>
      </w:r>
      <w:r>
        <w:rPr>
          <w:rFonts w:hint="eastAsia" w:ascii="仿宋字体" w:hAnsi="仿宋字体" w:eastAsia="仿宋字体" w:cs="仿宋字体"/>
          <w:kern w:val="0"/>
          <w:sz w:val="32"/>
          <w:szCs w:val="32"/>
          <w:shd w:val="clear" w:color="auto" w:fill="FFFFFF"/>
        </w:rPr>
        <w:t>广泛宣传，</w:t>
      </w:r>
      <w:r>
        <w:rPr>
          <w:rFonts w:ascii="仿宋字体" w:hAnsi="仿宋字体" w:eastAsia="仿宋字体" w:cs="仿宋字体"/>
          <w:kern w:val="0"/>
          <w:sz w:val="32"/>
          <w:szCs w:val="32"/>
          <w:shd w:val="clear" w:color="auto" w:fill="FFFFFF"/>
        </w:rPr>
        <w:t>大力</w:t>
      </w:r>
      <w:r>
        <w:rPr>
          <w:rFonts w:hint="eastAsia" w:ascii="仿宋字体" w:hAnsi="仿宋字体" w:eastAsia="仿宋字体" w:cs="仿宋字体"/>
          <w:kern w:val="0"/>
          <w:sz w:val="32"/>
          <w:szCs w:val="32"/>
          <w:shd w:val="clear" w:color="auto" w:fill="FFFFFF"/>
        </w:rPr>
        <w:t>弘扬勤廉的正面典型和剖析反面案例对党员、干部进行正反典型教育，帮助党员树立正确的世界观人生观、价值观。</w:t>
      </w:r>
    </w:p>
    <w:p w14:paraId="5F0042B5">
      <w:pPr>
        <w:widowControl/>
        <w:spacing w:line="560" w:lineRule="exact"/>
        <w:ind w:firstLine="643" w:firstLineChars="200"/>
        <w:rPr>
          <w:rFonts w:ascii="仿宋字体" w:hAnsi="仿宋字体" w:eastAsia="仿宋字体" w:cs="仿宋字体"/>
          <w:kern w:val="0"/>
          <w:sz w:val="32"/>
          <w:szCs w:val="32"/>
          <w:shd w:val="clear" w:color="auto" w:fill="FFFFFF"/>
        </w:rPr>
      </w:pPr>
      <w:r>
        <w:rPr>
          <w:rFonts w:hint="eastAsia" w:ascii="仿宋字体" w:hAnsi="仿宋字体" w:eastAsia="仿宋字体" w:cs="仿宋字体"/>
          <w:b/>
          <w:bCs/>
          <w:sz w:val="32"/>
          <w:szCs w:val="32"/>
        </w:rPr>
        <w:t xml:space="preserve">第五条 </w:t>
      </w:r>
      <w:r>
        <w:rPr>
          <w:rFonts w:hint="eastAsia" w:ascii="仿宋字体" w:hAnsi="仿宋字体" w:eastAsia="仿宋字体" w:cs="仿宋字体"/>
          <w:kern w:val="0"/>
          <w:sz w:val="32"/>
          <w:szCs w:val="32"/>
          <w:shd w:val="clear" w:color="auto" w:fill="FFFFFF"/>
        </w:rPr>
        <w:t>及时对</w:t>
      </w:r>
      <w:r>
        <w:rPr>
          <w:rFonts w:ascii="仿宋字体" w:hAnsi="仿宋字体" w:eastAsia="仿宋字体" w:cs="仿宋字体"/>
          <w:kern w:val="0"/>
          <w:sz w:val="32"/>
          <w:szCs w:val="32"/>
          <w:shd w:val="clear" w:color="auto" w:fill="FFFFFF"/>
        </w:rPr>
        <w:t>党员民警职工</w:t>
      </w:r>
      <w:r>
        <w:rPr>
          <w:rFonts w:hint="eastAsia" w:ascii="仿宋字体" w:hAnsi="仿宋字体" w:eastAsia="仿宋字体" w:cs="仿宋字体"/>
          <w:kern w:val="0"/>
          <w:sz w:val="32"/>
          <w:szCs w:val="32"/>
          <w:shd w:val="clear" w:color="auto" w:fill="FFFFFF"/>
        </w:rPr>
        <w:t>进行党风廉政建设和反腐败斗争的形势教育，结合</w:t>
      </w:r>
      <w:r>
        <w:rPr>
          <w:rFonts w:ascii="仿宋字体" w:hAnsi="仿宋字体" w:eastAsia="仿宋字体" w:cs="仿宋字体"/>
          <w:kern w:val="0"/>
          <w:sz w:val="32"/>
          <w:szCs w:val="32"/>
          <w:shd w:val="clear" w:color="auto" w:fill="FFFFFF"/>
        </w:rPr>
        <w:t>工作</w:t>
      </w:r>
      <w:r>
        <w:rPr>
          <w:rFonts w:hint="eastAsia" w:ascii="仿宋字体" w:hAnsi="仿宋字体" w:eastAsia="仿宋字体" w:cs="仿宋字体"/>
          <w:kern w:val="0"/>
          <w:sz w:val="32"/>
          <w:szCs w:val="32"/>
          <w:shd w:val="clear" w:color="auto" w:fill="FFFFFF"/>
        </w:rPr>
        <w:t>实际，寻找自身差距。</w:t>
      </w:r>
    </w:p>
    <w:p w14:paraId="385C93AF">
      <w:pPr>
        <w:jc w:val="center"/>
        <w:rPr>
          <w:b/>
          <w:bCs/>
          <w:sz w:val="32"/>
          <w:szCs w:val="32"/>
        </w:rPr>
      </w:pPr>
      <w:r>
        <w:rPr>
          <w:rFonts w:hint="eastAsia"/>
          <w:b/>
          <w:bCs/>
          <w:sz w:val="32"/>
          <w:szCs w:val="32"/>
        </w:rPr>
        <w:t>第二章 廉政教育的形式和方法</w:t>
      </w:r>
    </w:p>
    <w:p w14:paraId="75A672ED">
      <w:pPr>
        <w:widowControl/>
        <w:spacing w:line="560" w:lineRule="exact"/>
        <w:ind w:firstLine="643" w:firstLineChars="200"/>
        <w:rPr>
          <w:rFonts w:ascii="仿宋字体" w:hAnsi="仿宋字体" w:eastAsia="仿宋字体" w:cs="仿宋字体"/>
          <w:kern w:val="0"/>
          <w:sz w:val="32"/>
          <w:szCs w:val="32"/>
          <w:shd w:val="clear" w:color="auto" w:fill="FFFFFF"/>
        </w:rPr>
      </w:pPr>
      <w:r>
        <w:rPr>
          <w:rFonts w:hint="eastAsia" w:ascii="仿宋字体" w:hAnsi="仿宋字体" w:eastAsia="仿宋字体" w:cs="仿宋字体"/>
          <w:b/>
          <w:bCs/>
          <w:sz w:val="32"/>
          <w:szCs w:val="32"/>
        </w:rPr>
        <w:t xml:space="preserve">第六条 </w:t>
      </w:r>
      <w:r>
        <w:rPr>
          <w:rFonts w:hint="eastAsia" w:ascii="仿宋字体" w:hAnsi="仿宋字体" w:eastAsia="仿宋字体" w:cs="仿宋字体"/>
          <w:kern w:val="0"/>
          <w:sz w:val="32"/>
          <w:szCs w:val="32"/>
          <w:shd w:val="clear" w:color="auto" w:fill="FFFFFF"/>
        </w:rPr>
        <w:t>组织参加培训和充分利用党课、</w:t>
      </w:r>
      <w:r>
        <w:rPr>
          <w:rFonts w:ascii="仿宋字体" w:hAnsi="仿宋字体" w:eastAsia="仿宋字体" w:cs="仿宋字体"/>
          <w:kern w:val="0"/>
          <w:sz w:val="32"/>
          <w:szCs w:val="32"/>
          <w:shd w:val="clear" w:color="auto" w:fill="FFFFFF"/>
        </w:rPr>
        <w:t>党</w:t>
      </w:r>
      <w:r>
        <w:rPr>
          <w:rFonts w:hint="eastAsia" w:ascii="仿宋字体" w:hAnsi="仿宋字体" w:eastAsia="仿宋字体" w:cs="仿宋字体"/>
          <w:kern w:val="0"/>
          <w:sz w:val="32"/>
          <w:szCs w:val="32"/>
          <w:shd w:val="clear" w:color="auto" w:fill="FFFFFF"/>
        </w:rPr>
        <w:t>组织生活、党员民警职工政治理论学习等形式，对党员进行党性、党风、党纪</w:t>
      </w:r>
      <w:r>
        <w:rPr>
          <w:rFonts w:ascii="仿宋字体" w:hAnsi="仿宋字体" w:eastAsia="仿宋字体" w:cs="仿宋字体"/>
          <w:kern w:val="0"/>
          <w:sz w:val="32"/>
          <w:szCs w:val="32"/>
          <w:shd w:val="clear" w:color="auto" w:fill="FFFFFF"/>
        </w:rPr>
        <w:t>的常态化</w:t>
      </w:r>
      <w:r>
        <w:rPr>
          <w:rFonts w:hint="eastAsia" w:ascii="仿宋字体" w:hAnsi="仿宋字体" w:eastAsia="仿宋字体" w:cs="仿宋字体"/>
          <w:kern w:val="0"/>
          <w:sz w:val="32"/>
          <w:szCs w:val="32"/>
          <w:shd w:val="clear" w:color="auto" w:fill="FFFFFF"/>
        </w:rPr>
        <w:t>教育。</w:t>
      </w:r>
    </w:p>
    <w:p w14:paraId="61F71FAE">
      <w:pPr>
        <w:widowControl/>
        <w:spacing w:line="560" w:lineRule="exact"/>
        <w:ind w:firstLine="643" w:firstLineChars="200"/>
        <w:rPr>
          <w:rFonts w:ascii="仿宋字体" w:hAnsi="仿宋字体" w:eastAsia="仿宋字体" w:cs="仿宋字体"/>
          <w:kern w:val="0"/>
          <w:sz w:val="32"/>
          <w:szCs w:val="32"/>
          <w:shd w:val="clear" w:color="auto" w:fill="FFFFFF"/>
        </w:rPr>
      </w:pPr>
      <w:r>
        <w:rPr>
          <w:rFonts w:hint="eastAsia" w:ascii="仿宋字体" w:hAnsi="仿宋字体" w:eastAsia="仿宋字体" w:cs="仿宋字体"/>
          <w:b/>
          <w:bCs/>
          <w:sz w:val="32"/>
          <w:szCs w:val="32"/>
        </w:rPr>
        <w:t xml:space="preserve">第七条 </w:t>
      </w:r>
      <w:r>
        <w:rPr>
          <w:rFonts w:ascii="仿宋字体" w:hAnsi="仿宋字体" w:eastAsia="仿宋字体" w:cs="仿宋字体"/>
          <w:kern w:val="0"/>
          <w:sz w:val="32"/>
          <w:szCs w:val="32"/>
          <w:shd w:val="clear" w:color="auto" w:fill="FFFFFF"/>
        </w:rPr>
        <w:t>通过</w:t>
      </w:r>
      <w:r>
        <w:rPr>
          <w:rFonts w:hint="eastAsia" w:ascii="仿宋字体" w:hAnsi="仿宋字体" w:eastAsia="仿宋字体" w:cs="仿宋字体"/>
          <w:kern w:val="0"/>
          <w:sz w:val="32"/>
          <w:szCs w:val="32"/>
          <w:shd w:val="clear" w:color="auto" w:fill="FFFFFF"/>
        </w:rPr>
        <w:t>召开座谈、专题讨论会，专题演讲会和写心得等</w:t>
      </w:r>
      <w:r>
        <w:rPr>
          <w:rFonts w:ascii="仿宋字体" w:hAnsi="仿宋字体" w:eastAsia="仿宋字体" w:cs="仿宋字体"/>
          <w:kern w:val="0"/>
          <w:sz w:val="32"/>
          <w:szCs w:val="32"/>
          <w:shd w:val="clear" w:color="auto" w:fill="FFFFFF"/>
        </w:rPr>
        <w:t>形式</w:t>
      </w:r>
      <w:r>
        <w:rPr>
          <w:rFonts w:hint="eastAsia" w:ascii="仿宋字体" w:hAnsi="仿宋字体" w:eastAsia="仿宋字体" w:cs="仿宋字体"/>
          <w:kern w:val="0"/>
          <w:sz w:val="32"/>
          <w:szCs w:val="32"/>
          <w:shd w:val="clear" w:color="auto" w:fill="FFFFFF"/>
        </w:rPr>
        <w:t>，对党员进行专题教育；组织学习先进人物事迹，对党员进行勤廉兼优的先进人物、行进事迹教育。</w:t>
      </w:r>
    </w:p>
    <w:p w14:paraId="2A31B21D">
      <w:pPr>
        <w:widowControl/>
        <w:spacing w:line="560" w:lineRule="exact"/>
        <w:ind w:firstLine="643" w:firstLineChars="200"/>
        <w:rPr>
          <w:rFonts w:ascii="仿宋字体" w:hAnsi="仿宋字体" w:eastAsia="仿宋字体" w:cs="仿宋字体"/>
          <w:kern w:val="0"/>
          <w:sz w:val="32"/>
          <w:szCs w:val="32"/>
          <w:shd w:val="clear" w:color="auto" w:fill="FFFFFF"/>
        </w:rPr>
      </w:pPr>
      <w:r>
        <w:rPr>
          <w:rFonts w:hint="eastAsia" w:ascii="仿宋字体" w:hAnsi="仿宋字体" w:eastAsia="仿宋字体" w:cs="仿宋字体"/>
          <w:b/>
          <w:bCs/>
          <w:sz w:val="32"/>
          <w:szCs w:val="32"/>
        </w:rPr>
        <w:t xml:space="preserve">第八条 </w:t>
      </w:r>
      <w:r>
        <w:rPr>
          <w:rFonts w:hint="eastAsia" w:ascii="仿宋字体" w:hAnsi="仿宋字体" w:eastAsia="仿宋字体" w:cs="仿宋字体"/>
          <w:kern w:val="0"/>
          <w:sz w:val="32"/>
          <w:szCs w:val="32"/>
          <w:shd w:val="clear" w:color="auto" w:fill="FFFFFF"/>
        </w:rPr>
        <w:t>充分运用电教手段，组织党员民警职工观看警示教育片、影视</w:t>
      </w:r>
      <w:r>
        <w:rPr>
          <w:rFonts w:ascii="仿宋字体" w:hAnsi="仿宋字体" w:eastAsia="仿宋字体" w:cs="仿宋字体"/>
          <w:kern w:val="0"/>
          <w:sz w:val="32"/>
          <w:szCs w:val="32"/>
          <w:shd w:val="clear" w:color="auto" w:fill="FFFFFF"/>
        </w:rPr>
        <w:t>宣传</w:t>
      </w:r>
      <w:r>
        <w:rPr>
          <w:rFonts w:hint="eastAsia" w:ascii="仿宋字体" w:hAnsi="仿宋字体" w:eastAsia="仿宋字体" w:cs="仿宋字体"/>
          <w:kern w:val="0"/>
          <w:sz w:val="32"/>
          <w:szCs w:val="32"/>
          <w:shd w:val="clear" w:color="auto" w:fill="FFFFFF"/>
        </w:rPr>
        <w:t>片、优秀文艺作品等，对党员进行党性、党风、党纪教育。</w:t>
      </w:r>
    </w:p>
    <w:p w14:paraId="480D0A60">
      <w:pPr>
        <w:widowControl/>
        <w:spacing w:line="560" w:lineRule="exact"/>
        <w:ind w:firstLine="643" w:firstLineChars="200"/>
        <w:rPr>
          <w:rFonts w:ascii="仿宋字体" w:hAnsi="仿宋字体" w:eastAsia="仿宋字体" w:cs="仿宋字体"/>
          <w:sz w:val="32"/>
          <w:szCs w:val="32"/>
        </w:rPr>
      </w:pPr>
      <w:r>
        <w:rPr>
          <w:rFonts w:hint="eastAsia" w:ascii="仿宋字体" w:hAnsi="仿宋字体" w:eastAsia="仿宋字体" w:cs="仿宋字体"/>
          <w:b/>
          <w:bCs/>
          <w:sz w:val="32"/>
          <w:szCs w:val="32"/>
        </w:rPr>
        <w:t>第九条</w:t>
      </w:r>
      <w:r>
        <w:rPr>
          <w:rFonts w:hint="eastAsia" w:ascii="仿宋字体" w:hAnsi="仿宋字体" w:eastAsia="仿宋字体" w:cs="仿宋字体"/>
          <w:kern w:val="0"/>
          <w:sz w:val="32"/>
          <w:szCs w:val="32"/>
          <w:shd w:val="clear" w:color="auto" w:fill="FFFFFF"/>
        </w:rPr>
        <w:t xml:space="preserve"> 组织党员民警职工到廉政教育基地、警示教育基地、红色教育基地，观看警示教育图片和文字展</w:t>
      </w:r>
      <w:r>
        <w:rPr>
          <w:rFonts w:ascii="仿宋字体" w:hAnsi="仿宋字体" w:eastAsia="仿宋字体" w:cs="仿宋字体"/>
          <w:kern w:val="0"/>
          <w:sz w:val="32"/>
          <w:szCs w:val="32"/>
          <w:shd w:val="clear" w:color="auto" w:fill="FFFFFF"/>
        </w:rPr>
        <w:t>览等</w:t>
      </w:r>
      <w:r>
        <w:rPr>
          <w:rFonts w:hint="eastAsia" w:ascii="仿宋字体" w:hAnsi="仿宋字体" w:eastAsia="仿宋字体" w:cs="仿宋字体"/>
          <w:kern w:val="0"/>
          <w:sz w:val="32"/>
          <w:szCs w:val="32"/>
          <w:shd w:val="clear" w:color="auto" w:fill="FFFFFF"/>
        </w:rPr>
        <w:t>。</w:t>
      </w:r>
    </w:p>
    <w:p w14:paraId="0DD6EB19">
      <w:pPr>
        <w:jc w:val="center"/>
        <w:rPr>
          <w:b/>
          <w:bCs/>
          <w:sz w:val="32"/>
          <w:szCs w:val="32"/>
        </w:rPr>
      </w:pPr>
      <w:r>
        <w:rPr>
          <w:rFonts w:hint="eastAsia"/>
          <w:b/>
          <w:bCs/>
          <w:sz w:val="32"/>
          <w:szCs w:val="32"/>
        </w:rPr>
        <w:t>第三章 其他要求</w:t>
      </w:r>
    </w:p>
    <w:p w14:paraId="69742F9A">
      <w:pPr>
        <w:widowControl/>
        <w:spacing w:line="560" w:lineRule="exact"/>
        <w:ind w:firstLine="643" w:firstLineChars="200"/>
        <w:rPr>
          <w:rFonts w:ascii="仿宋字体" w:hAnsi="仿宋字体" w:eastAsia="仿宋字体" w:cs="仿宋字体"/>
          <w:kern w:val="0"/>
          <w:sz w:val="32"/>
          <w:szCs w:val="32"/>
          <w:shd w:val="clear" w:color="auto" w:fill="FFFFFF"/>
        </w:rPr>
      </w:pPr>
      <w:r>
        <w:rPr>
          <w:rFonts w:hint="eastAsia" w:ascii="仿宋字体" w:hAnsi="仿宋字体" w:eastAsia="仿宋字体" w:cs="仿宋字体"/>
          <w:b/>
          <w:bCs/>
          <w:sz w:val="32"/>
          <w:szCs w:val="32"/>
        </w:rPr>
        <w:t>第十条</w:t>
      </w:r>
      <w:r>
        <w:rPr>
          <w:rFonts w:hint="eastAsia" w:ascii="仿宋字体" w:hAnsi="仿宋字体" w:eastAsia="仿宋字体" w:cs="仿宋字体"/>
          <w:kern w:val="0"/>
          <w:sz w:val="32"/>
          <w:szCs w:val="32"/>
          <w:shd w:val="clear" w:color="auto" w:fill="FFFFFF"/>
        </w:rPr>
        <w:t xml:space="preserve"> 坚持每月不少于一次组织党员民警职工学习</w:t>
      </w:r>
      <w:r>
        <w:rPr>
          <w:rFonts w:ascii="仿宋字体" w:hAnsi="仿宋字体" w:eastAsia="仿宋字体" w:cs="仿宋字体"/>
          <w:kern w:val="0"/>
          <w:sz w:val="32"/>
          <w:szCs w:val="32"/>
          <w:shd w:val="clear" w:color="auto" w:fill="FFFFFF"/>
        </w:rPr>
        <w:t>。</w:t>
      </w:r>
      <w:r>
        <w:rPr>
          <w:rFonts w:hint="eastAsia" w:ascii="仿宋字体" w:hAnsi="仿宋字体" w:eastAsia="仿宋字体" w:cs="仿宋字体"/>
          <w:kern w:val="0"/>
          <w:sz w:val="32"/>
          <w:szCs w:val="32"/>
          <w:shd w:val="clear" w:color="auto" w:fill="FFFFFF"/>
        </w:rPr>
        <w:t>认真学习</w:t>
      </w:r>
      <w:r>
        <w:rPr>
          <w:rStyle w:val="11"/>
          <w:rFonts w:hint="eastAsia" w:ascii="仿宋字体" w:hAnsi="仿宋字体" w:eastAsia="仿宋字体" w:cs="仿宋字体"/>
          <w:b w:val="0"/>
          <w:sz w:val="32"/>
          <w:szCs w:val="32"/>
          <w:shd w:val="clear" w:color="auto" w:fill="FFFFFF"/>
        </w:rPr>
        <w:t>马克思列宁主义、毛泽东思想、邓小平理论、“三个代表”重要思想、科学发展观、习近平新时代中国特色社会主义思想，学习党的</w:t>
      </w:r>
      <w:r>
        <w:rPr>
          <w:rFonts w:hint="eastAsia" w:ascii="仿宋字体" w:hAnsi="仿宋字体" w:eastAsia="仿宋字体" w:cs="仿宋字体"/>
          <w:kern w:val="0"/>
          <w:sz w:val="32"/>
          <w:szCs w:val="32"/>
          <w:shd w:val="clear" w:color="auto" w:fill="FFFFFF"/>
        </w:rPr>
        <w:t>路线、方针、政策；学习法律法规，学习科学文化知识及上级关于反腐倡廉的有关规定，增强党员民警职工的政治意识和业务素质</w:t>
      </w:r>
      <w:r>
        <w:rPr>
          <w:rFonts w:ascii="仿宋字体" w:hAnsi="仿宋字体" w:eastAsia="仿宋字体" w:cs="仿宋字体"/>
          <w:kern w:val="0"/>
          <w:sz w:val="32"/>
          <w:szCs w:val="32"/>
          <w:shd w:val="clear" w:color="auto" w:fill="FFFFFF"/>
        </w:rPr>
        <w:t>。</w:t>
      </w:r>
    </w:p>
    <w:p w14:paraId="3A75F8A5">
      <w:pPr>
        <w:widowControl/>
        <w:spacing w:line="560" w:lineRule="exact"/>
        <w:ind w:firstLine="643" w:firstLineChars="200"/>
        <w:rPr>
          <w:rFonts w:ascii="仿宋字体" w:hAnsi="仿宋字体" w:eastAsia="仿宋字体" w:cs="仿宋字体"/>
          <w:kern w:val="0"/>
          <w:sz w:val="32"/>
          <w:szCs w:val="32"/>
          <w:shd w:val="clear" w:color="auto" w:fill="FFFFFF"/>
        </w:rPr>
      </w:pPr>
      <w:r>
        <w:rPr>
          <w:rFonts w:hint="eastAsia" w:ascii="仿宋字体" w:hAnsi="仿宋字体" w:eastAsia="仿宋字体" w:cs="仿宋字体"/>
          <w:b/>
          <w:bCs/>
          <w:sz w:val="32"/>
          <w:szCs w:val="32"/>
        </w:rPr>
        <w:t>第十一条</w:t>
      </w:r>
      <w:r>
        <w:rPr>
          <w:rFonts w:hint="eastAsia" w:ascii="仿宋字体" w:hAnsi="仿宋字体" w:eastAsia="仿宋字体" w:cs="仿宋字体"/>
          <w:kern w:val="0"/>
          <w:sz w:val="32"/>
          <w:szCs w:val="32"/>
          <w:shd w:val="clear" w:color="auto" w:fill="FFFFFF"/>
        </w:rPr>
        <w:t xml:space="preserve"> 遵守学习纪律，自觉参加学习，不得迟到、早退，不得无故缺席，严格执行《民警职工请销假制度》和《民警职工考勤制度》。</w:t>
      </w:r>
    </w:p>
    <w:p w14:paraId="5DC5C608">
      <w:pPr>
        <w:widowControl/>
        <w:spacing w:line="560" w:lineRule="exact"/>
        <w:ind w:firstLine="643" w:firstLineChars="200"/>
        <w:rPr>
          <w:rFonts w:ascii="仿宋字体" w:hAnsi="仿宋字体" w:eastAsia="仿宋字体" w:cs="仿宋字体"/>
          <w:kern w:val="0"/>
          <w:sz w:val="32"/>
          <w:szCs w:val="32"/>
          <w:shd w:val="clear" w:color="auto" w:fill="FFFFFF"/>
        </w:rPr>
      </w:pPr>
      <w:r>
        <w:rPr>
          <w:rFonts w:hint="eastAsia" w:ascii="仿宋字体" w:hAnsi="仿宋字体" w:eastAsia="仿宋字体" w:cs="仿宋字体"/>
          <w:b/>
          <w:bCs/>
          <w:sz w:val="32"/>
          <w:szCs w:val="32"/>
        </w:rPr>
        <w:t xml:space="preserve">第十二条 </w:t>
      </w:r>
      <w:r>
        <w:rPr>
          <w:rFonts w:hint="eastAsia" w:ascii="仿宋字体" w:hAnsi="仿宋字体" w:eastAsia="仿宋字体" w:cs="仿宋字体"/>
          <w:kern w:val="0"/>
          <w:sz w:val="32"/>
          <w:szCs w:val="32"/>
          <w:shd w:val="clear" w:color="auto" w:fill="FFFFFF"/>
        </w:rPr>
        <w:t>要设立党员、政治学习记录本，记录每次学习情况，每名党员有学习笔记</w:t>
      </w:r>
      <w:r>
        <w:rPr>
          <w:rFonts w:ascii="仿宋字体" w:hAnsi="仿宋字体" w:eastAsia="仿宋字体" w:cs="仿宋字体"/>
          <w:kern w:val="0"/>
          <w:sz w:val="32"/>
          <w:szCs w:val="32"/>
          <w:shd w:val="clear" w:color="auto" w:fill="FFFFFF"/>
        </w:rPr>
        <w:t>；在讨论中积极踊跃发言。</w:t>
      </w:r>
    </w:p>
    <w:p w14:paraId="3900B78F">
      <w:pPr>
        <w:spacing w:line="560" w:lineRule="exact"/>
        <w:ind w:firstLine="643" w:firstLineChars="200"/>
        <w:rPr>
          <w:rFonts w:ascii="仿宋字体" w:hAnsi="仿宋字体" w:eastAsia="仿宋字体" w:cs="仿宋字体"/>
          <w:sz w:val="32"/>
          <w:szCs w:val="32"/>
        </w:rPr>
      </w:pPr>
      <w:r>
        <w:rPr>
          <w:rFonts w:hint="eastAsia" w:ascii="仿宋字体" w:hAnsi="仿宋字体" w:eastAsia="仿宋字体" w:cs="仿宋字体"/>
          <w:b/>
          <w:bCs/>
          <w:sz w:val="32"/>
          <w:szCs w:val="32"/>
        </w:rPr>
        <w:t>第十三条</w:t>
      </w:r>
      <w:r>
        <w:rPr>
          <w:rFonts w:hint="eastAsia" w:ascii="仿宋字体" w:hAnsi="仿宋字体" w:eastAsia="仿宋字体" w:cs="仿宋字体"/>
          <w:sz w:val="32"/>
          <w:szCs w:val="32"/>
        </w:rPr>
        <w:t xml:space="preserve"> 将党员参加</w:t>
      </w:r>
      <w:r>
        <w:rPr>
          <w:rFonts w:ascii="仿宋字体" w:hAnsi="仿宋字体" w:eastAsia="仿宋字体" w:cs="仿宋字体"/>
          <w:sz w:val="32"/>
          <w:szCs w:val="32"/>
        </w:rPr>
        <w:t>廉政教育</w:t>
      </w:r>
      <w:r>
        <w:rPr>
          <w:rFonts w:hint="eastAsia" w:ascii="仿宋字体" w:hAnsi="仿宋字体" w:eastAsia="仿宋字体" w:cs="仿宋字体"/>
          <w:sz w:val="32"/>
          <w:szCs w:val="32"/>
        </w:rPr>
        <w:t>情况纳入年底评优评先的评选标准。</w:t>
      </w:r>
    </w:p>
    <w:p w14:paraId="63C323D8">
      <w:pPr>
        <w:spacing w:line="560" w:lineRule="exact"/>
        <w:ind w:firstLine="643" w:firstLineChars="200"/>
        <w:rPr>
          <w:rFonts w:ascii="仿宋字体" w:hAnsi="仿宋字体" w:eastAsia="仿宋字体" w:cs="仿宋字体"/>
          <w:sz w:val="32"/>
          <w:szCs w:val="32"/>
        </w:rPr>
      </w:pPr>
      <w:r>
        <w:rPr>
          <w:rFonts w:hint="eastAsia" w:ascii="仿宋字体" w:hAnsi="仿宋字体" w:eastAsia="仿宋字体" w:cs="仿宋字体"/>
          <w:b/>
          <w:bCs/>
          <w:sz w:val="32"/>
          <w:szCs w:val="32"/>
        </w:rPr>
        <w:t>第十四条</w:t>
      </w:r>
      <w:r>
        <w:rPr>
          <w:rFonts w:hint="eastAsia" w:ascii="仿宋字体" w:hAnsi="仿宋字体" w:eastAsia="仿宋字体" w:cs="仿宋字体"/>
          <w:sz w:val="32"/>
          <w:szCs w:val="32"/>
        </w:rPr>
        <w:t xml:space="preserve"> </w:t>
      </w:r>
      <w:r>
        <w:rPr>
          <w:rFonts w:ascii="仿宋字体" w:hAnsi="仿宋字体" w:eastAsia="仿宋字体" w:cs="仿宋字体"/>
          <w:sz w:val="32"/>
          <w:szCs w:val="32"/>
        </w:rPr>
        <w:t>本制度规定的各项情形应严格执行，如有违反将视情节追究责任。</w:t>
      </w:r>
    </w:p>
    <w:p w14:paraId="7D27563E">
      <w:pPr>
        <w:rPr>
          <w:rFonts w:ascii="仿宋字体" w:hAnsi="仿宋字体" w:eastAsia="仿宋字体" w:cs="仿宋字体"/>
          <w:sz w:val="32"/>
          <w:szCs w:val="32"/>
        </w:rPr>
      </w:pPr>
      <w:r>
        <w:rPr>
          <w:rFonts w:ascii="仿宋字体" w:hAnsi="仿宋字体" w:eastAsia="仿宋字体" w:cs="仿宋字体"/>
          <w:sz w:val="32"/>
          <w:szCs w:val="32"/>
        </w:rPr>
        <w:br w:type="page"/>
      </w:r>
    </w:p>
    <w:p w14:paraId="53BFDAEB">
      <w:pPr>
        <w:rPr>
          <w:rFonts w:ascii="方正小标宋简体" w:eastAsia="方正小标宋简体"/>
          <w:sz w:val="44"/>
          <w:szCs w:val="44"/>
        </w:rPr>
      </w:pPr>
      <w:r>
        <w:rPr>
          <w:rFonts w:hint="eastAsia" w:ascii="方正小标宋简体" w:eastAsia="方正小标宋简体"/>
          <w:sz w:val="44"/>
          <w:szCs w:val="44"/>
        </w:rPr>
        <w:t>中共白城强制隔离戒毒所委员会党委议事规则</w:t>
      </w:r>
    </w:p>
    <w:p w14:paraId="2F1E663D">
      <w:pPr>
        <w:spacing w:line="560" w:lineRule="exact"/>
        <w:ind w:firstLine="480" w:firstLineChars="150"/>
        <w:rPr>
          <w:rFonts w:ascii="仿宋_GB2312" w:eastAsia="仿宋_GB2312"/>
          <w:sz w:val="32"/>
          <w:szCs w:val="32"/>
        </w:rPr>
      </w:pPr>
    </w:p>
    <w:p w14:paraId="09861B10">
      <w:pPr>
        <w:spacing w:line="560" w:lineRule="exact"/>
        <w:ind w:firstLine="480" w:firstLineChars="150"/>
        <w:rPr>
          <w:rFonts w:ascii="仿宋_GB2312" w:eastAsia="仿宋_GB2312"/>
          <w:sz w:val="32"/>
          <w:szCs w:val="32"/>
        </w:rPr>
      </w:pPr>
      <w:r>
        <w:rPr>
          <w:rFonts w:hint="eastAsia" w:ascii="仿宋_GB2312" w:eastAsia="仿宋_GB2312"/>
          <w:sz w:val="32"/>
          <w:szCs w:val="32"/>
        </w:rPr>
        <w:t>为了加强和改进市强制隔离戒毒所党委集体领导，坚持和贯彻党的民主集中制原则，进一步提高议事决策水平，更好地履行工作职责，依据《中国共产党章程》《中国共产党党组工作条例》的精神，制定本规则。</w:t>
      </w:r>
    </w:p>
    <w:p w14:paraId="3187DAB7">
      <w:pPr>
        <w:spacing w:line="560" w:lineRule="exact"/>
        <w:jc w:val="center"/>
        <w:rPr>
          <w:rFonts w:ascii="Calibri" w:hAnsi="Calibri" w:eastAsia="宋体" w:cs="Times New Roman"/>
          <w:b/>
          <w:bCs/>
          <w:sz w:val="32"/>
          <w:szCs w:val="32"/>
        </w:rPr>
      </w:pPr>
      <w:r>
        <w:rPr>
          <w:rFonts w:hint="eastAsia" w:ascii="Calibri" w:hAnsi="Calibri" w:eastAsia="宋体" w:cs="Times New Roman"/>
          <w:b/>
          <w:bCs/>
          <w:sz w:val="32"/>
          <w:szCs w:val="32"/>
        </w:rPr>
        <w:t>第一章 决策重大事项的基本原则</w:t>
      </w:r>
    </w:p>
    <w:p w14:paraId="1AC2411C">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第一条</w:t>
      </w:r>
      <w:r>
        <w:rPr>
          <w:rFonts w:hint="eastAsia" w:ascii="仿宋_GB2312" w:eastAsia="仿宋_GB2312"/>
          <w:sz w:val="32"/>
          <w:szCs w:val="32"/>
        </w:rPr>
        <w:t xml:space="preserve"> 坚持以马克思列宁主义、毛泽东思想、邓小平理论、“三个代表”重要思想和习近平总书记系列讲话精神为指导，认真贯彻执行党的基本路线、方针、政策，从思想上、政治上、行动上同党中央和市委保持高度一致，做到有令即行、有禁即止。</w:t>
      </w:r>
    </w:p>
    <w:p w14:paraId="6FFF308E">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第二条</w:t>
      </w:r>
      <w:r>
        <w:rPr>
          <w:rFonts w:hint="eastAsia" w:ascii="仿宋_GB2312" w:eastAsia="仿宋_GB2312"/>
          <w:sz w:val="32"/>
          <w:szCs w:val="32"/>
        </w:rPr>
        <w:t xml:space="preserve"> 认真学习国家的宪法和法律，坚持在国家的宪法和法律的范围内活动，保证国家的宪法和法律在戒毒机关的贯彻实施。</w:t>
      </w:r>
    </w:p>
    <w:p w14:paraId="268308F0">
      <w:pPr>
        <w:spacing w:line="560" w:lineRule="exact"/>
        <w:ind w:firstLine="643" w:firstLineChars="200"/>
        <w:rPr>
          <w:rFonts w:ascii="仿宋_GB2312" w:eastAsia="仿宋_GB2312"/>
          <w:sz w:val="32"/>
          <w:szCs w:val="32"/>
        </w:rPr>
      </w:pPr>
      <w:r>
        <w:rPr>
          <w:rFonts w:hint="eastAsia" w:ascii="仿宋_GB2312" w:eastAsia="仿宋_GB2312"/>
          <w:b/>
          <w:bCs/>
          <w:sz w:val="32"/>
          <w:szCs w:val="32"/>
        </w:rPr>
        <w:t xml:space="preserve">第三条 </w:t>
      </w:r>
      <w:r>
        <w:rPr>
          <w:rFonts w:hint="eastAsia" w:ascii="仿宋_GB2312" w:eastAsia="仿宋_GB2312"/>
          <w:sz w:val="32"/>
          <w:szCs w:val="32"/>
        </w:rPr>
        <w:t>研究和组织学习上级的各种指示、决定，结合工作实际，不打折扣地认真贯彻执行。要坚持解放思想、实事求是、与时俱进、开拓创新。</w:t>
      </w:r>
    </w:p>
    <w:p w14:paraId="3A026652">
      <w:pPr>
        <w:spacing w:line="560" w:lineRule="exact"/>
        <w:ind w:firstLine="643" w:firstLineChars="200"/>
        <w:rPr>
          <w:rFonts w:ascii="仿宋_GB2312" w:eastAsia="仿宋_GB2312"/>
          <w:sz w:val="32"/>
          <w:szCs w:val="32"/>
        </w:rPr>
      </w:pPr>
      <w:r>
        <w:rPr>
          <w:rFonts w:hint="eastAsia" w:ascii="仿宋_GB2312" w:eastAsia="仿宋_GB2312"/>
          <w:b/>
          <w:bCs/>
          <w:sz w:val="32"/>
          <w:szCs w:val="32"/>
        </w:rPr>
        <w:t xml:space="preserve">第四条 </w:t>
      </w:r>
      <w:r>
        <w:rPr>
          <w:rFonts w:hint="eastAsia" w:ascii="仿宋_GB2312" w:eastAsia="仿宋_GB2312"/>
          <w:sz w:val="32"/>
          <w:szCs w:val="32"/>
        </w:rPr>
        <w:t>严格遵守“集体领导、民主集中、个别酝酿、会议决定”的原则，实行集体议事和会议表决，坚持党委统一的集体领导下的分工负责制，确保民主集中制的贯彻落实。</w:t>
      </w:r>
    </w:p>
    <w:p w14:paraId="5784B0B4">
      <w:pPr>
        <w:spacing w:line="560" w:lineRule="exact"/>
        <w:ind w:firstLine="643" w:firstLineChars="200"/>
        <w:rPr>
          <w:rFonts w:ascii="仿宋_GB2312" w:eastAsia="仿宋_GB2312"/>
          <w:sz w:val="32"/>
          <w:szCs w:val="32"/>
        </w:rPr>
      </w:pPr>
      <w:r>
        <w:rPr>
          <w:rFonts w:hint="eastAsia" w:ascii="仿宋_GB2312" w:eastAsia="仿宋_GB2312"/>
          <w:b/>
          <w:bCs/>
          <w:sz w:val="32"/>
          <w:szCs w:val="32"/>
        </w:rPr>
        <w:t xml:space="preserve">第五条 </w:t>
      </w:r>
      <w:r>
        <w:rPr>
          <w:rFonts w:hint="eastAsia" w:ascii="仿宋_GB2312" w:eastAsia="仿宋_GB2312"/>
          <w:sz w:val="32"/>
          <w:szCs w:val="32"/>
        </w:rPr>
        <w:t>充分发扬民主，广泛征求意见，坚持走从群众中来、到群众中去的群众路线，了解民情、反映民意、集中民智，实施科学决策。</w:t>
      </w:r>
    </w:p>
    <w:p w14:paraId="096D9F40">
      <w:pPr>
        <w:spacing w:line="560" w:lineRule="exact"/>
        <w:jc w:val="center"/>
        <w:rPr>
          <w:rFonts w:ascii="Calibri" w:hAnsi="Calibri" w:eastAsia="宋体" w:cs="Times New Roman"/>
          <w:b/>
          <w:bCs/>
          <w:sz w:val="32"/>
          <w:szCs w:val="32"/>
        </w:rPr>
      </w:pPr>
      <w:r>
        <w:rPr>
          <w:rFonts w:hint="eastAsia" w:ascii="Calibri" w:hAnsi="Calibri" w:eastAsia="宋体" w:cs="Times New Roman"/>
          <w:b/>
          <w:bCs/>
          <w:sz w:val="32"/>
          <w:szCs w:val="32"/>
        </w:rPr>
        <w:t>第二章 决策重大事项的议事范围</w:t>
      </w:r>
    </w:p>
    <w:p w14:paraId="4CCCDC1F">
      <w:pPr>
        <w:spacing w:line="560" w:lineRule="exact"/>
        <w:ind w:firstLine="643" w:firstLineChars="200"/>
        <w:rPr>
          <w:rFonts w:ascii="仿宋_GB2312" w:eastAsia="仿宋_GB2312"/>
          <w:sz w:val="32"/>
          <w:szCs w:val="32"/>
        </w:rPr>
      </w:pPr>
      <w:r>
        <w:rPr>
          <w:rFonts w:hint="eastAsia" w:ascii="仿宋_GB2312" w:eastAsia="仿宋_GB2312"/>
          <w:b/>
          <w:bCs/>
          <w:sz w:val="32"/>
          <w:szCs w:val="32"/>
        </w:rPr>
        <w:t xml:space="preserve">第六条 </w:t>
      </w:r>
      <w:r>
        <w:rPr>
          <w:rFonts w:hint="eastAsia" w:ascii="仿宋_GB2312" w:eastAsia="仿宋_GB2312"/>
          <w:sz w:val="32"/>
          <w:szCs w:val="32"/>
        </w:rPr>
        <w:t>贯彻落实上级重大决策、部署</w:t>
      </w:r>
    </w:p>
    <w:p w14:paraId="1AEADE29">
      <w:pPr>
        <w:spacing w:line="560" w:lineRule="exact"/>
        <w:ind w:firstLine="640" w:firstLineChars="200"/>
        <w:rPr>
          <w:rFonts w:ascii="仿宋_GB2312" w:eastAsia="仿宋_GB2312"/>
          <w:sz w:val="32"/>
          <w:szCs w:val="32"/>
        </w:rPr>
      </w:pPr>
      <w:r>
        <w:rPr>
          <w:rFonts w:hint="eastAsia" w:ascii="仿宋_GB2312" w:eastAsia="仿宋_GB2312"/>
          <w:sz w:val="32"/>
          <w:szCs w:val="32"/>
        </w:rPr>
        <w:t>（一）传达学习中央、省委、市委重要文件，重要会议精神、重大决策部署，结合我所实际，认真作出贯彻落实的决定和安排意见。</w:t>
      </w:r>
    </w:p>
    <w:p w14:paraId="7A136928">
      <w:pPr>
        <w:spacing w:line="560" w:lineRule="exact"/>
        <w:ind w:firstLine="640" w:firstLineChars="200"/>
        <w:rPr>
          <w:rFonts w:ascii="仿宋_GB2312" w:eastAsia="仿宋_GB2312"/>
          <w:sz w:val="32"/>
          <w:szCs w:val="32"/>
        </w:rPr>
      </w:pPr>
      <w:r>
        <w:rPr>
          <w:rFonts w:hint="eastAsia" w:ascii="仿宋_GB2312" w:eastAsia="仿宋_GB2312"/>
          <w:sz w:val="32"/>
          <w:szCs w:val="32"/>
        </w:rPr>
        <w:t>（二）研究落实市委要求党委讨论决定的问题。</w:t>
      </w:r>
    </w:p>
    <w:p w14:paraId="7667A286">
      <w:pPr>
        <w:spacing w:line="560" w:lineRule="exact"/>
        <w:ind w:firstLine="640" w:firstLineChars="200"/>
        <w:rPr>
          <w:rFonts w:ascii="仿宋_GB2312" w:eastAsia="仿宋_GB2312"/>
          <w:sz w:val="32"/>
          <w:szCs w:val="32"/>
        </w:rPr>
      </w:pPr>
      <w:r>
        <w:rPr>
          <w:rFonts w:hint="eastAsia" w:ascii="仿宋_GB2312" w:eastAsia="仿宋_GB2312"/>
          <w:sz w:val="32"/>
          <w:szCs w:val="32"/>
        </w:rPr>
        <w:t>（三）研究落实省司法厅、省戒毒局党委和市司法局要求所党委讨论决定的问题。</w:t>
      </w:r>
    </w:p>
    <w:p w14:paraId="26E66B3B">
      <w:pPr>
        <w:spacing w:line="560" w:lineRule="exact"/>
        <w:ind w:firstLine="643" w:firstLineChars="200"/>
        <w:rPr>
          <w:rFonts w:ascii="仿宋_GB2312" w:eastAsia="仿宋_GB2312"/>
          <w:sz w:val="32"/>
          <w:szCs w:val="32"/>
        </w:rPr>
      </w:pPr>
      <w:r>
        <w:rPr>
          <w:rFonts w:hint="eastAsia" w:ascii="仿宋_GB2312" w:eastAsia="仿宋_GB2312"/>
          <w:b/>
          <w:bCs/>
          <w:sz w:val="32"/>
          <w:szCs w:val="32"/>
        </w:rPr>
        <w:t xml:space="preserve">第七条 </w:t>
      </w:r>
      <w:r>
        <w:rPr>
          <w:rFonts w:hint="eastAsia" w:ascii="仿宋_GB2312" w:eastAsia="仿宋_GB2312"/>
          <w:sz w:val="32"/>
          <w:szCs w:val="32"/>
        </w:rPr>
        <w:t>讨论研究全所工作的重要问题</w:t>
      </w:r>
    </w:p>
    <w:p w14:paraId="202D4727">
      <w:pPr>
        <w:spacing w:line="560" w:lineRule="exact"/>
        <w:ind w:firstLine="480" w:firstLineChars="150"/>
        <w:rPr>
          <w:rFonts w:ascii="仿宋_GB2312" w:eastAsia="仿宋_GB2312"/>
          <w:sz w:val="32"/>
          <w:szCs w:val="32"/>
        </w:rPr>
      </w:pPr>
      <w:r>
        <w:rPr>
          <w:rFonts w:hint="eastAsia" w:ascii="仿宋_GB2312" w:eastAsia="仿宋_GB2312"/>
          <w:sz w:val="32"/>
          <w:szCs w:val="32"/>
        </w:rPr>
        <w:t>（四）研究确定向上级推荐干部人选。</w:t>
      </w:r>
    </w:p>
    <w:p w14:paraId="5605DDAC">
      <w:pPr>
        <w:spacing w:line="560" w:lineRule="exact"/>
        <w:ind w:firstLine="480" w:firstLineChars="150"/>
        <w:rPr>
          <w:rFonts w:ascii="仿宋_GB2312" w:eastAsia="仿宋_GB2312"/>
          <w:sz w:val="32"/>
          <w:szCs w:val="32"/>
        </w:rPr>
      </w:pPr>
      <w:r>
        <w:rPr>
          <w:rFonts w:hint="eastAsia" w:ascii="仿宋_GB2312" w:eastAsia="仿宋_GB2312"/>
          <w:sz w:val="32"/>
          <w:szCs w:val="32"/>
        </w:rPr>
        <w:t>（五）研究拟定呈报职称评聘、各种表彰、奖励人员。</w:t>
      </w:r>
    </w:p>
    <w:p w14:paraId="06ADF4D2">
      <w:pPr>
        <w:spacing w:line="560" w:lineRule="exact"/>
        <w:ind w:firstLine="480" w:firstLineChars="150"/>
        <w:rPr>
          <w:rFonts w:ascii="仿宋_GB2312" w:eastAsia="仿宋_GB2312"/>
          <w:sz w:val="32"/>
          <w:szCs w:val="32"/>
        </w:rPr>
      </w:pPr>
      <w:r>
        <w:rPr>
          <w:rFonts w:hint="eastAsia" w:ascii="仿宋_GB2312" w:eastAsia="仿宋_GB2312"/>
          <w:sz w:val="32"/>
          <w:szCs w:val="32"/>
        </w:rPr>
        <w:t>（六）研究拟定人员调动事宜。</w:t>
      </w:r>
    </w:p>
    <w:p w14:paraId="104D5AD3">
      <w:pPr>
        <w:spacing w:line="560" w:lineRule="exact"/>
        <w:ind w:firstLine="480" w:firstLineChars="150"/>
        <w:rPr>
          <w:rFonts w:ascii="仿宋_GB2312" w:eastAsia="仿宋_GB2312"/>
          <w:sz w:val="32"/>
          <w:szCs w:val="32"/>
        </w:rPr>
      </w:pPr>
      <w:r>
        <w:rPr>
          <w:rFonts w:hint="eastAsia" w:ascii="仿宋_GB2312" w:eastAsia="仿宋_GB2312"/>
          <w:sz w:val="32"/>
          <w:szCs w:val="32"/>
        </w:rPr>
        <w:t>（七）研究决定</w:t>
      </w:r>
      <w:r>
        <w:rPr>
          <w:rFonts w:ascii="仿宋_GB2312" w:eastAsia="仿宋_GB2312"/>
          <w:sz w:val="32"/>
          <w:szCs w:val="32"/>
        </w:rPr>
        <w:t>3</w:t>
      </w:r>
      <w:r>
        <w:rPr>
          <w:rFonts w:hint="eastAsia" w:ascii="仿宋_GB2312" w:eastAsia="仿宋_GB2312"/>
          <w:sz w:val="32"/>
          <w:szCs w:val="32"/>
        </w:rPr>
        <w:t>0000元以上的财务支出。</w:t>
      </w:r>
    </w:p>
    <w:p w14:paraId="788B5DA2">
      <w:pPr>
        <w:spacing w:line="560" w:lineRule="exact"/>
        <w:ind w:firstLine="480" w:firstLineChars="150"/>
        <w:rPr>
          <w:rFonts w:ascii="仿宋_GB2312" w:eastAsia="仿宋_GB2312"/>
          <w:sz w:val="32"/>
          <w:szCs w:val="32"/>
        </w:rPr>
      </w:pPr>
      <w:r>
        <w:rPr>
          <w:rFonts w:hint="eastAsia" w:ascii="仿宋_GB2312" w:eastAsia="仿宋_GB2312"/>
          <w:sz w:val="32"/>
          <w:szCs w:val="32"/>
        </w:rPr>
        <w:t>（八）研究决定购置装备物资。</w:t>
      </w:r>
    </w:p>
    <w:p w14:paraId="703EBE78">
      <w:pPr>
        <w:spacing w:line="560" w:lineRule="exact"/>
        <w:ind w:firstLine="480" w:firstLineChars="150"/>
        <w:rPr>
          <w:rFonts w:ascii="仿宋_GB2312" w:eastAsia="仿宋_GB2312"/>
          <w:sz w:val="32"/>
          <w:szCs w:val="32"/>
        </w:rPr>
      </w:pPr>
      <w:r>
        <w:rPr>
          <w:rFonts w:hint="eastAsia" w:ascii="仿宋_GB2312" w:eastAsia="仿宋_GB2312"/>
          <w:sz w:val="32"/>
          <w:szCs w:val="32"/>
        </w:rPr>
        <w:t>（九）研究决定基建项目。</w:t>
      </w:r>
    </w:p>
    <w:p w14:paraId="22E6EB9E">
      <w:pPr>
        <w:spacing w:line="560" w:lineRule="exact"/>
        <w:ind w:firstLine="480" w:firstLineChars="150"/>
        <w:rPr>
          <w:rFonts w:ascii="仿宋_GB2312" w:eastAsia="仿宋_GB2312"/>
          <w:sz w:val="32"/>
          <w:szCs w:val="32"/>
        </w:rPr>
      </w:pPr>
      <w:r>
        <w:rPr>
          <w:rFonts w:hint="eastAsia" w:ascii="仿宋_GB2312" w:eastAsia="仿宋_GB2312"/>
          <w:sz w:val="32"/>
          <w:szCs w:val="32"/>
        </w:rPr>
        <w:t>（十）研究制定或调整党委成员工作分工。</w:t>
      </w:r>
    </w:p>
    <w:p w14:paraId="25DC45F0">
      <w:pPr>
        <w:spacing w:line="560" w:lineRule="exact"/>
        <w:ind w:firstLine="480" w:firstLineChars="150"/>
        <w:rPr>
          <w:rFonts w:ascii="仿宋_GB2312" w:eastAsia="仿宋_GB2312"/>
          <w:sz w:val="32"/>
          <w:szCs w:val="32"/>
        </w:rPr>
      </w:pPr>
      <w:r>
        <w:rPr>
          <w:rFonts w:hint="eastAsia" w:ascii="仿宋_GB2312" w:eastAsia="仿宋_GB2312"/>
          <w:sz w:val="32"/>
          <w:szCs w:val="32"/>
        </w:rPr>
        <w:t>（十一）党委集体廉政建设制度、工作制度的制定和完善。</w:t>
      </w:r>
    </w:p>
    <w:p w14:paraId="34770FEE">
      <w:pPr>
        <w:spacing w:line="560" w:lineRule="exact"/>
        <w:ind w:firstLine="480" w:firstLineChars="150"/>
        <w:rPr>
          <w:rFonts w:ascii="仿宋_GB2312" w:eastAsia="仿宋_GB2312"/>
          <w:sz w:val="32"/>
          <w:szCs w:val="32"/>
        </w:rPr>
      </w:pPr>
      <w:r>
        <w:rPr>
          <w:rFonts w:hint="eastAsia" w:ascii="仿宋_GB2312" w:eastAsia="仿宋_GB2312"/>
          <w:sz w:val="32"/>
          <w:szCs w:val="32"/>
        </w:rPr>
        <w:t>（十二）研究决定重点工作的部署和推进。</w:t>
      </w:r>
    </w:p>
    <w:p w14:paraId="48333B6A">
      <w:pPr>
        <w:spacing w:line="560" w:lineRule="exact"/>
        <w:ind w:firstLine="480" w:firstLineChars="150"/>
        <w:rPr>
          <w:rFonts w:ascii="仿宋_GB2312" w:eastAsia="仿宋_GB2312"/>
          <w:sz w:val="32"/>
          <w:szCs w:val="32"/>
        </w:rPr>
      </w:pPr>
      <w:r>
        <w:rPr>
          <w:rFonts w:hint="eastAsia" w:ascii="仿宋_GB2312" w:eastAsia="仿宋_GB2312"/>
          <w:sz w:val="32"/>
          <w:szCs w:val="32"/>
        </w:rPr>
        <w:t>（十三）其它应由党委会集体讨论决定的重大问题。</w:t>
      </w:r>
    </w:p>
    <w:p w14:paraId="3E1B4FA6">
      <w:pPr>
        <w:spacing w:line="560" w:lineRule="exact"/>
        <w:jc w:val="center"/>
        <w:rPr>
          <w:rFonts w:ascii="Calibri" w:hAnsi="Calibri" w:eastAsia="宋体" w:cs="Times New Roman"/>
          <w:b/>
          <w:bCs/>
          <w:sz w:val="32"/>
          <w:szCs w:val="32"/>
        </w:rPr>
      </w:pPr>
      <w:r>
        <w:rPr>
          <w:rFonts w:hint="eastAsia" w:ascii="Calibri" w:hAnsi="Calibri" w:eastAsia="宋体" w:cs="Times New Roman"/>
          <w:b/>
          <w:bCs/>
          <w:sz w:val="32"/>
          <w:szCs w:val="32"/>
        </w:rPr>
        <w:t xml:space="preserve">   第三章 决策重大事项的基本程序</w:t>
      </w:r>
    </w:p>
    <w:p w14:paraId="6A7A9F77">
      <w:pPr>
        <w:spacing w:line="560" w:lineRule="exact"/>
        <w:ind w:firstLine="482" w:firstLineChars="150"/>
        <w:rPr>
          <w:rFonts w:ascii="仿宋_GB2312" w:eastAsia="仿宋_GB2312"/>
          <w:sz w:val="32"/>
          <w:szCs w:val="32"/>
        </w:rPr>
      </w:pPr>
      <w:r>
        <w:rPr>
          <w:rFonts w:hint="eastAsia" w:ascii="仿宋_GB2312" w:eastAsia="仿宋_GB2312"/>
          <w:b/>
          <w:bCs/>
          <w:sz w:val="32"/>
          <w:szCs w:val="32"/>
        </w:rPr>
        <w:t xml:space="preserve">第八条 </w:t>
      </w:r>
      <w:r>
        <w:rPr>
          <w:rFonts w:hint="eastAsia" w:ascii="仿宋_GB2312" w:eastAsia="仿宋_GB2312"/>
          <w:sz w:val="32"/>
          <w:szCs w:val="32"/>
        </w:rPr>
        <w:t>提出预案。预案通常由相关职能科（室）在广泛深入调查研究、充分听取各方面意见、集思广益的基础上，提出拟决策的重大事项，拟定初步方案后交分管的党委成员提出，特别重大或比较复杂的、敏感的事项，应提出两个以上可供比较的决策预案，待党委书记审核同意，提请党委会讨论决定。</w:t>
      </w:r>
    </w:p>
    <w:p w14:paraId="52C49125">
      <w:pPr>
        <w:spacing w:line="560" w:lineRule="exact"/>
        <w:ind w:firstLine="482" w:firstLineChars="150"/>
        <w:rPr>
          <w:rFonts w:ascii="仿宋_GB2312" w:eastAsia="仿宋_GB2312"/>
          <w:sz w:val="32"/>
          <w:szCs w:val="32"/>
        </w:rPr>
      </w:pPr>
      <w:r>
        <w:rPr>
          <w:rFonts w:hint="eastAsia" w:ascii="仿宋_GB2312" w:eastAsia="仿宋_GB2312"/>
          <w:b/>
          <w:bCs/>
          <w:sz w:val="32"/>
          <w:szCs w:val="32"/>
        </w:rPr>
        <w:t>第九条</w:t>
      </w:r>
      <w:r>
        <w:rPr>
          <w:rFonts w:hint="eastAsia" w:ascii="仿宋_GB2312" w:eastAsia="仿宋_GB2312"/>
          <w:sz w:val="32"/>
          <w:szCs w:val="32"/>
        </w:rPr>
        <w:t xml:space="preserve"> 科学论证。凡涉及财务支出、干部选用、群众切身利益等问题时，党委成员要带头搞好调研，充分听取和采纳专家、群众的意见和建议，坚持从实际出发，用事实说话。</w:t>
      </w:r>
    </w:p>
    <w:p w14:paraId="7044360D">
      <w:pPr>
        <w:spacing w:line="560" w:lineRule="exact"/>
        <w:ind w:firstLine="482" w:firstLineChars="150"/>
        <w:rPr>
          <w:rFonts w:ascii="仿宋_GB2312" w:eastAsia="仿宋_GB2312"/>
          <w:sz w:val="32"/>
          <w:szCs w:val="32"/>
        </w:rPr>
      </w:pPr>
      <w:r>
        <w:rPr>
          <w:rFonts w:hint="eastAsia" w:ascii="仿宋_GB2312" w:eastAsia="仿宋_GB2312"/>
          <w:b/>
          <w:bCs/>
          <w:sz w:val="32"/>
          <w:szCs w:val="32"/>
        </w:rPr>
        <w:t xml:space="preserve">第十条 </w:t>
      </w:r>
      <w:r>
        <w:rPr>
          <w:rFonts w:hint="eastAsia" w:ascii="仿宋_GB2312" w:eastAsia="仿宋_GB2312"/>
          <w:sz w:val="32"/>
          <w:szCs w:val="32"/>
        </w:rPr>
        <w:t>沟通酝酿。会议议题和有关材料一般提前3至5天发给党委成员，以便预先熟悉情况准备意见。除干部任免事项外，尽量避免临时动议。</w:t>
      </w:r>
    </w:p>
    <w:p w14:paraId="6297B284">
      <w:pPr>
        <w:spacing w:line="560" w:lineRule="exact"/>
        <w:ind w:firstLine="482" w:firstLineChars="150"/>
        <w:rPr>
          <w:rFonts w:ascii="仿宋_GB2312" w:eastAsia="仿宋_GB2312"/>
          <w:sz w:val="32"/>
          <w:szCs w:val="32"/>
        </w:rPr>
      </w:pPr>
      <w:r>
        <w:rPr>
          <w:rFonts w:hint="eastAsia" w:ascii="仿宋_GB2312" w:eastAsia="仿宋_GB2312"/>
          <w:b/>
          <w:bCs/>
          <w:sz w:val="32"/>
          <w:szCs w:val="32"/>
        </w:rPr>
        <w:t xml:space="preserve">第十一条 </w:t>
      </w:r>
      <w:r>
        <w:rPr>
          <w:rFonts w:hint="eastAsia" w:ascii="仿宋_GB2312" w:eastAsia="仿宋_GB2312"/>
          <w:sz w:val="32"/>
          <w:szCs w:val="32"/>
        </w:rPr>
        <w:t>召集会议。会议不定期召开，遇有特殊情况可临时安排。会议由党委书记主持，书记不能参加会议时，可委托其他党委成员召集主持。会议须有半数以上成员到会方能举行。遇有特殊问题急需决议而党委成员不过半数时，可拟议初步意见，征求未到会党委成员的意见，经三分之二以上的党委成员同意后，也可作出决议。列席会议人员根据会议议题由党委书记确定。</w:t>
      </w:r>
    </w:p>
    <w:p w14:paraId="417EC1DD">
      <w:pPr>
        <w:spacing w:line="560" w:lineRule="exact"/>
        <w:ind w:firstLine="482" w:firstLineChars="150"/>
        <w:rPr>
          <w:rFonts w:ascii="仿宋_GB2312" w:eastAsia="仿宋_GB2312"/>
          <w:sz w:val="32"/>
          <w:szCs w:val="32"/>
        </w:rPr>
      </w:pPr>
      <w:r>
        <w:rPr>
          <w:rFonts w:hint="eastAsia" w:ascii="仿宋_GB2312" w:eastAsia="仿宋_GB2312"/>
          <w:b/>
          <w:bCs/>
          <w:sz w:val="32"/>
          <w:szCs w:val="32"/>
        </w:rPr>
        <w:t xml:space="preserve">第十二条 </w:t>
      </w:r>
      <w:r>
        <w:rPr>
          <w:rFonts w:hint="eastAsia" w:ascii="仿宋_GB2312" w:eastAsia="仿宋_GB2312"/>
          <w:sz w:val="32"/>
          <w:szCs w:val="32"/>
        </w:rPr>
        <w:t>集体议事和会议表决。会议先由分管成员或有关职能科（室）介绍预案及提出理由、论证结果等情况，然后安排充足时间让党委成员对议题进行讨论。讨论决策中，要充分发扬民主，做到知无不言，言无不尽，充分发表个人意见。与会人员对议题应当发表同意、不同意或者缓议等明确意见和理由。表决应采用口头表决或举手表决方式，按照少数服从多数的原则形成决定。赞成超过应到会党委成员人数的半数为通过。如少数党委成员因故未参加会议，应将讨论决定及时通报，并充分尊重他们的意见。对需要决议的问题产生分歧时，一般应缓定，进一步调查论证、商讨和沟通，必要时向上级请示后，再作决定。决策后，经实践证明不妥的，适时开会讨论修订。</w:t>
      </w:r>
    </w:p>
    <w:p w14:paraId="68C7F7FF">
      <w:pPr>
        <w:spacing w:line="560" w:lineRule="exact"/>
        <w:ind w:firstLine="640" w:firstLineChars="200"/>
        <w:rPr>
          <w:rFonts w:ascii="仿宋_GB2312" w:eastAsia="仿宋_GB2312"/>
          <w:sz w:val="32"/>
          <w:szCs w:val="32"/>
        </w:rPr>
      </w:pPr>
      <w:r>
        <w:rPr>
          <w:rFonts w:hint="eastAsia" w:ascii="仿宋_GB2312" w:eastAsia="仿宋_GB2312"/>
          <w:sz w:val="32"/>
          <w:szCs w:val="32"/>
        </w:rPr>
        <w:t>讨论决定的事项，涉及与会人员本人及亲属的，本人必须回避。</w:t>
      </w:r>
    </w:p>
    <w:p w14:paraId="4FDF722C">
      <w:pPr>
        <w:spacing w:line="560" w:lineRule="exact"/>
        <w:jc w:val="center"/>
        <w:rPr>
          <w:rFonts w:ascii="Calibri" w:hAnsi="Calibri" w:eastAsia="宋体" w:cs="Times New Roman"/>
          <w:b/>
          <w:bCs/>
          <w:sz w:val="32"/>
          <w:szCs w:val="32"/>
        </w:rPr>
      </w:pPr>
      <w:r>
        <w:rPr>
          <w:rFonts w:hint="eastAsia" w:ascii="Calibri" w:hAnsi="Calibri" w:eastAsia="宋体" w:cs="Times New Roman"/>
          <w:b/>
          <w:bCs/>
          <w:sz w:val="32"/>
          <w:szCs w:val="32"/>
        </w:rPr>
        <w:t xml:space="preserve">    第四章 决策重大事项的监督约束制度</w:t>
      </w:r>
    </w:p>
    <w:p w14:paraId="796B4251">
      <w:pPr>
        <w:spacing w:line="560" w:lineRule="exact"/>
        <w:ind w:firstLine="640" w:firstLineChars="200"/>
        <w:rPr>
          <w:rFonts w:ascii="仿宋_GB2312" w:eastAsia="仿宋_GB2312"/>
          <w:sz w:val="32"/>
          <w:szCs w:val="32"/>
        </w:rPr>
      </w:pPr>
      <w:r>
        <w:rPr>
          <w:rFonts w:hint="eastAsia" w:ascii="仿宋_GB2312" w:eastAsia="仿宋_GB2312"/>
          <w:sz w:val="32"/>
          <w:szCs w:val="32"/>
        </w:rPr>
        <w:t>党委成员都负有了解、参与重大事项决策，贯彻落实党委会议决议并对决策执行情况进行监督的责任与义务。党委成员在参与重大事项决策中，必须自觉执行议事规则，认真思考议题，充分发表意见，积极参与决策，对违反规则进行决策的行为，及时予以制止。对决策执行中发现的问题，提出纠正的意见和建议。</w:t>
      </w:r>
    </w:p>
    <w:p w14:paraId="23CFDEA6">
      <w:pPr>
        <w:spacing w:line="560" w:lineRule="exact"/>
        <w:ind w:firstLine="643" w:firstLineChars="200"/>
        <w:rPr>
          <w:rFonts w:ascii="仿宋_GB2312" w:eastAsia="仿宋_GB2312"/>
          <w:sz w:val="32"/>
          <w:szCs w:val="32"/>
        </w:rPr>
      </w:pPr>
      <w:r>
        <w:rPr>
          <w:rFonts w:hint="eastAsia" w:ascii="仿宋_GB2312" w:eastAsia="仿宋_GB2312"/>
          <w:b/>
          <w:bCs/>
          <w:sz w:val="32"/>
          <w:szCs w:val="32"/>
        </w:rPr>
        <w:t xml:space="preserve">第十三条 </w:t>
      </w:r>
      <w:r>
        <w:rPr>
          <w:rFonts w:hint="eastAsia" w:ascii="仿宋_GB2312" w:eastAsia="仿宋_GB2312"/>
          <w:sz w:val="32"/>
          <w:szCs w:val="32"/>
        </w:rPr>
        <w:t>党委实行集体领导制度。个人无权决定由集体决定的重大问题。无权改变党委的集体决定。党委一经做出决议，党委成员必须带头认真贯彻执行，按照各自职责抓好落实。即使对党委会决议有不同意见或在执行中发现新的情况或问题，除在会上提出讨论重新作出决定外，不得有任何与决议相违背的言行。保留的不同意见可向上级组织报告。</w:t>
      </w:r>
    </w:p>
    <w:p w14:paraId="58B749BB">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第十四条</w:t>
      </w:r>
      <w:r>
        <w:rPr>
          <w:rFonts w:hint="eastAsia" w:ascii="仿宋_GB2312" w:eastAsia="仿宋_GB2312"/>
          <w:sz w:val="32"/>
          <w:szCs w:val="32"/>
        </w:rPr>
        <w:t xml:space="preserve"> 党委半年要对重大议事规则的执行情况进行一次自查，主要采取“四查两看”：查重大事项是否列入决策范围、查是否履行了决策程序、查决议执行中党委成员贯彻落实情况、查所作出的决策是否科学；看会议记录是否翔实，看文件是否按规定签发。在广泛听取群众意见的基础上，由党委书记在党委会上通报自查结果，研究制定整改措施。</w:t>
      </w:r>
    </w:p>
    <w:p w14:paraId="32C751F9">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第十五条</w:t>
      </w:r>
      <w:r>
        <w:rPr>
          <w:rFonts w:hint="eastAsia" w:ascii="仿宋_GB2312" w:eastAsia="仿宋_GB2312"/>
          <w:sz w:val="32"/>
          <w:szCs w:val="32"/>
        </w:rPr>
        <w:t xml:space="preserve"> 对事关民警职工切身利益的重大事项，决策前要进行预告，广泛听取群众意见，决策后要进行公示，主动接受群众监督。</w:t>
      </w:r>
    </w:p>
    <w:p w14:paraId="110B2E97">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第十六条</w:t>
      </w:r>
      <w:r>
        <w:rPr>
          <w:rFonts w:hint="eastAsia" w:ascii="仿宋_GB2312" w:eastAsia="仿宋_GB2312"/>
          <w:sz w:val="32"/>
          <w:szCs w:val="32"/>
        </w:rPr>
        <w:t xml:space="preserve"> 建立和拓宽民意信息反馈渠道，认真对待群众反映的意见和建议，责成相关人员进行调查和处理，确实存在问题的，要及时整改，情况不属实的要向群众作出解释和说明。</w:t>
      </w:r>
    </w:p>
    <w:p w14:paraId="29AB803B">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第十七条</w:t>
      </w:r>
      <w:r>
        <w:rPr>
          <w:rFonts w:hint="eastAsia" w:ascii="仿宋_GB2312" w:eastAsia="仿宋_GB2312"/>
          <w:sz w:val="32"/>
          <w:szCs w:val="32"/>
        </w:rPr>
        <w:t xml:space="preserve"> 对违反本规则的行为，属下列情况之一的，应当追究主要责任人以及其他直接责任人的责任。</w:t>
      </w:r>
    </w:p>
    <w:p w14:paraId="5CB739EE">
      <w:pPr>
        <w:spacing w:line="560" w:lineRule="exact"/>
        <w:ind w:firstLine="480" w:firstLineChars="150"/>
        <w:rPr>
          <w:rFonts w:ascii="仿宋_GB2312" w:eastAsia="仿宋_GB2312"/>
          <w:sz w:val="32"/>
          <w:szCs w:val="32"/>
        </w:rPr>
      </w:pPr>
      <w:r>
        <w:rPr>
          <w:rFonts w:hint="eastAsia" w:ascii="仿宋_GB2312" w:eastAsia="仿宋_GB2312"/>
          <w:sz w:val="32"/>
          <w:szCs w:val="32"/>
        </w:rPr>
        <w:t>1.违反决策程序的；</w:t>
      </w:r>
    </w:p>
    <w:p w14:paraId="504A964E">
      <w:pPr>
        <w:spacing w:line="560" w:lineRule="exact"/>
        <w:ind w:firstLine="480" w:firstLineChars="150"/>
        <w:rPr>
          <w:rFonts w:ascii="仿宋_GB2312" w:eastAsia="仿宋_GB2312"/>
          <w:sz w:val="32"/>
          <w:szCs w:val="32"/>
        </w:rPr>
      </w:pPr>
      <w:r>
        <w:rPr>
          <w:rFonts w:hint="eastAsia" w:ascii="仿宋_GB2312" w:eastAsia="仿宋_GB2312"/>
          <w:sz w:val="32"/>
          <w:szCs w:val="32"/>
        </w:rPr>
        <w:t>2.未通过集体议事和会议表决，领导个人擅自决策的；</w:t>
      </w:r>
    </w:p>
    <w:p w14:paraId="25CF5E82">
      <w:pPr>
        <w:spacing w:line="560" w:lineRule="exact"/>
        <w:ind w:firstLine="480" w:firstLineChars="150"/>
        <w:rPr>
          <w:rFonts w:ascii="仿宋_GB2312" w:eastAsia="仿宋_GB2312"/>
          <w:sz w:val="32"/>
          <w:szCs w:val="32"/>
        </w:rPr>
      </w:pPr>
      <w:r>
        <w:rPr>
          <w:rFonts w:hint="eastAsia" w:ascii="仿宋_GB2312" w:eastAsia="仿宋_GB2312"/>
          <w:sz w:val="32"/>
          <w:szCs w:val="32"/>
        </w:rPr>
        <w:t>3.决策时不尊重班子多数成员意见的；</w:t>
      </w:r>
    </w:p>
    <w:p w14:paraId="534DC7AC">
      <w:pPr>
        <w:spacing w:line="560" w:lineRule="exact"/>
        <w:ind w:firstLine="480" w:firstLineChars="150"/>
        <w:rPr>
          <w:rFonts w:ascii="仿宋_GB2312" w:eastAsia="仿宋_GB2312"/>
          <w:sz w:val="32"/>
          <w:szCs w:val="32"/>
        </w:rPr>
      </w:pPr>
      <w:r>
        <w:rPr>
          <w:rFonts w:hint="eastAsia" w:ascii="仿宋_GB2312" w:eastAsia="仿宋_GB2312"/>
          <w:sz w:val="32"/>
          <w:szCs w:val="32"/>
        </w:rPr>
        <w:t>4.不如实向党委会介绍情况的；</w:t>
      </w:r>
    </w:p>
    <w:p w14:paraId="74818CB7">
      <w:pPr>
        <w:spacing w:line="560" w:lineRule="exact"/>
        <w:ind w:firstLine="480" w:firstLineChars="150"/>
        <w:rPr>
          <w:rFonts w:ascii="仿宋_GB2312" w:eastAsia="仿宋_GB2312"/>
          <w:sz w:val="32"/>
          <w:szCs w:val="32"/>
        </w:rPr>
      </w:pPr>
      <w:r>
        <w:rPr>
          <w:rFonts w:hint="eastAsia" w:ascii="仿宋_GB2312" w:eastAsia="仿宋_GB2312"/>
          <w:sz w:val="32"/>
          <w:szCs w:val="32"/>
        </w:rPr>
        <w:t>5.未按上级党组织要求议事的；</w:t>
      </w:r>
    </w:p>
    <w:p w14:paraId="2804FC66">
      <w:pPr>
        <w:spacing w:line="560" w:lineRule="exact"/>
        <w:ind w:firstLine="480" w:firstLineChars="150"/>
        <w:rPr>
          <w:rFonts w:ascii="仿宋_GB2312" w:eastAsia="仿宋_GB2312"/>
          <w:sz w:val="32"/>
          <w:szCs w:val="32"/>
        </w:rPr>
      </w:pPr>
      <w:r>
        <w:rPr>
          <w:rFonts w:hint="eastAsia" w:ascii="仿宋_GB2312" w:eastAsia="仿宋_GB2312"/>
          <w:sz w:val="32"/>
          <w:szCs w:val="32"/>
        </w:rPr>
        <w:t>6.集体决策出现偏差和失误的；</w:t>
      </w:r>
    </w:p>
    <w:p w14:paraId="75329A59">
      <w:pPr>
        <w:spacing w:line="560" w:lineRule="exact"/>
        <w:ind w:firstLine="480" w:firstLineChars="150"/>
        <w:rPr>
          <w:rFonts w:ascii="仿宋_GB2312" w:eastAsia="仿宋_GB2312"/>
          <w:sz w:val="32"/>
          <w:szCs w:val="32"/>
        </w:rPr>
      </w:pPr>
      <w:r>
        <w:rPr>
          <w:rFonts w:hint="eastAsia" w:ascii="仿宋_GB2312" w:eastAsia="仿宋_GB2312"/>
          <w:sz w:val="32"/>
          <w:szCs w:val="32"/>
        </w:rPr>
        <w:t>7.违反保密纪律的。</w:t>
      </w:r>
    </w:p>
    <w:p w14:paraId="74406A66">
      <w:pPr>
        <w:spacing w:line="560" w:lineRule="exact"/>
        <w:ind w:firstLine="640" w:firstLineChars="200"/>
        <w:rPr>
          <w:rFonts w:ascii="仿宋_GB2312" w:eastAsia="仿宋_GB2312"/>
          <w:sz w:val="32"/>
          <w:szCs w:val="32"/>
        </w:rPr>
      </w:pPr>
      <w:r>
        <w:rPr>
          <w:rFonts w:hint="eastAsia" w:ascii="仿宋_GB2312" w:eastAsia="仿宋_GB2312"/>
          <w:sz w:val="32"/>
          <w:szCs w:val="32"/>
        </w:rPr>
        <w:t>上述违反规定的行为，情节轻微的，主要责任人和直接责任人应当在党委会上进行检查，接受批评；情节较重并造成后果的，按照干部管理权限，进行</w:t>
      </w:r>
      <w:r>
        <w:rPr>
          <w:rFonts w:hint="eastAsia" w:ascii="仿宋_GB2312" w:eastAsia="仿宋_GB2312"/>
          <w:sz w:val="32"/>
          <w:szCs w:val="32"/>
          <w:lang w:val="en-US" w:eastAsia="zh-CN"/>
        </w:rPr>
        <w:t>诫勉</w:t>
      </w:r>
      <w:r>
        <w:rPr>
          <w:rFonts w:hint="eastAsia" w:ascii="仿宋_GB2312" w:eastAsia="仿宋_GB2312"/>
          <w:sz w:val="32"/>
          <w:szCs w:val="32"/>
        </w:rPr>
        <w:t>谈话；情节严重给事业造成重大损失的，按规定上报组织处理；构成违纪的，移送纪检监察机关查处。</w:t>
      </w:r>
    </w:p>
    <w:p w14:paraId="3AE1686B">
      <w:pPr>
        <w:spacing w:line="560" w:lineRule="exact"/>
        <w:ind w:firstLine="643" w:firstLineChars="200"/>
        <w:rPr>
          <w:rFonts w:ascii="仿宋_GB2312" w:eastAsia="仿宋_GB2312"/>
          <w:sz w:val="32"/>
          <w:szCs w:val="32"/>
        </w:rPr>
      </w:pPr>
      <w:r>
        <w:rPr>
          <w:rFonts w:hint="eastAsia" w:ascii="仿宋_GB2312" w:eastAsia="仿宋_GB2312"/>
          <w:b/>
          <w:bCs/>
          <w:sz w:val="32"/>
          <w:szCs w:val="32"/>
        </w:rPr>
        <w:t>第十八条</w:t>
      </w:r>
      <w:r>
        <w:rPr>
          <w:rFonts w:hint="eastAsia" w:ascii="仿宋_GB2312" w:eastAsia="仿宋_GB2312"/>
          <w:sz w:val="32"/>
          <w:szCs w:val="32"/>
        </w:rPr>
        <w:t xml:space="preserve"> 本制度规定的各项情形应严格执行，如有违反将视情节追究责任。</w:t>
      </w:r>
    </w:p>
    <w:p w14:paraId="303065D3">
      <w:pPr>
        <w:rPr>
          <w:rFonts w:ascii="仿宋_GB2312" w:eastAsia="仿宋_GB2312"/>
          <w:sz w:val="32"/>
          <w:szCs w:val="32"/>
        </w:rPr>
      </w:pPr>
      <w:r>
        <w:rPr>
          <w:rFonts w:hint="eastAsia" w:ascii="仿宋_GB2312" w:eastAsia="仿宋_GB2312"/>
          <w:sz w:val="32"/>
          <w:szCs w:val="32"/>
        </w:rPr>
        <w:br w:type="page"/>
      </w:r>
    </w:p>
    <w:p w14:paraId="52284365">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白城市戒毒所所长办公会议议事规则</w:t>
      </w:r>
    </w:p>
    <w:p w14:paraId="5FABFD79">
      <w:pPr>
        <w:snapToGrid w:val="0"/>
        <w:spacing w:line="560" w:lineRule="exact"/>
        <w:ind w:firstLine="1044" w:firstLineChars="200"/>
        <w:rPr>
          <w:rFonts w:ascii="仿宋" w:hAnsi="仿宋" w:eastAsia="仿宋" w:cs="仿宋"/>
          <w:b/>
          <w:bCs/>
          <w:sz w:val="52"/>
          <w:szCs w:val="52"/>
        </w:rPr>
      </w:pPr>
    </w:p>
    <w:p w14:paraId="4DF09B60">
      <w:pPr>
        <w:pStyle w:val="7"/>
        <w:shd w:val="clear" w:color="auto" w:fill="FFFFFF"/>
        <w:snapToGrid w:val="0"/>
        <w:spacing w:before="0" w:beforeAutospacing="0" w:after="0" w:afterAutospacing="0" w:line="560" w:lineRule="exact"/>
        <w:ind w:firstLine="643" w:firstLineChars="200"/>
        <w:jc w:val="both"/>
        <w:rPr>
          <w:rFonts w:ascii="仿宋_GB2312" w:hAnsi="微软雅黑" w:eastAsia="仿宋_GB2312" w:cs="仿宋_GB2312"/>
          <w:sz w:val="32"/>
          <w:szCs w:val="32"/>
          <w:shd w:val="clear" w:color="auto" w:fill="FFFFFF"/>
        </w:rPr>
      </w:pPr>
      <w:r>
        <w:rPr>
          <w:rFonts w:hint="eastAsia" w:ascii="仿宋_GB2312" w:hAnsi="微软雅黑" w:eastAsia="仿宋_GB2312" w:cs="仿宋_GB2312"/>
          <w:b/>
          <w:bCs/>
          <w:sz w:val="32"/>
          <w:szCs w:val="32"/>
          <w:shd w:val="clear" w:color="auto" w:fill="FFFFFF"/>
        </w:rPr>
        <w:t xml:space="preserve">第一条 </w:t>
      </w:r>
      <w:r>
        <w:rPr>
          <w:rFonts w:hint="eastAsia" w:ascii="仿宋_GB2312" w:hAnsi="微软雅黑" w:eastAsia="仿宋_GB2312" w:cs="仿宋_GB2312"/>
          <w:sz w:val="32"/>
          <w:szCs w:val="32"/>
          <w:shd w:val="clear" w:color="auto" w:fill="FFFFFF"/>
        </w:rPr>
        <w:t xml:space="preserve"> 为进一步推进</w:t>
      </w:r>
      <w:r>
        <w:rPr>
          <w:rFonts w:ascii="仿宋_GB2312" w:hAnsi="微软雅黑" w:eastAsia="仿宋_GB2312" w:cs="仿宋_GB2312"/>
          <w:sz w:val="32"/>
          <w:szCs w:val="32"/>
          <w:shd w:val="clear" w:color="auto" w:fill="FFFFFF"/>
        </w:rPr>
        <w:t>所</w:t>
      </w:r>
      <w:r>
        <w:rPr>
          <w:rFonts w:hint="eastAsia" w:ascii="仿宋_GB2312" w:hAnsi="微软雅黑" w:eastAsia="仿宋_GB2312" w:cs="仿宋_GB2312"/>
          <w:sz w:val="32"/>
          <w:szCs w:val="32"/>
          <w:shd w:val="clear" w:color="auto" w:fill="FFFFFF"/>
        </w:rPr>
        <w:t>长办公会议制度化、规范化，提高科学决策、民主决策、依法决策的能力，提升工作效率，推动各项工作有序开展，根据有关规定，结合我</w:t>
      </w:r>
      <w:r>
        <w:rPr>
          <w:rFonts w:ascii="仿宋_GB2312" w:hAnsi="微软雅黑" w:eastAsia="仿宋_GB2312" w:cs="仿宋_GB2312"/>
          <w:sz w:val="32"/>
          <w:szCs w:val="32"/>
          <w:shd w:val="clear" w:color="auto" w:fill="FFFFFF"/>
        </w:rPr>
        <w:t>所</w:t>
      </w:r>
      <w:r>
        <w:rPr>
          <w:rFonts w:hint="eastAsia" w:ascii="仿宋_GB2312" w:hAnsi="微软雅黑" w:eastAsia="仿宋_GB2312" w:cs="仿宋_GB2312"/>
          <w:sz w:val="32"/>
          <w:szCs w:val="32"/>
          <w:shd w:val="clear" w:color="auto" w:fill="FFFFFF"/>
        </w:rPr>
        <w:t>实际，特</w:t>
      </w:r>
      <w:r>
        <w:rPr>
          <w:rFonts w:ascii="仿宋_GB2312" w:hAnsi="微软雅黑" w:eastAsia="仿宋_GB2312" w:cs="仿宋_GB2312"/>
          <w:sz w:val="32"/>
          <w:szCs w:val="32"/>
          <w:shd w:val="clear" w:color="auto" w:fill="FFFFFF"/>
        </w:rPr>
        <w:t>制定</w:t>
      </w:r>
      <w:r>
        <w:rPr>
          <w:rFonts w:hint="eastAsia" w:ascii="仿宋_GB2312" w:hAnsi="微软雅黑" w:eastAsia="仿宋_GB2312" w:cs="仿宋_GB2312"/>
          <w:sz w:val="32"/>
          <w:szCs w:val="32"/>
          <w:shd w:val="clear" w:color="auto" w:fill="FFFFFF"/>
        </w:rPr>
        <w:t>本议事规则。</w:t>
      </w:r>
    </w:p>
    <w:p w14:paraId="0620ADB0">
      <w:pPr>
        <w:pStyle w:val="7"/>
        <w:shd w:val="clear" w:color="auto" w:fill="FFFFFF"/>
        <w:snapToGrid w:val="0"/>
        <w:spacing w:before="0" w:beforeAutospacing="0" w:after="0" w:afterAutospacing="0" w:line="560" w:lineRule="exact"/>
        <w:ind w:firstLine="643" w:firstLineChars="200"/>
        <w:jc w:val="both"/>
        <w:rPr>
          <w:rFonts w:ascii="仿宋_GB2312" w:hAnsi="微软雅黑" w:eastAsia="仿宋_GB2312" w:cs="仿宋_GB2312"/>
          <w:b/>
          <w:bCs/>
          <w:sz w:val="32"/>
          <w:szCs w:val="32"/>
          <w:shd w:val="clear" w:color="auto" w:fill="FFFFFF"/>
        </w:rPr>
      </w:pPr>
      <w:r>
        <w:rPr>
          <w:rFonts w:hint="eastAsia" w:ascii="仿宋_GB2312" w:hAnsi="微软雅黑" w:eastAsia="仿宋_GB2312" w:cs="仿宋_GB2312"/>
          <w:b/>
          <w:bCs/>
          <w:sz w:val="32"/>
          <w:szCs w:val="32"/>
          <w:shd w:val="clear" w:color="auto" w:fill="FFFFFF"/>
        </w:rPr>
        <w:t>第二条  议事范围</w:t>
      </w:r>
    </w:p>
    <w:p w14:paraId="6951BB12">
      <w:pPr>
        <w:pStyle w:val="7"/>
        <w:snapToGrid w:val="0"/>
        <w:spacing w:before="0" w:beforeAutospacing="0" w:after="0" w:afterAutospacing="0" w:line="560" w:lineRule="exact"/>
        <w:ind w:firstLine="640" w:firstLineChars="200"/>
        <w:jc w:val="both"/>
        <w:rPr>
          <w:rFonts w:ascii="仿宋_GB2312" w:eastAsia="仿宋_GB2312"/>
        </w:rPr>
      </w:pPr>
      <w:r>
        <w:rPr>
          <w:rFonts w:hint="eastAsia" w:ascii="仿宋_GB2312" w:hAnsi="微软雅黑" w:eastAsia="仿宋_GB2312" w:cs="仿宋_GB2312"/>
          <w:sz w:val="32"/>
          <w:szCs w:val="32"/>
        </w:rPr>
        <w:t>（一）传达中央、省、市以及上级主管部门重要决定、重要会议精神，研究部署贯彻落实意见。</w:t>
      </w:r>
    </w:p>
    <w:p w14:paraId="3C5D5958">
      <w:pPr>
        <w:pStyle w:val="7"/>
        <w:snapToGrid w:val="0"/>
        <w:spacing w:before="0" w:beforeAutospacing="0" w:after="0" w:afterAutospacing="0" w:line="560" w:lineRule="exact"/>
        <w:ind w:firstLine="640" w:firstLineChars="200"/>
        <w:jc w:val="both"/>
        <w:rPr>
          <w:rFonts w:ascii="仿宋_GB2312" w:hAnsi="微软雅黑" w:eastAsia="仿宋_GB2312" w:cs="仿宋_GB2312"/>
          <w:sz w:val="32"/>
          <w:szCs w:val="32"/>
        </w:rPr>
      </w:pPr>
      <w:r>
        <w:rPr>
          <w:rFonts w:hint="eastAsia" w:ascii="仿宋_GB2312" w:hAnsi="微软雅黑" w:eastAsia="仿宋_GB2312" w:cs="仿宋_GB2312"/>
          <w:sz w:val="32"/>
          <w:szCs w:val="32"/>
        </w:rPr>
        <w:t>（二）研究年度工作思路、年度工作清单、年度工作总结等全</w:t>
      </w:r>
      <w:r>
        <w:rPr>
          <w:rFonts w:ascii="仿宋_GB2312" w:hAnsi="微软雅黑" w:eastAsia="仿宋_GB2312" w:cs="仿宋_GB2312"/>
          <w:sz w:val="32"/>
          <w:szCs w:val="32"/>
        </w:rPr>
        <w:t>所</w:t>
      </w:r>
      <w:r>
        <w:rPr>
          <w:rFonts w:hint="eastAsia" w:ascii="仿宋_GB2312" w:hAnsi="微软雅黑" w:eastAsia="仿宋_GB2312" w:cs="仿宋_GB2312"/>
          <w:sz w:val="32"/>
          <w:szCs w:val="32"/>
        </w:rPr>
        <w:t>性工作。</w:t>
      </w:r>
    </w:p>
    <w:p w14:paraId="0DF94EBC">
      <w:pPr>
        <w:pStyle w:val="7"/>
        <w:snapToGrid w:val="0"/>
        <w:spacing w:before="0" w:beforeAutospacing="0" w:after="0" w:afterAutospacing="0" w:line="560" w:lineRule="exact"/>
        <w:ind w:firstLine="640" w:firstLineChars="200"/>
        <w:jc w:val="both"/>
        <w:rPr>
          <w:rFonts w:ascii="仿宋_GB2312" w:hAnsi="微软雅黑" w:eastAsia="仿宋_GB2312" w:cs="仿宋_GB2312"/>
          <w:sz w:val="32"/>
          <w:szCs w:val="32"/>
        </w:rPr>
      </w:pPr>
      <w:r>
        <w:rPr>
          <w:rFonts w:hint="eastAsia" w:ascii="仿宋_GB2312" w:hAnsi="微软雅黑" w:eastAsia="仿宋_GB2312" w:cs="仿宋_GB2312"/>
          <w:sz w:val="32"/>
          <w:szCs w:val="32"/>
        </w:rPr>
        <w:t>（三）研究部署</w:t>
      </w:r>
      <w:r>
        <w:rPr>
          <w:rFonts w:ascii="仿宋_GB2312" w:hAnsi="微软雅黑" w:eastAsia="仿宋_GB2312" w:cs="仿宋_GB2312"/>
          <w:sz w:val="32"/>
          <w:szCs w:val="32"/>
        </w:rPr>
        <w:t>所</w:t>
      </w:r>
      <w:r>
        <w:rPr>
          <w:rFonts w:hint="eastAsia" w:ascii="仿宋_GB2312" w:hAnsi="微软雅黑" w:eastAsia="仿宋_GB2312" w:cs="仿宋_GB2312"/>
          <w:sz w:val="32"/>
          <w:szCs w:val="32"/>
        </w:rPr>
        <w:t>重要工作、阶段性工作任务，听取工作汇报、意见和建议，协调解决工作中出现的问题，通报工作情况和重要事项。</w:t>
      </w:r>
    </w:p>
    <w:p w14:paraId="2B2CFBDA">
      <w:pPr>
        <w:pStyle w:val="7"/>
        <w:snapToGrid w:val="0"/>
        <w:spacing w:before="0" w:beforeAutospacing="0" w:after="0" w:afterAutospacing="0" w:line="560" w:lineRule="exact"/>
        <w:ind w:firstLine="640" w:firstLineChars="200"/>
        <w:jc w:val="both"/>
        <w:rPr>
          <w:rFonts w:ascii="仿宋_GB2312" w:hAnsi="微软雅黑" w:eastAsia="仿宋_GB2312" w:cs="仿宋_GB2312"/>
          <w:sz w:val="32"/>
          <w:szCs w:val="32"/>
        </w:rPr>
      </w:pPr>
      <w:r>
        <w:rPr>
          <w:rFonts w:hint="eastAsia" w:ascii="仿宋_GB2312" w:hAnsi="微软雅黑" w:eastAsia="仿宋_GB2312" w:cs="仿宋_GB2312"/>
          <w:sz w:val="32"/>
          <w:szCs w:val="32"/>
        </w:rPr>
        <w:t>（四）贯彻落实</w:t>
      </w:r>
      <w:r>
        <w:rPr>
          <w:rFonts w:ascii="仿宋_GB2312" w:hAnsi="微软雅黑" w:eastAsia="仿宋_GB2312" w:cs="仿宋_GB2312"/>
          <w:sz w:val="32"/>
          <w:szCs w:val="32"/>
        </w:rPr>
        <w:t>所党委</w:t>
      </w:r>
      <w:r>
        <w:rPr>
          <w:rFonts w:hint="eastAsia" w:ascii="仿宋_GB2312" w:hAnsi="微软雅黑" w:eastAsia="仿宋_GB2312" w:cs="仿宋_GB2312"/>
          <w:sz w:val="32"/>
          <w:szCs w:val="32"/>
        </w:rPr>
        <w:t>会议决定，通报相关工作执行情况。</w:t>
      </w:r>
    </w:p>
    <w:p w14:paraId="144598FE">
      <w:pPr>
        <w:pStyle w:val="7"/>
        <w:wordWrap w:val="0"/>
        <w:spacing w:before="0" w:beforeAutospacing="0" w:after="0" w:afterAutospacing="0" w:line="560" w:lineRule="exact"/>
        <w:ind w:firstLine="640" w:firstLineChars="200"/>
        <w:jc w:val="both"/>
        <w:rPr>
          <w:rFonts w:ascii="仿宋_GB2312" w:hAnsi="微软雅黑" w:eastAsia="仿宋_GB2312" w:cs="仿宋_GB2312"/>
          <w:sz w:val="32"/>
          <w:szCs w:val="32"/>
        </w:rPr>
      </w:pPr>
      <w:r>
        <w:rPr>
          <w:rFonts w:hint="eastAsia" w:ascii="仿宋_GB2312" w:hAnsi="微软雅黑" w:eastAsia="仿宋_GB2312" w:cs="仿宋_GB2312"/>
          <w:sz w:val="32"/>
          <w:szCs w:val="32"/>
        </w:rPr>
        <w:t>（五）研究讨论</w:t>
      </w:r>
      <w:r>
        <w:rPr>
          <w:rFonts w:ascii="仿宋_GB2312" w:hAnsi="微软雅黑" w:eastAsia="仿宋_GB2312" w:cs="仿宋_GB2312"/>
          <w:sz w:val="32"/>
          <w:szCs w:val="32"/>
        </w:rPr>
        <w:t>所内</w:t>
      </w:r>
      <w:r>
        <w:rPr>
          <w:rFonts w:hint="eastAsia" w:ascii="仿宋_GB2312" w:hAnsi="微软雅黑" w:eastAsia="仿宋_GB2312" w:cs="仿宋_GB2312"/>
          <w:sz w:val="32"/>
          <w:szCs w:val="32"/>
        </w:rPr>
        <w:t>业务性行政规章制度及落实措施。</w:t>
      </w:r>
    </w:p>
    <w:p w14:paraId="4025D29B">
      <w:pPr>
        <w:pStyle w:val="7"/>
        <w:snapToGrid w:val="0"/>
        <w:spacing w:before="0" w:beforeAutospacing="0" w:after="0" w:afterAutospacing="0" w:line="560" w:lineRule="exact"/>
        <w:ind w:firstLine="640" w:firstLineChars="200"/>
        <w:jc w:val="both"/>
        <w:rPr>
          <w:rFonts w:ascii="仿宋_GB2312" w:hAnsi="微软雅黑" w:eastAsia="仿宋_GB2312" w:cs="仿宋_GB2312"/>
          <w:sz w:val="32"/>
          <w:szCs w:val="32"/>
        </w:rPr>
      </w:pPr>
      <w:r>
        <w:rPr>
          <w:rFonts w:hint="eastAsia" w:ascii="仿宋_GB2312" w:hAnsi="微软雅黑" w:eastAsia="仿宋_GB2312" w:cs="仿宋_GB2312"/>
          <w:sz w:val="32"/>
          <w:szCs w:val="32"/>
        </w:rPr>
        <w:t>（六）研究决定对各</w:t>
      </w:r>
      <w:r>
        <w:rPr>
          <w:rFonts w:ascii="仿宋_GB2312" w:hAnsi="微软雅黑" w:eastAsia="仿宋_GB2312" w:cs="仿宋_GB2312"/>
          <w:sz w:val="32"/>
          <w:szCs w:val="32"/>
        </w:rPr>
        <w:t>科（室）、大队</w:t>
      </w:r>
      <w:r>
        <w:rPr>
          <w:rFonts w:hint="eastAsia" w:ascii="仿宋_GB2312" w:hAnsi="微软雅黑" w:eastAsia="仿宋_GB2312" w:cs="仿宋_GB2312"/>
          <w:sz w:val="32"/>
          <w:szCs w:val="32"/>
        </w:rPr>
        <w:t>工作推进落实情况的督查事项。</w:t>
      </w:r>
    </w:p>
    <w:p w14:paraId="61F9CD40">
      <w:pPr>
        <w:pStyle w:val="7"/>
        <w:snapToGrid w:val="0"/>
        <w:spacing w:before="0" w:beforeAutospacing="0" w:after="0" w:afterAutospacing="0" w:line="560" w:lineRule="exact"/>
        <w:ind w:firstLine="640" w:firstLineChars="200"/>
        <w:jc w:val="both"/>
        <w:rPr>
          <w:rFonts w:ascii="仿宋_GB2312" w:hAnsi="微软雅黑" w:eastAsia="仿宋_GB2312" w:cs="仿宋_GB2312"/>
          <w:sz w:val="32"/>
          <w:szCs w:val="32"/>
        </w:rPr>
      </w:pPr>
      <w:r>
        <w:rPr>
          <w:rFonts w:hint="eastAsia" w:ascii="仿宋_GB2312" w:hAnsi="微软雅黑" w:eastAsia="仿宋_GB2312" w:cs="仿宋_GB2312"/>
          <w:sz w:val="32"/>
          <w:szCs w:val="32"/>
        </w:rPr>
        <w:t>（七）应由</w:t>
      </w:r>
      <w:r>
        <w:rPr>
          <w:rFonts w:ascii="仿宋_GB2312" w:hAnsi="微软雅黑" w:eastAsia="仿宋_GB2312" w:cs="仿宋_GB2312"/>
          <w:sz w:val="32"/>
          <w:szCs w:val="32"/>
        </w:rPr>
        <w:t>所</w:t>
      </w:r>
      <w:r>
        <w:rPr>
          <w:rFonts w:hint="eastAsia" w:ascii="仿宋_GB2312" w:hAnsi="微软雅黑" w:eastAsia="仿宋_GB2312" w:cs="仿宋_GB2312"/>
          <w:sz w:val="32"/>
          <w:szCs w:val="32"/>
        </w:rPr>
        <w:t>长办公会议研究决定的其他事项。</w:t>
      </w:r>
    </w:p>
    <w:p w14:paraId="7DC0D4C5">
      <w:pPr>
        <w:pStyle w:val="7"/>
        <w:shd w:val="clear" w:color="auto" w:fill="FFFFFF"/>
        <w:snapToGrid w:val="0"/>
        <w:spacing w:before="0" w:beforeAutospacing="0" w:after="0" w:afterAutospacing="0" w:line="560" w:lineRule="exact"/>
        <w:ind w:firstLine="643" w:firstLineChars="200"/>
        <w:jc w:val="both"/>
        <w:rPr>
          <w:rFonts w:ascii="仿宋_GB2312" w:eastAsia="仿宋_GB2312"/>
          <w:sz w:val="32"/>
          <w:szCs w:val="32"/>
        </w:rPr>
      </w:pPr>
      <w:r>
        <w:rPr>
          <w:rFonts w:hint="eastAsia" w:ascii="仿宋_GB2312" w:hAnsi="微软雅黑" w:eastAsia="仿宋_GB2312" w:cs="仿宋_GB2312"/>
          <w:b/>
          <w:bCs/>
          <w:sz w:val="32"/>
          <w:szCs w:val="32"/>
          <w:shd w:val="clear" w:color="auto" w:fill="FFFFFF"/>
        </w:rPr>
        <w:t>第三条</w:t>
      </w:r>
      <w:r>
        <w:rPr>
          <w:rFonts w:hint="eastAsia" w:ascii="仿宋_GB2312" w:hAnsi="微软雅黑" w:eastAsia="仿宋_GB2312" w:cs="仿宋_GB2312"/>
          <w:sz w:val="32"/>
          <w:szCs w:val="32"/>
          <w:shd w:val="clear" w:color="auto" w:fill="FFFFFF"/>
        </w:rPr>
        <w:t xml:space="preserve">  严格遵循“集体领导、民主集中、充分讨论、会议决定”的原则，实行</w:t>
      </w:r>
      <w:r>
        <w:rPr>
          <w:rFonts w:ascii="仿宋_GB2312" w:hAnsi="微软雅黑" w:eastAsia="仿宋_GB2312" w:cs="仿宋_GB2312"/>
          <w:sz w:val="32"/>
          <w:szCs w:val="32"/>
          <w:shd w:val="clear" w:color="auto" w:fill="FFFFFF"/>
        </w:rPr>
        <w:t>所</w:t>
      </w:r>
      <w:r>
        <w:rPr>
          <w:rFonts w:hint="eastAsia" w:ascii="仿宋_GB2312" w:hAnsi="微软雅黑" w:eastAsia="仿宋_GB2312" w:cs="仿宋_GB2312"/>
          <w:sz w:val="32"/>
          <w:szCs w:val="32"/>
          <w:shd w:val="clear" w:color="auto" w:fill="FFFFFF"/>
        </w:rPr>
        <w:t>长负责制。会议由</w:t>
      </w:r>
      <w:r>
        <w:rPr>
          <w:rFonts w:ascii="仿宋_GB2312" w:hAnsi="微软雅黑" w:eastAsia="仿宋_GB2312" w:cs="仿宋_GB2312"/>
          <w:sz w:val="32"/>
          <w:szCs w:val="32"/>
          <w:shd w:val="clear" w:color="auto" w:fill="FFFFFF"/>
        </w:rPr>
        <w:t>所</w:t>
      </w:r>
      <w:r>
        <w:rPr>
          <w:rFonts w:hint="eastAsia" w:ascii="仿宋_GB2312" w:hAnsi="微软雅黑" w:eastAsia="仿宋_GB2312" w:cs="仿宋_GB2312"/>
          <w:sz w:val="32"/>
          <w:szCs w:val="32"/>
          <w:shd w:val="clear" w:color="auto" w:fill="FFFFFF"/>
        </w:rPr>
        <w:t>长主持召开，</w:t>
      </w:r>
      <w:r>
        <w:rPr>
          <w:rFonts w:ascii="仿宋_GB2312" w:hAnsi="微软雅黑" w:eastAsia="仿宋_GB2312" w:cs="仿宋_GB2312"/>
          <w:sz w:val="32"/>
          <w:szCs w:val="32"/>
          <w:shd w:val="clear" w:color="auto" w:fill="FFFFFF"/>
        </w:rPr>
        <w:t>所</w:t>
      </w:r>
      <w:r>
        <w:rPr>
          <w:rFonts w:hint="eastAsia" w:ascii="仿宋_GB2312" w:hAnsi="微软雅黑" w:eastAsia="仿宋_GB2312" w:cs="仿宋_GB2312"/>
          <w:sz w:val="32"/>
          <w:szCs w:val="32"/>
          <w:shd w:val="clear" w:color="auto" w:fill="FFFFFF"/>
        </w:rPr>
        <w:t>长不能参加时，可由</w:t>
      </w:r>
      <w:r>
        <w:rPr>
          <w:rFonts w:ascii="仿宋_GB2312" w:hAnsi="微软雅黑" w:eastAsia="仿宋_GB2312" w:cs="仿宋_GB2312"/>
          <w:sz w:val="32"/>
          <w:szCs w:val="32"/>
          <w:shd w:val="clear" w:color="auto" w:fill="FFFFFF"/>
        </w:rPr>
        <w:t>所</w:t>
      </w:r>
      <w:r>
        <w:rPr>
          <w:rFonts w:hint="eastAsia" w:ascii="仿宋_GB2312" w:hAnsi="微软雅黑" w:eastAsia="仿宋_GB2312" w:cs="仿宋_GB2312"/>
          <w:sz w:val="32"/>
          <w:szCs w:val="32"/>
          <w:shd w:val="clear" w:color="auto" w:fill="FFFFFF"/>
        </w:rPr>
        <w:t>长委托副</w:t>
      </w:r>
      <w:r>
        <w:rPr>
          <w:rFonts w:ascii="仿宋_GB2312" w:hAnsi="微软雅黑" w:eastAsia="仿宋_GB2312" w:cs="仿宋_GB2312"/>
          <w:sz w:val="32"/>
          <w:szCs w:val="32"/>
          <w:shd w:val="clear" w:color="auto" w:fill="FFFFFF"/>
        </w:rPr>
        <w:t>所</w:t>
      </w:r>
      <w:r>
        <w:rPr>
          <w:rFonts w:hint="eastAsia" w:ascii="仿宋_GB2312" w:hAnsi="微软雅黑" w:eastAsia="仿宋_GB2312" w:cs="仿宋_GB2312"/>
          <w:sz w:val="32"/>
          <w:szCs w:val="32"/>
          <w:shd w:val="clear" w:color="auto" w:fill="FFFFFF"/>
        </w:rPr>
        <w:t>长主持召开。会议由</w:t>
      </w:r>
      <w:r>
        <w:rPr>
          <w:rFonts w:ascii="仿宋_GB2312" w:hAnsi="微软雅黑" w:eastAsia="仿宋_GB2312" w:cs="仿宋_GB2312"/>
          <w:sz w:val="32"/>
          <w:szCs w:val="32"/>
          <w:shd w:val="clear" w:color="auto" w:fill="FFFFFF"/>
        </w:rPr>
        <w:t>所</w:t>
      </w:r>
      <w:r>
        <w:rPr>
          <w:rFonts w:hint="eastAsia" w:ascii="仿宋_GB2312" w:hAnsi="微软雅黑" w:eastAsia="仿宋_GB2312" w:cs="仿宋_GB2312"/>
          <w:sz w:val="32"/>
          <w:szCs w:val="32"/>
          <w:shd w:val="clear" w:color="auto" w:fill="FFFFFF"/>
        </w:rPr>
        <w:t>领导班子成员、办公室主任参加，</w:t>
      </w:r>
      <w:r>
        <w:rPr>
          <w:rFonts w:ascii="仿宋_GB2312" w:eastAsia="仿宋_GB2312"/>
          <w:sz w:val="32"/>
          <w:szCs w:val="32"/>
        </w:rPr>
        <w:t>其他参会人员</w:t>
      </w:r>
      <w:r>
        <w:rPr>
          <w:rFonts w:hint="eastAsia" w:ascii="仿宋_GB2312" w:eastAsia="仿宋_GB2312"/>
          <w:sz w:val="32"/>
          <w:szCs w:val="32"/>
        </w:rPr>
        <w:t>根据议题的需要列席</w:t>
      </w:r>
      <w:r>
        <w:rPr>
          <w:rFonts w:ascii="仿宋_GB2312" w:eastAsia="仿宋_GB2312"/>
          <w:sz w:val="32"/>
          <w:szCs w:val="32"/>
        </w:rPr>
        <w:t>。</w:t>
      </w:r>
    </w:p>
    <w:p w14:paraId="67A66501">
      <w:pPr>
        <w:pStyle w:val="7"/>
        <w:shd w:val="clear" w:color="auto" w:fill="FFFFFF"/>
        <w:snapToGrid w:val="0"/>
        <w:spacing w:before="0" w:beforeAutospacing="0" w:after="0" w:afterAutospacing="0" w:line="560" w:lineRule="exact"/>
        <w:ind w:firstLine="643" w:firstLineChars="200"/>
        <w:jc w:val="both"/>
        <w:rPr>
          <w:rFonts w:ascii="仿宋_GB2312" w:hAnsi="微软雅黑" w:eastAsia="仿宋_GB2312" w:cs="仿宋_GB2312"/>
          <w:sz w:val="32"/>
          <w:szCs w:val="32"/>
          <w:shd w:val="clear" w:color="auto" w:fill="FFFFFF"/>
        </w:rPr>
      </w:pPr>
      <w:r>
        <w:rPr>
          <w:rFonts w:hint="eastAsia" w:ascii="仿宋_GB2312" w:hAnsi="微软雅黑" w:eastAsia="仿宋_GB2312" w:cs="仿宋_GB2312"/>
          <w:b/>
          <w:bCs/>
          <w:sz w:val="32"/>
          <w:szCs w:val="32"/>
          <w:shd w:val="clear" w:color="auto" w:fill="FFFFFF"/>
        </w:rPr>
        <w:t xml:space="preserve">第四条  </w:t>
      </w:r>
      <w:r>
        <w:rPr>
          <w:rFonts w:ascii="仿宋_GB2312" w:hAnsi="微软雅黑" w:eastAsia="仿宋_GB2312" w:cs="仿宋_GB2312"/>
          <w:sz w:val="32"/>
          <w:szCs w:val="32"/>
          <w:shd w:val="clear" w:color="auto" w:fill="FFFFFF"/>
        </w:rPr>
        <w:t>所</w:t>
      </w:r>
      <w:r>
        <w:rPr>
          <w:rFonts w:hint="eastAsia" w:ascii="仿宋_GB2312" w:hAnsi="微软雅黑" w:eastAsia="仿宋_GB2312" w:cs="仿宋_GB2312"/>
          <w:sz w:val="32"/>
          <w:szCs w:val="32"/>
          <w:shd w:val="clear" w:color="auto" w:fill="FFFFFF"/>
        </w:rPr>
        <w:t>长办公会议一般</w:t>
      </w:r>
      <w:r>
        <w:rPr>
          <w:rFonts w:ascii="仿宋_GB2312" w:hAnsi="微软雅黑" w:eastAsia="仿宋_GB2312" w:cs="仿宋_GB2312"/>
          <w:sz w:val="32"/>
          <w:szCs w:val="32"/>
          <w:shd w:val="clear" w:color="auto" w:fill="FFFFFF"/>
        </w:rPr>
        <w:t>每月</w:t>
      </w:r>
      <w:r>
        <w:rPr>
          <w:rFonts w:hint="eastAsia" w:ascii="仿宋_GB2312" w:hAnsi="微软雅黑" w:eastAsia="仿宋_GB2312" w:cs="仿宋_GB2312"/>
          <w:sz w:val="32"/>
          <w:szCs w:val="32"/>
          <w:shd w:val="clear" w:color="auto" w:fill="FFFFFF"/>
        </w:rPr>
        <w:t>召开一次，原则上安排在每月下旬。根据需要经</w:t>
      </w:r>
      <w:r>
        <w:rPr>
          <w:rFonts w:ascii="仿宋_GB2312" w:hAnsi="微软雅黑" w:eastAsia="仿宋_GB2312" w:cs="仿宋_GB2312"/>
          <w:sz w:val="32"/>
          <w:szCs w:val="32"/>
          <w:shd w:val="clear" w:color="auto" w:fill="FFFFFF"/>
        </w:rPr>
        <w:t>所</w:t>
      </w:r>
      <w:r>
        <w:rPr>
          <w:rFonts w:hint="eastAsia" w:ascii="仿宋_GB2312" w:hAnsi="微软雅黑" w:eastAsia="仿宋_GB2312" w:cs="仿宋_GB2312"/>
          <w:sz w:val="32"/>
          <w:szCs w:val="32"/>
          <w:shd w:val="clear" w:color="auto" w:fill="FFFFFF"/>
        </w:rPr>
        <w:t>长审定可随时召开。</w:t>
      </w:r>
    </w:p>
    <w:p w14:paraId="40B1FD33">
      <w:pPr>
        <w:pStyle w:val="7"/>
        <w:shd w:val="clear" w:color="auto" w:fill="FFFFFF"/>
        <w:wordWrap w:val="0"/>
        <w:spacing w:before="0" w:beforeAutospacing="0" w:after="0" w:afterAutospacing="0" w:line="560" w:lineRule="exact"/>
        <w:ind w:firstLine="643" w:firstLineChars="200"/>
        <w:jc w:val="both"/>
        <w:rPr>
          <w:rFonts w:ascii="仿宋_GB2312" w:hAnsi="仿宋" w:eastAsia="仿宋_GB2312" w:cs="仿宋"/>
          <w:sz w:val="32"/>
          <w:szCs w:val="32"/>
        </w:rPr>
      </w:pPr>
      <w:r>
        <w:rPr>
          <w:rFonts w:hint="eastAsia" w:ascii="仿宋_GB2312" w:hAnsi="仿宋" w:eastAsia="仿宋_GB2312" w:cs="仿宋"/>
          <w:b/>
          <w:bCs/>
          <w:sz w:val="32"/>
          <w:szCs w:val="32"/>
        </w:rPr>
        <w:t>第</w:t>
      </w:r>
      <w:r>
        <w:rPr>
          <w:rFonts w:ascii="仿宋_GB2312" w:hAnsi="仿宋" w:eastAsia="仿宋_GB2312" w:cs="仿宋"/>
          <w:b/>
          <w:bCs/>
          <w:sz w:val="32"/>
          <w:szCs w:val="32"/>
        </w:rPr>
        <w:t>五</w:t>
      </w:r>
      <w:r>
        <w:rPr>
          <w:rFonts w:hint="eastAsia" w:ascii="仿宋_GB2312" w:hAnsi="仿宋" w:eastAsia="仿宋_GB2312" w:cs="仿宋"/>
          <w:b/>
          <w:bCs/>
          <w:sz w:val="32"/>
          <w:szCs w:val="32"/>
        </w:rPr>
        <w:t>条</w:t>
      </w:r>
      <w:r>
        <w:rPr>
          <w:rFonts w:hint="eastAsia" w:ascii="仿宋_GB2312" w:hAnsi="仿宋" w:eastAsia="仿宋_GB2312" w:cs="仿宋"/>
          <w:sz w:val="32"/>
          <w:szCs w:val="32"/>
        </w:rPr>
        <w:t xml:space="preserve">  本规则由办公室负责解释。规则所涉及的内容，凡法律法规另有规定或上级部门另有要求的，从其规定和要求。</w:t>
      </w:r>
    </w:p>
    <w:p w14:paraId="45047759">
      <w:pPr>
        <w:pStyle w:val="7"/>
        <w:shd w:val="clear" w:color="auto" w:fill="FFFFFF"/>
        <w:wordWrap w:val="0"/>
        <w:spacing w:before="0" w:beforeAutospacing="0" w:after="0" w:afterAutospacing="0" w:line="560" w:lineRule="exact"/>
        <w:ind w:firstLine="643" w:firstLineChars="200"/>
        <w:jc w:val="both"/>
        <w:rPr>
          <w:rFonts w:ascii="仿宋_GB2312" w:hAnsi="仿宋" w:eastAsia="仿宋_GB2312" w:cs="仿宋"/>
          <w:sz w:val="32"/>
          <w:szCs w:val="32"/>
        </w:rPr>
      </w:pPr>
      <w:r>
        <w:rPr>
          <w:rFonts w:hint="eastAsia" w:ascii="仿宋_GB2312" w:hAnsi="仿宋" w:eastAsia="仿宋_GB2312" w:cs="仿宋"/>
          <w:b/>
          <w:bCs/>
          <w:sz w:val="32"/>
          <w:szCs w:val="32"/>
        </w:rPr>
        <w:t>第六条</w:t>
      </w:r>
      <w:r>
        <w:rPr>
          <w:rFonts w:hint="eastAsia" w:ascii="仿宋_GB2312" w:hAnsi="仿宋" w:eastAsia="仿宋_GB2312" w:cs="仿宋"/>
          <w:sz w:val="32"/>
          <w:szCs w:val="32"/>
        </w:rPr>
        <w:t xml:space="preserve"> 本制度规定的各项情形应严格执行，如有违反将视情节追究责任。</w:t>
      </w:r>
    </w:p>
    <w:p w14:paraId="480FE53D">
      <w:pPr>
        <w:rPr>
          <w:rFonts w:ascii="仿宋_GB2312" w:hAnsi="仿宋" w:eastAsia="仿宋_GB2312" w:cs="仿宋"/>
          <w:sz w:val="32"/>
          <w:szCs w:val="32"/>
        </w:rPr>
      </w:pPr>
      <w:r>
        <w:rPr>
          <w:rFonts w:hint="eastAsia" w:ascii="仿宋_GB2312" w:hAnsi="仿宋" w:eastAsia="仿宋_GB2312" w:cs="仿宋"/>
          <w:sz w:val="32"/>
          <w:szCs w:val="32"/>
        </w:rPr>
        <w:br w:type="page"/>
      </w:r>
    </w:p>
    <w:p w14:paraId="6080346B">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白城市戒毒所民警执法过错责任追究制度</w:t>
      </w:r>
    </w:p>
    <w:p w14:paraId="166F1BBD">
      <w:pPr>
        <w:spacing w:line="560" w:lineRule="exact"/>
        <w:ind w:firstLine="480" w:firstLineChars="200"/>
        <w:rPr>
          <w:rFonts w:ascii="宋体" w:hAnsi="宋体" w:eastAsia="宋体" w:cs="宋体"/>
          <w:sz w:val="24"/>
        </w:rPr>
      </w:pPr>
    </w:p>
    <w:p w14:paraId="067CA2DD">
      <w:pPr>
        <w:spacing w:line="560" w:lineRule="exact"/>
        <w:jc w:val="center"/>
        <w:rPr>
          <w:b/>
          <w:bCs/>
          <w:sz w:val="32"/>
          <w:szCs w:val="32"/>
        </w:rPr>
      </w:pPr>
      <w:r>
        <w:rPr>
          <w:rFonts w:hint="eastAsia"/>
          <w:b/>
          <w:bCs/>
          <w:sz w:val="32"/>
          <w:szCs w:val="32"/>
        </w:rPr>
        <w:t>第一章 制度规定</w:t>
      </w:r>
    </w:p>
    <w:p w14:paraId="5A1D49ED">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第一条 </w:t>
      </w:r>
      <w:r>
        <w:rPr>
          <w:rFonts w:hint="eastAsia" w:ascii="仿宋" w:hAnsi="仿宋" w:eastAsia="仿宋" w:cs="仿宋"/>
          <w:sz w:val="32"/>
          <w:szCs w:val="32"/>
        </w:rPr>
        <w:t>戒毒人民警察在执法活动中不得扣押销毁戒毒人员的申诉、控告检举、奖惩材料。</w:t>
      </w:r>
    </w:p>
    <w:p w14:paraId="16249EC4">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民警不得指使、放任戒毒人员殴打、体罚、虐待戒毒人员或者滥用警戒具。</w:t>
      </w:r>
    </w:p>
    <w:p w14:paraId="0F42C04A">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民警不得违规对戒毒人员超期禁闭、超时使用戒具，到期不给予解除禁闭、戒具的现象发生。</w:t>
      </w:r>
    </w:p>
    <w:p w14:paraId="3083263A">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民警不得利用不正当手段索要收受戒毒人员及其家属财物。</w:t>
      </w:r>
    </w:p>
    <w:p w14:paraId="15885B11">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民警不得克扣、挪用、贪污戒毒人员粮食、伙食费及其用工生产报酬和其他财物。</w:t>
      </w:r>
    </w:p>
    <w:p w14:paraId="53A2EA58">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民警不得向戒毒人员及其家属兜售物品、借钱、借物或委托代购商品谋取不正当的经济利益。</w:t>
      </w:r>
    </w:p>
    <w:p w14:paraId="710CC966">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民警本人或亲属不得接受戒毒人员及其亲属的宴请、礼品或者让其代支其他费用。</w:t>
      </w:r>
    </w:p>
    <w:p w14:paraId="542ADBAF">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任何人或部门不得违反规定让戒毒人员或其亲属给予本单位财物。</w:t>
      </w:r>
    </w:p>
    <w:p w14:paraId="36A04C38">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第九条 </w:t>
      </w:r>
      <w:r>
        <w:rPr>
          <w:rFonts w:hint="eastAsia" w:ascii="仿宋" w:hAnsi="仿宋" w:eastAsia="仿宋" w:cs="仿宋"/>
          <w:sz w:val="32"/>
          <w:szCs w:val="32"/>
        </w:rPr>
        <w:t>民警在工作值班期间，要在岗在位，尽职尽责，严防戒毒人员闹事、逃跑、伤亡事故的发生。</w:t>
      </w:r>
    </w:p>
    <w:p w14:paraId="45D0360A">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遇有戒毒人员逃跑、伤亡事故应及时上报不得隐瞒不报。</w:t>
      </w:r>
    </w:p>
    <w:p w14:paraId="4DC67B87">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遇有戒毒人员突发急性重病应立即组织抢救治疗并及时上报。</w:t>
      </w:r>
    </w:p>
    <w:p w14:paraId="085CBF4C">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民警在生产岗位上要严格遵守执行安全生产规定，科学合理安排生产，杜绝生产责任事故的发生。</w:t>
      </w:r>
    </w:p>
    <w:p w14:paraId="63D67EF0">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xml:space="preserve"> 民警在管理戒毒人员执法活动中，不得利用戒毒人员管理劳教人员，代行警察职权，组织戒毒人员作息、学习、训练、开饭、放便、出收工。并把管理职权交予工人、临时工人代为行使。</w:t>
      </w:r>
    </w:p>
    <w:p w14:paraId="35C248A7">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xml:space="preserve"> 民警要按规定管理，使用枪支弹药及警戒具，如丢失或造成其他后果自负，构成犯罪的移交司法机关处理。</w:t>
      </w:r>
    </w:p>
    <w:p w14:paraId="3A5262D6">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民警不得违反规定，为戒毒人员传递信件或捎带物品，私下安排戒毒人员和亲属会见、让戒毒人员为自己干私活。</w:t>
      </w:r>
    </w:p>
    <w:p w14:paraId="41E93C5B">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民警不得违反规定，存在对戒毒人员所外就医、变更执行方式、提前解除，诊断评估有徇私舞弊的行为。</w:t>
      </w:r>
    </w:p>
    <w:p w14:paraId="78271397">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民警不得与戒毒人员因私或个人问题对戒毒人员及其亲属进行刁难、打击、报复。</w:t>
      </w:r>
    </w:p>
    <w:p w14:paraId="6B3852B3">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xml:space="preserve"> 民警一律到民警食堂就餐，有管理戒毒人员的单位民警要轮换就餐。</w:t>
      </w:r>
    </w:p>
    <w:p w14:paraId="069C4A4C">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第十九条 </w:t>
      </w:r>
      <w:r>
        <w:rPr>
          <w:rFonts w:hint="eastAsia" w:ascii="仿宋" w:hAnsi="仿宋" w:eastAsia="仿宋" w:cs="仿宋"/>
          <w:sz w:val="32"/>
          <w:szCs w:val="32"/>
        </w:rPr>
        <w:t>管理戒毒人员食堂的民警要遵照《中华人民共和国食品卫生法》购进粮食、蔬菜等严防食物中毒事件的发生。</w:t>
      </w:r>
    </w:p>
    <w:p w14:paraId="1E2AA01F">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xml:space="preserve"> 探访室民警不得违反探访制度私自安排戒毒人员探访，造成不良后果的，按戒毒所相关制度严肃处理。</w:t>
      </w:r>
    </w:p>
    <w:p w14:paraId="18DD2A6D">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xml:space="preserve"> 决不允许民警安排使用班、组长，或使用勤务人员。</w:t>
      </w:r>
    </w:p>
    <w:p w14:paraId="4E3A6338">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xml:space="preserve"> 未经批准，民警不得擅自接待外来人参观、采访戒毒场所，防止给戒毒工作造成失密、泄密事件发生。</w:t>
      </w:r>
    </w:p>
    <w:p w14:paraId="3E03B51D">
      <w:pPr>
        <w:spacing w:line="560" w:lineRule="exact"/>
        <w:rPr>
          <w:b/>
          <w:bCs/>
          <w:sz w:val="32"/>
          <w:szCs w:val="32"/>
        </w:rPr>
      </w:pPr>
    </w:p>
    <w:p w14:paraId="29CFA4A6">
      <w:pPr>
        <w:spacing w:line="560" w:lineRule="exact"/>
        <w:ind w:firstLine="643" w:firstLineChars="200"/>
        <w:rPr>
          <w:b/>
          <w:bCs/>
          <w:sz w:val="32"/>
          <w:szCs w:val="32"/>
        </w:rPr>
      </w:pPr>
      <w:r>
        <w:rPr>
          <w:rFonts w:hint="eastAsia"/>
          <w:b/>
          <w:bCs/>
          <w:sz w:val="32"/>
          <w:szCs w:val="32"/>
        </w:rPr>
        <w:t>第二章 以下情形移送纪检监察机关及司法机关处理</w:t>
      </w:r>
    </w:p>
    <w:p w14:paraId="3076017D">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xml:space="preserve"> 发生对戒毒人员打骂、体罚、虐待或刑讯逼供查证属实的：</w:t>
      </w:r>
    </w:p>
    <w:p w14:paraId="44EC9CB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民警把戒毒人员打成重伤或轻伤并在社会上造成重大影响的，移送纪检监察机关处理；构成犯罪的，移交司法机关处理，所发生的医疗费由责任人自负。打成轻伤的给予责任人移送纪检监察机关处理，所发生的医疗费由责任人自负。有戒毒人员的科（室）参照执行。</w:t>
      </w:r>
    </w:p>
    <w:p w14:paraId="29ABCCA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民警唆使或放任戒毒人员打戒毒人员致重伤或轻伤的，参照上款执行。</w:t>
      </w:r>
    </w:p>
    <w:p w14:paraId="212339E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发生戒毒人员逃跑被抓回后，民警对其实施打骂、体罚、虐待和污辱的，参照第1款执行。</w:t>
      </w:r>
    </w:p>
    <w:p w14:paraId="553617F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发生打骂、体罚、虐待戒毒人员行为，且不按时上报或隐瞒不报的单位；或造成严重后果的。</w:t>
      </w:r>
    </w:p>
    <w:p w14:paraId="4036D25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对戒毒人员滥用警戒具，超时禁闭，到期不及时办理解除手续，或无故扣压解除证明，扣压或销毁戒毒人员申诉、控告、检举材料的，移送纪检监察机关。</w:t>
      </w:r>
    </w:p>
    <w:p w14:paraId="27B22B2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办理戒毒人员所外就医、变更执行方式、提前解除，诊断评估有徇私舞弊行为的，移送纪检监察机关，构成犯罪的，移交司法机关处理。</w:t>
      </w:r>
    </w:p>
    <w:p w14:paraId="461DF19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造成戒毒人员逃跑和重大恶性事故的，按下列条款处罚：</w:t>
      </w:r>
    </w:p>
    <w:p w14:paraId="1DA4355A">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xml:space="preserve"> 所内发生戒毒人员逃跑</w:t>
      </w:r>
    </w:p>
    <w:p w14:paraId="0F78766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发生一次戒毒人员逃跑的，将警戒科科长、警戒科副科长移送司法机关。在戒毒宿舍楼发生戒毒人员逃跑的，将警戒科值班民警移送纪检监察机关。民警把戒毒人员带出宿舍楼，戒毒人员从其他地方逃跑的（门卫、会见室除外），将责任人移送纪检监察机关。</w:t>
      </w:r>
    </w:p>
    <w:p w14:paraId="24B5A91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如发生二人以上逃跑的，参照上款加重处罚。</w:t>
      </w:r>
    </w:p>
    <w:p w14:paraId="1441535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管理科、生活卫生科、警戒科等科（室）发生戒毒人员逃跑的，将值班民警移送纪检监察机关。</w:t>
      </w:r>
    </w:p>
    <w:p w14:paraId="62AC87D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在上级开展各项安全竞赛活动中，发生戒毒人员逃跑的，如24小时以外抓获，参照以上条款加重处罚。</w:t>
      </w:r>
    </w:p>
    <w:p w14:paraId="35CD38FC">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xml:space="preserve"> 民警向戒毒人员及其家属借钱、索要或收受贿赂、按受戒毒人员及亲友宴请，应移送纪检监察机关，经查证属实视情节给予党纪、政纪处分，并如数没收非法所得；构成犯罪的，移交司法机关处理。</w:t>
      </w:r>
    </w:p>
    <w:p w14:paraId="0C6AEB4B">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xml:space="preserve"> 发生过打骂、体罚、虐待戒毒人员事件的大队，当年不能评为先进单位，单位主要负责人不能评为年度优秀档次。</w:t>
      </w:r>
    </w:p>
    <w:p w14:paraId="27F85B44">
      <w:pPr>
        <w:spacing w:line="560" w:lineRule="exact"/>
        <w:jc w:val="center"/>
        <w:rPr>
          <w:rFonts w:ascii="仿宋" w:hAnsi="仿宋" w:eastAsia="仿宋" w:cs="仿宋"/>
          <w:sz w:val="32"/>
          <w:szCs w:val="32"/>
        </w:rPr>
      </w:pPr>
      <w:r>
        <w:rPr>
          <w:rFonts w:hint="eastAsia"/>
          <w:b/>
          <w:bCs/>
          <w:sz w:val="32"/>
          <w:szCs w:val="32"/>
        </w:rPr>
        <w:t>第三章 以下情形进行行政处罚</w:t>
      </w:r>
    </w:p>
    <w:p w14:paraId="5FDDEA0C">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xml:space="preserve"> 凡私自用戒毒人员干私活，在楼内私自做饭、洗衣物等罚给予通报批评教育。</w:t>
      </w:r>
    </w:p>
    <w:p w14:paraId="3E537C40">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第二十八条 </w:t>
      </w:r>
      <w:r>
        <w:rPr>
          <w:rFonts w:hint="eastAsia" w:ascii="仿宋" w:hAnsi="仿宋" w:eastAsia="仿宋" w:cs="仿宋"/>
          <w:sz w:val="32"/>
          <w:szCs w:val="32"/>
        </w:rPr>
        <w:t>利用戒毒人员管理戒毒人员代行警察职权的，不亲自组织戒毒人员作息、学习、训练、开饭、方便、出收工秩序混乱，给予涉事民警通报批评处罚。</w:t>
      </w:r>
    </w:p>
    <w:p w14:paraId="58A60277">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第二十九条 </w:t>
      </w:r>
      <w:r>
        <w:rPr>
          <w:rFonts w:hint="eastAsia" w:ascii="仿宋" w:hAnsi="仿宋" w:eastAsia="仿宋" w:cs="仿宋"/>
          <w:sz w:val="32"/>
          <w:szCs w:val="32"/>
        </w:rPr>
        <w:t>把宿舍、库房门钥匙交戒毒人员代掌管，每发现一次，给予当班民警通报批评处罚，造成严重后果的移送纪检监察机关。</w:t>
      </w:r>
    </w:p>
    <w:p w14:paraId="6CDE03F4">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第三十条 </w:t>
      </w:r>
      <w:r>
        <w:rPr>
          <w:rFonts w:hint="eastAsia" w:ascii="仿宋" w:hAnsi="仿宋" w:eastAsia="仿宋" w:cs="仿宋"/>
          <w:sz w:val="32"/>
          <w:szCs w:val="32"/>
        </w:rPr>
        <w:t>院落内发现没有民警直接管戒毒人员的，给予当班民警批评教育。</w:t>
      </w:r>
    </w:p>
    <w:p w14:paraId="4408E03E">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第三十一条 </w:t>
      </w:r>
      <w:r>
        <w:rPr>
          <w:rFonts w:hint="eastAsia" w:ascii="仿宋" w:hAnsi="仿宋" w:eastAsia="仿宋" w:cs="仿宋"/>
          <w:sz w:val="32"/>
          <w:szCs w:val="32"/>
        </w:rPr>
        <w:t>发现戒毒人员喝酒、赌博，将危险品带入宿舍内，给予当班民警通报批评处罚，如带入易燃易爆物品加重处罚（会见室、门卫值班人员不严格检查一并处罚）；造成后果的，视情节轻重给予责任民警通报批评并做大会检查。</w:t>
      </w:r>
    </w:p>
    <w:p w14:paraId="74237F39">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xml:space="preserve"> 未经管理科审批，私自将戒毒人员带出院外，给予当班民警和管理科民警通报批评处罚，给予门卫批评教育；造成戒毒人员逃跑的，将带领者移送纪检监察机关。</w:t>
      </w:r>
    </w:p>
    <w:p w14:paraId="0E774002">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第三十三条 </w:t>
      </w:r>
      <w:r>
        <w:rPr>
          <w:rFonts w:hint="eastAsia" w:ascii="仿宋" w:hAnsi="仿宋" w:eastAsia="仿宋" w:cs="仿宋"/>
          <w:sz w:val="32"/>
          <w:szCs w:val="32"/>
        </w:rPr>
        <w:t>值班不到位或擅离岗位给予批评教育处罚。</w:t>
      </w:r>
    </w:p>
    <w:p w14:paraId="7E514347">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xml:space="preserve"> 戒毒场所内停入、修理、擦拭各类私家车，给予当事人及门卫批评教育处罚。</w:t>
      </w:r>
    </w:p>
    <w:p w14:paraId="4542CECF">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 xml:space="preserve"> 民警一律到民警食堂就餐，大队要轮换就餐，在岗期间不准饮酒，违者给予批评教育处罚。。</w:t>
      </w:r>
    </w:p>
    <w:p w14:paraId="36444C70">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第三十六条</w:t>
      </w:r>
      <w:r>
        <w:rPr>
          <w:rFonts w:hint="eastAsia" w:ascii="仿宋" w:hAnsi="仿宋" w:eastAsia="仿宋" w:cs="仿宋"/>
          <w:sz w:val="32"/>
          <w:szCs w:val="32"/>
        </w:rPr>
        <w:t xml:space="preserve"> 发生戒毒人员违纪不做及时处理和上报的，视情节给予大队领导及当班民警批评教育。</w:t>
      </w:r>
    </w:p>
    <w:p w14:paraId="3577C21A">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第三十七条 </w:t>
      </w:r>
      <w:r>
        <w:rPr>
          <w:rFonts w:hint="eastAsia" w:ascii="仿宋" w:hAnsi="仿宋" w:eastAsia="仿宋" w:cs="仿宋"/>
          <w:sz w:val="32"/>
          <w:szCs w:val="32"/>
        </w:rPr>
        <w:t>在岗期间玩麻将、扑克、象棋等，给予当事人通报批评处罚。</w:t>
      </w:r>
    </w:p>
    <w:p w14:paraId="470B0263">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第三十八条 </w:t>
      </w:r>
      <w:r>
        <w:rPr>
          <w:rFonts w:hint="eastAsia" w:ascii="仿宋" w:hAnsi="仿宋" w:eastAsia="仿宋" w:cs="仿宋"/>
          <w:sz w:val="32"/>
          <w:szCs w:val="32"/>
        </w:rPr>
        <w:t>年度内完不成教育计划，给予教育科科长、教育科干事批评教育处罚。大队民警完不成个案矫治任务，给予批评教育处罚。不按有关规定认真实施戒毒人员行为矫治考核的，给予当班民警、大队值班民警批评教育处罚。</w:t>
      </w:r>
    </w:p>
    <w:p w14:paraId="0F5630EB">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第三十九条 </w:t>
      </w:r>
      <w:r>
        <w:rPr>
          <w:rFonts w:hint="eastAsia" w:ascii="仿宋" w:hAnsi="仿宋" w:eastAsia="仿宋" w:cs="仿宋"/>
          <w:sz w:val="32"/>
          <w:szCs w:val="32"/>
        </w:rPr>
        <w:t>各种簿册不健全、字迹不工整以及无具体记载内容的，给予大队主要负责人、责任人批评教育处罚。</w:t>
      </w:r>
    </w:p>
    <w:p w14:paraId="6DB11D52">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第四十条</w:t>
      </w:r>
      <w:r>
        <w:rPr>
          <w:rFonts w:hint="eastAsia" w:ascii="仿宋" w:hAnsi="仿宋" w:eastAsia="仿宋" w:cs="仿宋"/>
          <w:sz w:val="32"/>
          <w:szCs w:val="32"/>
        </w:rPr>
        <w:t xml:space="preserve"> 室内外卫生及内务保持不好，生活卫生科不督促检查，给予科长批评教育处罚。</w:t>
      </w:r>
    </w:p>
    <w:p w14:paraId="20BAA6E5">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第四十一条 </w:t>
      </w:r>
      <w:r>
        <w:rPr>
          <w:rFonts w:hint="eastAsia" w:ascii="仿宋" w:hAnsi="仿宋" w:eastAsia="仿宋" w:cs="仿宋"/>
          <w:sz w:val="32"/>
          <w:szCs w:val="32"/>
        </w:rPr>
        <w:t>戒毒人员食堂发生戒毒人员食物中毒，视后果轻重给予生活卫生科管理员、科长及有关领导通报批评，并进行大会检查；构成犯罪的，移交司法机关处理。</w:t>
      </w:r>
    </w:p>
    <w:p w14:paraId="61803F68">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第四十二条 </w:t>
      </w:r>
      <w:r>
        <w:rPr>
          <w:rFonts w:hint="eastAsia" w:ascii="仿宋" w:hAnsi="仿宋" w:eastAsia="仿宋" w:cs="仿宋"/>
          <w:sz w:val="32"/>
          <w:szCs w:val="32"/>
        </w:rPr>
        <w:t>对患病的戒毒人员不能掌握病情，没能及时就诊的，给予当事人批评教育处罚，延误正常治疗，造成病情恶化死亡的，将责任人移送纪检监察机关；构成犯罪的，移交司法机关处理。</w:t>
      </w:r>
    </w:p>
    <w:p w14:paraId="35F62F53">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第四十三条</w:t>
      </w:r>
      <w:r>
        <w:rPr>
          <w:rFonts w:hint="eastAsia" w:ascii="仿宋" w:hAnsi="仿宋" w:eastAsia="仿宋" w:cs="仿宋"/>
          <w:sz w:val="32"/>
          <w:szCs w:val="32"/>
        </w:rPr>
        <w:t xml:space="preserve"> 不按规定对安全设施及戒毒宿舍进行检查，发现漏洞又不及时报告处理的，给予有关责任人批评教育处罚；造成严重后果的，参照有关规定加重处理。</w:t>
      </w:r>
    </w:p>
    <w:p w14:paraId="749F7CD7">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第四十四条</w:t>
      </w:r>
      <w:r>
        <w:rPr>
          <w:rFonts w:hint="eastAsia" w:ascii="仿宋" w:hAnsi="仿宋" w:eastAsia="仿宋" w:cs="仿宋"/>
          <w:sz w:val="32"/>
          <w:szCs w:val="32"/>
        </w:rPr>
        <w:t xml:space="preserve"> 外来人员未经所领导审批进入戒毒所院内，给予门卫及带领者通报批评处罚，造成后果的加重处罚。</w:t>
      </w:r>
    </w:p>
    <w:p w14:paraId="7B71A31A">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第四十五条 </w:t>
      </w:r>
      <w:r>
        <w:rPr>
          <w:rFonts w:hint="eastAsia" w:ascii="仿宋" w:hAnsi="仿宋" w:eastAsia="仿宋" w:cs="仿宋"/>
          <w:sz w:val="32"/>
          <w:szCs w:val="32"/>
        </w:rPr>
        <w:t>各科（室）、大队对本单位的设施，由于管理不当造成损坏责任不明的，由单位主要负责人按价赔偿。</w:t>
      </w:r>
    </w:p>
    <w:p w14:paraId="7537C3B8">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第四十六条 </w:t>
      </w:r>
      <w:r>
        <w:rPr>
          <w:rFonts w:hint="eastAsia" w:ascii="仿宋" w:hAnsi="仿宋" w:eastAsia="仿宋" w:cs="仿宋"/>
          <w:sz w:val="32"/>
          <w:szCs w:val="32"/>
        </w:rPr>
        <w:t>发现戒毒人员脱管，给予直接责任人通报批评处罚。</w:t>
      </w:r>
    </w:p>
    <w:p w14:paraId="4D45EA59">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第四十七条 </w:t>
      </w:r>
      <w:r>
        <w:rPr>
          <w:rFonts w:hint="eastAsia" w:ascii="仿宋" w:hAnsi="仿宋" w:eastAsia="仿宋" w:cs="仿宋"/>
          <w:sz w:val="32"/>
          <w:szCs w:val="32"/>
        </w:rPr>
        <w:t>探访室民警违反探访管理制度的，给予责任人通报批评处罚。</w:t>
      </w:r>
    </w:p>
    <w:p w14:paraId="52A8EDFB">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第四十八条</w:t>
      </w:r>
      <w:r>
        <w:rPr>
          <w:rFonts w:hint="eastAsia" w:ascii="仿宋" w:hAnsi="仿宋" w:eastAsia="仿宋" w:cs="仿宋"/>
          <w:sz w:val="32"/>
          <w:szCs w:val="32"/>
        </w:rPr>
        <w:t xml:space="preserve"> 戒毒人员的现金一律交财务科储存，使用一卡通购物，若发现戒毒人员自己保管现金予以没收，给予大队领导、当班民警通报批评处罚。如现金从超市、探访室流入戒毒人员手中给予当事人通报批评处罚。</w:t>
      </w:r>
    </w:p>
    <w:p w14:paraId="1813BBD9">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第四十九条</w:t>
      </w:r>
      <w:r>
        <w:rPr>
          <w:rFonts w:hint="eastAsia" w:ascii="仿宋" w:hAnsi="仿宋" w:eastAsia="仿宋" w:cs="仿宋"/>
          <w:sz w:val="32"/>
          <w:szCs w:val="32"/>
        </w:rPr>
        <w:t xml:space="preserve"> 不按清查制度定期对戒毒人员宿舍进行清查的，给予大队领导批评教育处罚，给予管理科科长通报批评处罚。</w:t>
      </w:r>
    </w:p>
    <w:p w14:paraId="21117A2A">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第五十条</w:t>
      </w:r>
      <w:r>
        <w:rPr>
          <w:rFonts w:hint="eastAsia" w:ascii="仿宋" w:hAnsi="仿宋" w:eastAsia="仿宋" w:cs="仿宋"/>
          <w:sz w:val="32"/>
          <w:szCs w:val="32"/>
        </w:rPr>
        <w:t xml:space="preserve"> 对向上级有关部门积极反映情况或举报违法违纪的戒毒人员进行打击报复的民警，视情节给予通报批评以上处分。</w:t>
      </w:r>
    </w:p>
    <w:p w14:paraId="0A692E3E">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第五十一条</w:t>
      </w:r>
      <w:r>
        <w:rPr>
          <w:rFonts w:hint="eastAsia" w:ascii="仿宋" w:hAnsi="仿宋" w:eastAsia="仿宋" w:cs="仿宋"/>
          <w:sz w:val="32"/>
          <w:szCs w:val="32"/>
        </w:rPr>
        <w:t xml:space="preserve"> 有关监督、考核人员未按本规定，对违反规定的民警不进行处罚的，给予监督考核管理人员批评教育处罚。</w:t>
      </w:r>
    </w:p>
    <w:p w14:paraId="2F7C06DA">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第五十二条</w:t>
      </w:r>
      <w:r>
        <w:rPr>
          <w:rFonts w:hint="eastAsia" w:ascii="仿宋" w:hAnsi="仿宋" w:eastAsia="仿宋" w:cs="仿宋"/>
          <w:sz w:val="32"/>
          <w:szCs w:val="32"/>
        </w:rPr>
        <w:t xml:space="preserve"> 严禁司机酒后驾车，凡酒后驾车造成事故的，其责任由驾驶员自负，并按相关规定进行处理。</w:t>
      </w:r>
    </w:p>
    <w:p w14:paraId="2986AD04">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第五十三条</w:t>
      </w:r>
      <w:r>
        <w:rPr>
          <w:rFonts w:hint="eastAsia" w:ascii="仿宋" w:hAnsi="仿宋" w:eastAsia="仿宋" w:cs="仿宋"/>
          <w:sz w:val="32"/>
          <w:szCs w:val="32"/>
        </w:rPr>
        <w:t xml:space="preserve"> 值班司机应在岗在位，未经领导批准不准私自出车，凡私自出车、出私车造成事故的，责任由驾驶员自负。</w:t>
      </w:r>
    </w:p>
    <w:p w14:paraId="3C5C30C6">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第五十四条</w:t>
      </w:r>
      <w:r>
        <w:rPr>
          <w:rFonts w:hint="eastAsia" w:ascii="仿宋" w:hAnsi="仿宋" w:eastAsia="仿宋" w:cs="仿宋"/>
          <w:sz w:val="32"/>
          <w:szCs w:val="32"/>
        </w:rPr>
        <w:t xml:space="preserve"> 驾驶员因行车造成事故应及时处理，若逃逸现场，后果自负。</w:t>
      </w:r>
    </w:p>
    <w:p w14:paraId="4EACCBD1">
      <w:pPr>
        <w:spacing w:line="560" w:lineRule="exact"/>
        <w:jc w:val="center"/>
        <w:rPr>
          <w:b/>
          <w:bCs/>
          <w:sz w:val="32"/>
          <w:szCs w:val="32"/>
        </w:rPr>
      </w:pPr>
      <w:r>
        <w:rPr>
          <w:rFonts w:hint="eastAsia"/>
          <w:b/>
          <w:bCs/>
          <w:sz w:val="32"/>
          <w:szCs w:val="32"/>
        </w:rPr>
        <w:t>第四章 附则</w:t>
      </w:r>
    </w:p>
    <w:p w14:paraId="1DCD17D3">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第五十五条</w:t>
      </w:r>
      <w:r>
        <w:rPr>
          <w:rFonts w:hint="eastAsia" w:ascii="仿宋" w:hAnsi="仿宋" w:eastAsia="仿宋" w:cs="仿宋"/>
          <w:sz w:val="32"/>
          <w:szCs w:val="32"/>
        </w:rPr>
        <w:t xml:space="preserve"> 在册民警职工过错责任的处罚，按本规定执行。</w:t>
      </w:r>
    </w:p>
    <w:p w14:paraId="1835830D">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第五十六条 </w:t>
      </w:r>
      <w:r>
        <w:rPr>
          <w:rFonts w:hint="eastAsia" w:ascii="仿宋" w:hAnsi="仿宋" w:eastAsia="仿宋" w:cs="仿宋"/>
          <w:sz w:val="32"/>
          <w:szCs w:val="32"/>
        </w:rPr>
        <w:t>由所长任组长，政委及分管生产、管理教育、后勤的副所长任副组长，政治处、管理科、教育科、警戒科、生活卫生科、生产科、戒毒医院单位领导任组员，进行考核实施。</w:t>
      </w:r>
    </w:p>
    <w:p w14:paraId="2D7F7AB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14:paraId="2652F797">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第五十七条</w:t>
      </w:r>
      <w:r>
        <w:rPr>
          <w:rFonts w:hint="eastAsia" w:ascii="仿宋" w:hAnsi="仿宋" w:eastAsia="仿宋" w:cs="仿宋"/>
          <w:sz w:val="32"/>
          <w:szCs w:val="32"/>
        </w:rPr>
        <w:t xml:space="preserve"> 本制度规定的各项情形应严格执行，如有违反将视情节追究责任。</w:t>
      </w:r>
    </w:p>
    <w:p w14:paraId="62E675F7">
      <w:pPr>
        <w:rPr>
          <w:rFonts w:ascii="仿宋" w:hAnsi="仿宋" w:eastAsia="仿宋" w:cs="仿宋"/>
          <w:sz w:val="32"/>
          <w:szCs w:val="32"/>
        </w:rPr>
      </w:pPr>
      <w:r>
        <w:rPr>
          <w:rFonts w:hint="eastAsia" w:ascii="仿宋" w:hAnsi="仿宋" w:eastAsia="仿宋" w:cs="仿宋"/>
          <w:sz w:val="32"/>
          <w:szCs w:val="32"/>
        </w:rPr>
        <w:br w:type="page"/>
      </w:r>
    </w:p>
    <w:p w14:paraId="0A219067">
      <w:pPr>
        <w:spacing w:line="560" w:lineRule="exact"/>
        <w:jc w:val="center"/>
        <w:rPr>
          <w:rFonts w:ascii="方正小标宋_GBK" w:hAnsi="方正小标宋_GBK" w:eastAsia="方正小标宋_GBK" w:cs="方正小标宋_GBK"/>
          <w:kern w:val="0"/>
          <w:sz w:val="44"/>
          <w:szCs w:val="44"/>
          <w:shd w:val="clear" w:color="auto" w:fill="FFFFFF"/>
        </w:rPr>
      </w:pPr>
      <w:r>
        <w:rPr>
          <w:rFonts w:hint="eastAsia" w:ascii="方正小标宋_GBK" w:hAnsi="方正小标宋_GBK" w:eastAsia="方正小标宋_GBK" w:cs="方正小标宋_GBK"/>
          <w:kern w:val="0"/>
          <w:sz w:val="44"/>
          <w:szCs w:val="44"/>
          <w:shd w:val="clear" w:color="auto" w:fill="FFFFFF"/>
        </w:rPr>
        <w:t>白城市强制隔离戒毒所民警谈心谈话制度</w:t>
      </w:r>
    </w:p>
    <w:p w14:paraId="63E880EF">
      <w:pPr>
        <w:pStyle w:val="7"/>
        <w:shd w:val="clear" w:color="auto" w:fill="FFFFFF"/>
        <w:spacing w:before="0" w:beforeAutospacing="0" w:after="0" w:afterAutospacing="0" w:line="560" w:lineRule="exact"/>
        <w:jc w:val="both"/>
        <w:rPr>
          <w:rFonts w:ascii="微软雅黑" w:hAnsi="微软雅黑" w:eastAsia="微软雅黑" w:cs="微软雅黑"/>
          <w:sz w:val="27"/>
          <w:szCs w:val="27"/>
          <w:shd w:val="clear" w:color="auto" w:fill="FFFFFF"/>
        </w:rPr>
      </w:pPr>
    </w:p>
    <w:p w14:paraId="4DF2AEBC">
      <w:pPr>
        <w:pStyle w:val="7"/>
        <w:shd w:val="clear" w:color="auto" w:fill="FFFFFF"/>
        <w:spacing w:before="0" w:beforeAutospacing="0" w:after="0" w:afterAutospacing="0" w:line="560" w:lineRule="exact"/>
        <w:ind w:firstLine="643" w:firstLineChars="200"/>
        <w:jc w:val="both"/>
        <w:rPr>
          <w:rFonts w:ascii="仿宋" w:hAnsi="仿宋" w:eastAsia="仿宋" w:cs="仿宋"/>
          <w:sz w:val="32"/>
          <w:szCs w:val="32"/>
        </w:rPr>
      </w:pPr>
      <w:r>
        <w:rPr>
          <w:rFonts w:hint="eastAsia" w:ascii="仿宋" w:hAnsi="仿宋" w:eastAsia="仿宋" w:cs="仿宋"/>
          <w:b/>
          <w:bCs/>
          <w:sz w:val="32"/>
          <w:szCs w:val="32"/>
          <w:shd w:val="clear" w:color="auto" w:fill="FFFFFF"/>
        </w:rPr>
        <w:t>第一条</w:t>
      </w:r>
      <w:r>
        <w:rPr>
          <w:rFonts w:hint="eastAsia" w:ascii="仿宋" w:hAnsi="仿宋" w:eastAsia="仿宋" w:cs="仿宋"/>
          <w:sz w:val="32"/>
          <w:szCs w:val="32"/>
          <w:shd w:val="clear" w:color="auto" w:fill="FFFFFF"/>
        </w:rPr>
        <w:t xml:space="preserve"> 为认真贯彻落实从严治警、从优待警方针，进一步加强对民警的教育管理，提升思想政治工作的针对性、实效性，推进队伍正规化建设，根据上级机关相关文件精神，结合我所工作实际，制定本制度。</w:t>
      </w:r>
    </w:p>
    <w:p w14:paraId="77C4B22D">
      <w:pPr>
        <w:pStyle w:val="7"/>
        <w:shd w:val="clear" w:color="auto" w:fill="FFFFFF"/>
        <w:spacing w:before="0" w:beforeAutospacing="0" w:after="0" w:afterAutospacing="0" w:line="560" w:lineRule="exact"/>
        <w:ind w:firstLine="643" w:firstLineChars="200"/>
        <w:jc w:val="both"/>
        <w:rPr>
          <w:rFonts w:ascii="仿宋" w:hAnsi="仿宋" w:eastAsia="仿宋" w:cs="仿宋"/>
          <w:sz w:val="32"/>
          <w:szCs w:val="32"/>
        </w:rPr>
      </w:pPr>
      <w:r>
        <w:rPr>
          <w:rFonts w:hint="eastAsia" w:ascii="仿宋" w:hAnsi="仿宋" w:eastAsia="仿宋" w:cs="仿宋"/>
          <w:b/>
          <w:bCs/>
          <w:sz w:val="32"/>
          <w:szCs w:val="32"/>
          <w:shd w:val="clear" w:color="auto" w:fill="FFFFFF"/>
        </w:rPr>
        <w:t>第二条</w:t>
      </w:r>
      <w:r>
        <w:rPr>
          <w:rFonts w:hint="eastAsia" w:ascii="仿宋" w:hAnsi="仿宋" w:eastAsia="仿宋" w:cs="仿宋"/>
          <w:sz w:val="32"/>
          <w:szCs w:val="32"/>
          <w:shd w:val="clear" w:color="auto" w:fill="FFFFFF"/>
        </w:rPr>
        <w:t xml:space="preserve"> 谈心谈话对象为全所在编在职民警。以家访慰问等形式进行的谈心谈话对象扩大至民警家属。</w:t>
      </w:r>
    </w:p>
    <w:p w14:paraId="06A42ED9">
      <w:pPr>
        <w:pStyle w:val="7"/>
        <w:shd w:val="clear" w:color="auto" w:fill="FFFFFF"/>
        <w:spacing w:before="0" w:beforeAutospacing="0" w:after="0" w:afterAutospacing="0" w:line="560" w:lineRule="exact"/>
        <w:ind w:firstLine="643" w:firstLineChars="200"/>
        <w:jc w:val="both"/>
        <w:rPr>
          <w:rFonts w:ascii="仿宋" w:hAnsi="仿宋" w:eastAsia="仿宋" w:cs="仿宋"/>
          <w:sz w:val="32"/>
          <w:szCs w:val="32"/>
        </w:rPr>
      </w:pPr>
      <w:r>
        <w:rPr>
          <w:rFonts w:hint="eastAsia" w:ascii="仿宋" w:hAnsi="仿宋" w:eastAsia="仿宋" w:cs="仿宋"/>
          <w:b/>
          <w:bCs/>
          <w:sz w:val="32"/>
          <w:szCs w:val="32"/>
          <w:shd w:val="clear" w:color="auto" w:fill="FFFFFF"/>
        </w:rPr>
        <w:t xml:space="preserve">第三条 </w:t>
      </w:r>
      <w:r>
        <w:rPr>
          <w:rFonts w:hint="eastAsia" w:ascii="仿宋" w:hAnsi="仿宋" w:eastAsia="仿宋" w:cs="仿宋"/>
          <w:sz w:val="32"/>
          <w:szCs w:val="32"/>
          <w:shd w:val="clear" w:color="auto" w:fill="FFFFFF"/>
        </w:rPr>
        <w:t>谈心谈话可专题进行，也可根据实际情况贯穿于日常工作之中；可个别面谈，也可以民主生活会、座谈会、集体谈心、随机交流等方式进行。</w:t>
      </w:r>
    </w:p>
    <w:p w14:paraId="39ED6957">
      <w:pPr>
        <w:pStyle w:val="7"/>
        <w:shd w:val="clear" w:color="auto" w:fill="FFFFFF"/>
        <w:spacing w:before="0" w:beforeAutospacing="0" w:after="0" w:afterAutospacing="0" w:line="560" w:lineRule="exact"/>
        <w:ind w:firstLine="643" w:firstLineChars="200"/>
        <w:jc w:val="both"/>
        <w:rPr>
          <w:rFonts w:ascii="仿宋" w:hAnsi="仿宋" w:eastAsia="仿宋" w:cs="仿宋"/>
          <w:sz w:val="32"/>
          <w:szCs w:val="32"/>
        </w:rPr>
      </w:pPr>
      <w:r>
        <w:rPr>
          <w:rFonts w:hint="eastAsia" w:ascii="仿宋" w:hAnsi="仿宋" w:eastAsia="仿宋" w:cs="仿宋"/>
          <w:b/>
          <w:bCs/>
          <w:sz w:val="32"/>
          <w:szCs w:val="32"/>
          <w:shd w:val="clear" w:color="auto" w:fill="FFFFFF"/>
        </w:rPr>
        <w:t>第四条</w:t>
      </w:r>
      <w:r>
        <w:rPr>
          <w:rFonts w:hint="eastAsia" w:ascii="仿宋" w:hAnsi="仿宋" w:eastAsia="仿宋" w:cs="仿宋"/>
          <w:sz w:val="32"/>
          <w:szCs w:val="32"/>
          <w:shd w:val="clear" w:color="auto" w:fill="FFFFFF"/>
        </w:rPr>
        <w:t xml:space="preserve"> 谈心谈话原则上分级实施。各科（室）、大队负责人与科（室）、大队民警谈心谈话；所领导班子成员负责与各科（室）、大队负责人谈心谈话，并视情况需要与分管民警谈心谈话；所长负责与所领导班子成员谈心谈话，必要时可直接与民警谈心谈话。</w:t>
      </w:r>
    </w:p>
    <w:p w14:paraId="11A6B70A">
      <w:pPr>
        <w:pStyle w:val="7"/>
        <w:shd w:val="clear" w:color="auto" w:fill="FFFFFF"/>
        <w:spacing w:before="0" w:beforeAutospacing="0" w:after="0" w:afterAutospacing="0" w:line="560" w:lineRule="exact"/>
        <w:ind w:firstLine="643" w:firstLineChars="200"/>
        <w:jc w:val="both"/>
        <w:rPr>
          <w:rFonts w:ascii="仿宋" w:hAnsi="仿宋" w:eastAsia="仿宋" w:cs="仿宋"/>
          <w:sz w:val="32"/>
          <w:szCs w:val="32"/>
        </w:rPr>
      </w:pPr>
      <w:r>
        <w:rPr>
          <w:rFonts w:hint="eastAsia" w:ascii="仿宋" w:hAnsi="仿宋" w:eastAsia="仿宋" w:cs="仿宋"/>
          <w:b/>
          <w:bCs/>
          <w:sz w:val="32"/>
          <w:szCs w:val="32"/>
          <w:shd w:val="clear" w:color="auto" w:fill="FFFFFF"/>
        </w:rPr>
        <w:t>第五条</w:t>
      </w:r>
      <w:r>
        <w:rPr>
          <w:rFonts w:hint="eastAsia" w:ascii="仿宋" w:hAnsi="仿宋" w:eastAsia="仿宋" w:cs="仿宋"/>
          <w:sz w:val="32"/>
          <w:szCs w:val="32"/>
          <w:shd w:val="clear" w:color="auto" w:fill="FFFFFF"/>
        </w:rPr>
        <w:t xml:space="preserve"> 各科（室）、大队负责人每半年至少与本科（室）、大队民警谈心谈话1次；所领导班子成员每半年至少与分管科（室）、大队负责人的主要负责人谈心谈话1次；所长每年至少与所领导班子成员谈心谈话1次。</w:t>
      </w:r>
    </w:p>
    <w:p w14:paraId="18F83595">
      <w:pPr>
        <w:pStyle w:val="7"/>
        <w:shd w:val="clear" w:color="auto" w:fill="FFFFFF"/>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shd w:val="clear" w:color="auto" w:fill="FFFFFF"/>
        </w:rPr>
        <w:t>遇有下列情形之一的，应当及时进行谈心谈话：</w:t>
      </w:r>
    </w:p>
    <w:p w14:paraId="59850B75">
      <w:pPr>
        <w:pStyle w:val="7"/>
        <w:shd w:val="clear" w:color="auto" w:fill="FFFFFF"/>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shd w:val="clear" w:color="auto" w:fill="FFFFFF"/>
        </w:rPr>
        <w:t>（一）民警新录用、调入时；</w:t>
      </w:r>
    </w:p>
    <w:p w14:paraId="6A5F8779">
      <w:pPr>
        <w:pStyle w:val="7"/>
        <w:shd w:val="clear" w:color="auto" w:fill="FFFFFF"/>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shd w:val="clear" w:color="auto" w:fill="FFFFFF"/>
        </w:rPr>
        <w:t>（二）民警岗位、职位、职级变动时；</w:t>
      </w:r>
    </w:p>
    <w:p w14:paraId="2CF91911">
      <w:pPr>
        <w:pStyle w:val="7"/>
        <w:shd w:val="clear" w:color="auto" w:fill="FFFFFF"/>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shd w:val="clear" w:color="auto" w:fill="FFFFFF"/>
        </w:rPr>
        <w:t>（三）民警受到表彰、奖励时；</w:t>
      </w:r>
    </w:p>
    <w:p w14:paraId="4633290F">
      <w:pPr>
        <w:pStyle w:val="7"/>
        <w:shd w:val="clear" w:color="auto" w:fill="FFFFFF"/>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shd w:val="clear" w:color="auto" w:fill="FFFFFF"/>
        </w:rPr>
        <w:t>（四）发现民警对自己要求不严、不能认真履行职责或有违纪苗头时；</w:t>
      </w:r>
    </w:p>
    <w:p w14:paraId="1F013C59">
      <w:pPr>
        <w:pStyle w:val="7"/>
        <w:shd w:val="clear" w:color="auto" w:fill="FFFFFF"/>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shd w:val="clear" w:color="auto" w:fill="FFFFFF"/>
        </w:rPr>
        <w:t>（五）民警受到举报、投诉、问责、处分时；</w:t>
      </w:r>
    </w:p>
    <w:p w14:paraId="2DF334D1">
      <w:pPr>
        <w:pStyle w:val="7"/>
        <w:shd w:val="clear" w:color="auto" w:fill="FFFFFF"/>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shd w:val="clear" w:color="auto" w:fill="FFFFFF"/>
        </w:rPr>
        <w:t>（六）民警工作、生活遇到挫折或家庭不和、家中遇到特殊情形时；</w:t>
      </w:r>
    </w:p>
    <w:p w14:paraId="309F6A51">
      <w:pPr>
        <w:pStyle w:val="7"/>
        <w:shd w:val="clear" w:color="auto" w:fill="FFFFFF"/>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shd w:val="clear" w:color="auto" w:fill="FFFFFF"/>
        </w:rPr>
        <w:t>（七）民警遇到意外事故或执法执勤受到侵害时；</w:t>
      </w:r>
    </w:p>
    <w:p w14:paraId="75F4CC0D">
      <w:pPr>
        <w:pStyle w:val="7"/>
        <w:shd w:val="clear" w:color="auto" w:fill="FFFFFF"/>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shd w:val="clear" w:color="auto" w:fill="FFFFFF"/>
        </w:rPr>
        <w:t>（八）领导班子出现不团结苗头、产生重大意见分歧或工作不协调时；</w:t>
      </w:r>
    </w:p>
    <w:p w14:paraId="03102E86">
      <w:pPr>
        <w:pStyle w:val="7"/>
        <w:shd w:val="clear" w:color="auto" w:fill="FFFFFF"/>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shd w:val="clear" w:color="auto" w:fill="FFFFFF"/>
        </w:rPr>
        <w:t>（九）民警退二线或者退休时；</w:t>
      </w:r>
    </w:p>
    <w:p w14:paraId="5222A9C4">
      <w:pPr>
        <w:pStyle w:val="7"/>
        <w:shd w:val="clear" w:color="auto" w:fill="FFFFFF"/>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shd w:val="clear" w:color="auto" w:fill="FFFFFF"/>
        </w:rPr>
        <w:t>（十）遇有其他需要及时谈心谈话的情形时。</w:t>
      </w:r>
    </w:p>
    <w:p w14:paraId="7AFEA66D">
      <w:pPr>
        <w:pStyle w:val="7"/>
        <w:shd w:val="clear" w:color="auto" w:fill="FFFFFF"/>
        <w:spacing w:before="0" w:beforeAutospacing="0" w:after="0" w:afterAutospacing="0" w:line="560" w:lineRule="exact"/>
        <w:ind w:firstLine="643" w:firstLineChars="200"/>
        <w:jc w:val="both"/>
        <w:rPr>
          <w:rFonts w:ascii="仿宋" w:hAnsi="仿宋" w:eastAsia="仿宋" w:cs="仿宋"/>
          <w:sz w:val="32"/>
          <w:szCs w:val="32"/>
        </w:rPr>
      </w:pPr>
      <w:r>
        <w:rPr>
          <w:rFonts w:hint="eastAsia" w:ascii="仿宋" w:hAnsi="仿宋" w:eastAsia="仿宋" w:cs="仿宋"/>
          <w:b/>
          <w:bCs/>
          <w:sz w:val="32"/>
          <w:szCs w:val="32"/>
          <w:shd w:val="clear" w:color="auto" w:fill="FFFFFF"/>
        </w:rPr>
        <w:t>第六条</w:t>
      </w:r>
      <w:r>
        <w:rPr>
          <w:rFonts w:hint="eastAsia" w:ascii="仿宋" w:hAnsi="仿宋" w:eastAsia="仿宋" w:cs="仿宋"/>
          <w:sz w:val="32"/>
          <w:szCs w:val="32"/>
          <w:shd w:val="clear" w:color="auto" w:fill="FFFFFF"/>
        </w:rPr>
        <w:t xml:space="preserve"> 谈心谈话由谈话人自行组织。所领导班子成员开展的谈心谈话活动，视情由分管科（室）、大队或政治处等部门人员参与。</w:t>
      </w:r>
    </w:p>
    <w:p w14:paraId="5C5538B3">
      <w:pPr>
        <w:pStyle w:val="7"/>
        <w:shd w:val="clear" w:color="auto" w:fill="FFFFFF"/>
        <w:spacing w:before="0" w:beforeAutospacing="0" w:after="0" w:afterAutospacing="0" w:line="560" w:lineRule="exact"/>
        <w:ind w:firstLine="643" w:firstLineChars="200"/>
        <w:jc w:val="both"/>
        <w:rPr>
          <w:rFonts w:ascii="仿宋" w:hAnsi="仿宋" w:eastAsia="仿宋" w:cs="仿宋"/>
          <w:sz w:val="32"/>
          <w:szCs w:val="32"/>
        </w:rPr>
      </w:pPr>
      <w:r>
        <w:rPr>
          <w:rFonts w:hint="eastAsia" w:ascii="仿宋" w:hAnsi="仿宋" w:eastAsia="仿宋" w:cs="仿宋"/>
          <w:b/>
          <w:bCs/>
          <w:sz w:val="32"/>
          <w:szCs w:val="32"/>
          <w:shd w:val="clear" w:color="auto" w:fill="FFFFFF"/>
        </w:rPr>
        <w:t xml:space="preserve">第七条 </w:t>
      </w:r>
      <w:r>
        <w:rPr>
          <w:rFonts w:hint="eastAsia" w:ascii="仿宋" w:hAnsi="仿宋" w:eastAsia="仿宋" w:cs="仿宋"/>
          <w:sz w:val="32"/>
          <w:szCs w:val="32"/>
          <w:shd w:val="clear" w:color="auto" w:fill="FFFFFF"/>
        </w:rPr>
        <w:t>谈心谈话内容包括思想交流、工作沟通、听取意见、提醒诫勉、慰问安抚等方面。</w:t>
      </w:r>
    </w:p>
    <w:p w14:paraId="266A9020">
      <w:pPr>
        <w:pStyle w:val="7"/>
        <w:shd w:val="clear" w:color="auto" w:fill="FFFFFF"/>
        <w:spacing w:before="0" w:beforeAutospacing="0" w:after="0" w:afterAutospacing="0" w:line="560" w:lineRule="exact"/>
        <w:ind w:firstLine="643" w:firstLineChars="200"/>
        <w:jc w:val="both"/>
        <w:rPr>
          <w:rFonts w:ascii="仿宋" w:hAnsi="仿宋" w:eastAsia="仿宋" w:cs="仿宋"/>
          <w:sz w:val="32"/>
          <w:szCs w:val="32"/>
          <w:shd w:val="clear" w:color="auto" w:fill="FFFFFF"/>
        </w:rPr>
      </w:pPr>
      <w:r>
        <w:rPr>
          <w:rFonts w:hint="eastAsia" w:ascii="仿宋" w:hAnsi="仿宋" w:eastAsia="仿宋" w:cs="仿宋"/>
          <w:b/>
          <w:bCs/>
          <w:sz w:val="32"/>
          <w:szCs w:val="32"/>
          <w:shd w:val="clear" w:color="auto" w:fill="FFFFFF"/>
        </w:rPr>
        <w:t>第八条</w:t>
      </w:r>
      <w:r>
        <w:rPr>
          <w:rFonts w:hint="eastAsia" w:ascii="仿宋" w:hAnsi="仿宋" w:eastAsia="仿宋" w:cs="仿宋"/>
          <w:sz w:val="32"/>
          <w:szCs w:val="32"/>
          <w:shd w:val="clear" w:color="auto" w:fill="FFFFFF"/>
        </w:rPr>
        <w:t xml:space="preserve"> 谈心谈话要形成记录，建立档案，为掌握民警思想动态和队伍状况提供可靠信息，为加强干部人事工作提供参考和依据。</w:t>
      </w:r>
    </w:p>
    <w:p w14:paraId="57635879">
      <w:pPr>
        <w:pStyle w:val="7"/>
        <w:shd w:val="clear" w:color="auto" w:fill="FFFFFF"/>
        <w:spacing w:before="0" w:beforeAutospacing="0" w:after="0" w:afterAutospacing="0" w:line="560" w:lineRule="exact"/>
        <w:ind w:firstLine="643" w:firstLineChars="200"/>
        <w:jc w:val="both"/>
        <w:rPr>
          <w:rFonts w:ascii="仿宋" w:hAnsi="仿宋" w:eastAsia="仿宋" w:cs="仿宋"/>
          <w:sz w:val="32"/>
          <w:szCs w:val="32"/>
          <w:shd w:val="clear" w:color="auto" w:fill="FFFFFF"/>
        </w:rPr>
      </w:pPr>
      <w:r>
        <w:rPr>
          <w:rFonts w:hint="eastAsia" w:ascii="仿宋" w:hAnsi="仿宋" w:eastAsia="仿宋" w:cs="仿宋"/>
          <w:b/>
          <w:bCs/>
          <w:sz w:val="32"/>
          <w:szCs w:val="32"/>
          <w:shd w:val="clear" w:color="auto" w:fill="FFFFFF"/>
        </w:rPr>
        <w:t xml:space="preserve">第九条 </w:t>
      </w:r>
      <w:r>
        <w:rPr>
          <w:rFonts w:hint="eastAsia" w:ascii="仿宋" w:hAnsi="仿宋" w:eastAsia="仿宋" w:cs="仿宋"/>
          <w:sz w:val="32"/>
          <w:szCs w:val="32"/>
          <w:shd w:val="clear" w:color="auto" w:fill="FFFFFF"/>
        </w:rPr>
        <w:t>本制度规定的各项情形应严格执行，如有违反将视情节追究责任。</w:t>
      </w:r>
    </w:p>
    <w:p w14:paraId="785C3EDF">
      <w:pPr>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br w:type="page"/>
      </w:r>
    </w:p>
    <w:p w14:paraId="04C81F00">
      <w:pPr>
        <w:spacing w:line="560" w:lineRule="exact"/>
        <w:ind w:firstLine="880" w:firstLineChars="200"/>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白城市戒毒所警务督察制度</w:t>
      </w:r>
    </w:p>
    <w:p w14:paraId="22281B2C">
      <w:pPr>
        <w:spacing w:line="560" w:lineRule="exact"/>
      </w:pPr>
    </w:p>
    <w:p w14:paraId="17A68DE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了进一步贯彻新时期社会主义法治理念，提高教育改造质量，提高人民警察执法水平，完善监督机制，实现场所“四个安全”，确保我所民警依法履行职责、行使职权、遵守工作纪律，按照《吉林省司法厅关于加强监狱劳教人民警察警务督察工作的意见》的要求，特制定本制度。</w:t>
      </w:r>
    </w:p>
    <w:p w14:paraId="0AEF0CE3">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第一条 </w:t>
      </w:r>
      <w:r>
        <w:rPr>
          <w:rFonts w:hint="eastAsia" w:ascii="仿宋" w:hAnsi="仿宋" w:eastAsia="仿宋" w:cs="仿宋"/>
          <w:sz w:val="32"/>
          <w:szCs w:val="32"/>
        </w:rPr>
        <w:t>定期、不定期对民警在岗在位、作息时间、迟到早退、请假销假、警容风纪遵守情况进行检查。检查是否遵守《白城市戒毒所管理工作奖惩规定》、《白城市戒毒所民警考勤制度》和《吉林省监狱、戒毒系统人民警察警容风纪管理暂行规定》。</w:t>
      </w:r>
    </w:p>
    <w:p w14:paraId="422B6506">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第二条 </w:t>
      </w:r>
      <w:r>
        <w:rPr>
          <w:rFonts w:hint="eastAsia" w:ascii="仿宋" w:hAnsi="仿宋" w:eastAsia="仿宋" w:cs="仿宋"/>
          <w:sz w:val="32"/>
          <w:szCs w:val="32"/>
        </w:rPr>
        <w:t>副总值班每天夜间对民警值勤、值班、坐班情况进行检查。</w:t>
      </w:r>
    </w:p>
    <w:p w14:paraId="582BB01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1.值班、坐班民警是否在岗在位，坐班民警是否警容严整，有无酒后上岗的；</w:t>
      </w:r>
    </w:p>
    <w:p w14:paraId="6C4759D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2.机关值班民警是否对全所值班民警进行了登记，管理科民警是否清点了各大队戒毒人员人数；</w:t>
      </w:r>
    </w:p>
    <w:p w14:paraId="236E8C67">
      <w:pPr>
        <w:spacing w:line="560" w:lineRule="exact"/>
        <w:ind w:firstLine="640" w:firstLineChars="200"/>
        <w:rPr>
          <w:rFonts w:ascii="仿宋" w:hAnsi="仿宋" w:eastAsia="仿宋" w:cs="仿宋"/>
          <w:b/>
          <w:bCs/>
          <w:sz w:val="32"/>
          <w:szCs w:val="32"/>
        </w:rPr>
      </w:pPr>
      <w:r>
        <w:rPr>
          <w:rFonts w:hint="eastAsia" w:ascii="仿宋" w:hAnsi="仿宋" w:eastAsia="仿宋" w:cs="仿宋"/>
          <w:sz w:val="32"/>
          <w:szCs w:val="32"/>
        </w:rPr>
        <w:t>3.坐班民警是否存在睡觉和擅自离岗位现象，值班民警有没有打麻将、玩扑克、下象棋等现象。</w:t>
      </w:r>
    </w:p>
    <w:p w14:paraId="7FFE6C6A">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第三条 </w:t>
      </w:r>
      <w:r>
        <w:rPr>
          <w:rFonts w:hint="eastAsia" w:ascii="仿宋" w:hAnsi="仿宋" w:eastAsia="仿宋" w:cs="仿宋"/>
          <w:sz w:val="32"/>
          <w:szCs w:val="32"/>
        </w:rPr>
        <w:t>每半月对管理工作进行一次检查。</w:t>
      </w:r>
    </w:p>
    <w:p w14:paraId="76F4C64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1.民警对戒毒人员是否做到了面对面管理和直接管理；</w:t>
      </w:r>
    </w:p>
    <w:p w14:paraId="103508B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2.是否彻底取消了勤务戒毒人员，民警是否用戒毒人员干私活（打水、按摩、洗衣物、打扫办公室卫生等）；</w:t>
      </w:r>
    </w:p>
    <w:p w14:paraId="1FBB5EE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3.民警是否利用戒毒人员代替民警行使职权。民警不亲自组织戒毒人员作息、学习、训练、开饭、出收工，宿舍、库房门钥匙交戒毒人员代管、代开等。</w:t>
      </w:r>
    </w:p>
    <w:p w14:paraId="54646177">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第四条 </w:t>
      </w:r>
      <w:r>
        <w:rPr>
          <w:rFonts w:hint="eastAsia" w:ascii="仿宋" w:hAnsi="仿宋" w:eastAsia="仿宋" w:cs="仿宋"/>
          <w:sz w:val="32"/>
          <w:szCs w:val="32"/>
        </w:rPr>
        <w:t>定期、不定期对全所各项规章制度落实情况进行检查。重点督察是管理、教育、生活卫生、看守警戒各项制度执行情况。每次检查后，要认真作好记录，对警务督察中发现的问题，督察人员应依据有关规定及时纠正，对违反规章制度的责任人，按《白城市戒毒所管理工作奖惩规定》及相关规定提出处理意见。</w:t>
      </w:r>
    </w:p>
    <w:p w14:paraId="12CB89DC">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 xml:space="preserve">第五条 </w:t>
      </w:r>
      <w:r>
        <w:rPr>
          <w:rFonts w:hint="eastAsia" w:ascii="仿宋" w:hAnsi="仿宋" w:eastAsia="仿宋" w:cs="仿宋"/>
          <w:sz w:val="32"/>
          <w:szCs w:val="32"/>
        </w:rPr>
        <w:t>本制度规定的各项情形应严格执行，如有违反将视情节追究责任。</w:t>
      </w:r>
    </w:p>
    <w:p w14:paraId="75D5756A">
      <w:pPr>
        <w:rPr>
          <w:rFonts w:ascii="仿宋" w:hAnsi="仿宋" w:eastAsia="仿宋" w:cs="仿宋"/>
          <w:sz w:val="32"/>
          <w:szCs w:val="32"/>
        </w:rPr>
      </w:pPr>
      <w:r>
        <w:rPr>
          <w:rFonts w:hint="eastAsia" w:ascii="仿宋" w:hAnsi="仿宋" w:eastAsia="仿宋" w:cs="仿宋"/>
          <w:sz w:val="32"/>
          <w:szCs w:val="32"/>
        </w:rPr>
        <w:br w:type="page"/>
      </w:r>
    </w:p>
    <w:p w14:paraId="768B8E70">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白城市戒毒所民警职工考勤制度</w:t>
      </w:r>
    </w:p>
    <w:p w14:paraId="64319BFA">
      <w:pPr>
        <w:spacing w:line="560" w:lineRule="exact"/>
        <w:jc w:val="center"/>
        <w:rPr>
          <w:rFonts w:ascii="宋体" w:hAnsi="宋体"/>
          <w:sz w:val="24"/>
        </w:rPr>
      </w:pPr>
    </w:p>
    <w:p w14:paraId="1D4973D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为强化民警、职工队伍建设，从严治警，严肃组织纪律，根据我所的实际情况，特制定本制度。</w:t>
      </w:r>
    </w:p>
    <w:p w14:paraId="68F5E3BD">
      <w:pPr>
        <w:spacing w:line="560" w:lineRule="exact"/>
        <w:jc w:val="center"/>
        <w:rPr>
          <w:b/>
          <w:bCs/>
          <w:sz w:val="32"/>
          <w:szCs w:val="32"/>
        </w:rPr>
      </w:pPr>
      <w:r>
        <w:rPr>
          <w:rFonts w:hint="eastAsia"/>
          <w:b/>
          <w:bCs/>
          <w:sz w:val="32"/>
          <w:szCs w:val="32"/>
        </w:rPr>
        <w:t>第一章 考勤范围和要求</w:t>
      </w:r>
    </w:p>
    <w:p w14:paraId="1F70ABA3">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第一条 </w:t>
      </w:r>
      <w:r>
        <w:rPr>
          <w:rFonts w:hint="eastAsia" w:ascii="仿宋" w:hAnsi="仿宋" w:eastAsia="仿宋" w:cs="仿宋"/>
          <w:sz w:val="32"/>
          <w:szCs w:val="32"/>
        </w:rPr>
        <w:t>全所民警、职工（包括临时工），必须严格按所规定的作息时间上下班，不准迟到、早退和旷勤，自觉遵守开饭和午休时间，不得从事与工作无关的事项。</w:t>
      </w:r>
    </w:p>
    <w:p w14:paraId="65F91A67">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第二条 </w:t>
      </w:r>
      <w:r>
        <w:rPr>
          <w:rFonts w:hint="eastAsia" w:ascii="仿宋" w:hAnsi="仿宋" w:eastAsia="仿宋" w:cs="仿宋"/>
          <w:sz w:val="32"/>
          <w:szCs w:val="32"/>
        </w:rPr>
        <w:t>凡因事、因公必须逐级请假，否则按旷勤处理。</w:t>
      </w:r>
    </w:p>
    <w:p w14:paraId="5C72315F">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因病休息或住院，必须持医院病情诊断书，经科（室）、大队领导审批后，报政治处备案。报考勤时必须把病情诊断书交给政治处，否则按事假处理。</w:t>
      </w:r>
    </w:p>
    <w:p w14:paraId="45BD99BB">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婚、丧、产假按有关规定办理。</w:t>
      </w:r>
    </w:p>
    <w:p w14:paraId="405DABD4">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参加学历教育的人员，必须经科（室）、大队领导，政治处、所领导审批后，方可报名。如需工作时间学习时，必须请假，并参加值班、值宿，否则按旷勤处理。</w:t>
      </w:r>
    </w:p>
    <w:p w14:paraId="1AEF5594">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各单位考勤，必须在每月五号前上报政治处。</w:t>
      </w:r>
    </w:p>
    <w:p w14:paraId="0D89F6BB">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各单位上报的《考勤表》不许二次改动。</w:t>
      </w:r>
    </w:p>
    <w:p w14:paraId="5D7B591E">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所监督考核人员，必须认真负责，严格要求，严肃审核。</w:t>
      </w:r>
    </w:p>
    <w:p w14:paraId="03E1C37F">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全所考勤必须按程序审批。</w:t>
      </w:r>
    </w:p>
    <w:p w14:paraId="02FF07AC">
      <w:pPr>
        <w:spacing w:line="560" w:lineRule="exact"/>
        <w:jc w:val="center"/>
        <w:rPr>
          <w:b/>
          <w:bCs/>
          <w:sz w:val="32"/>
          <w:szCs w:val="32"/>
        </w:rPr>
      </w:pPr>
      <w:r>
        <w:rPr>
          <w:rFonts w:hint="eastAsia"/>
          <w:b/>
          <w:bCs/>
          <w:sz w:val="32"/>
          <w:szCs w:val="32"/>
        </w:rPr>
        <w:t>第二章 准假审批权限</w:t>
      </w:r>
    </w:p>
    <w:p w14:paraId="35D05231">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审批程序</w:t>
      </w:r>
    </w:p>
    <w:p w14:paraId="3A73839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全体民警职工请假需填写《请假审批表》并向政治处报备。所班子政委、副职领导请假需经所长签字；部门领导请假，需经分管领导、分管政治处领导批准并签字；科员请假需经部门领导批准并签字。假期结束，须到政治处进行销假。</w:t>
      </w:r>
    </w:p>
    <w:p w14:paraId="7448BAC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民警职工请病、事假和探亲假，必须按规定请假，未经批准的按旷工处理。没有按期返回，其超期部分按旷工对待。</w:t>
      </w:r>
    </w:p>
    <w:p w14:paraId="36DF959A">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病假</w:t>
      </w:r>
    </w:p>
    <w:p w14:paraId="6FCC70F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因病不能按期返回的，要有医院诊断证明和病历，经领导审核同意，可视为病假。</w:t>
      </w:r>
    </w:p>
    <w:p w14:paraId="7D4FCC1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民警职工请病假，要求到市级医院就医，要有医院诊断证明；长期病假按有关规定执行。</w:t>
      </w:r>
      <w:r>
        <w:rPr>
          <w:rFonts w:hint="eastAsia" w:ascii="仿宋" w:hAnsi="仿宋" w:eastAsia="仿宋" w:cs="仿宋"/>
          <w:sz w:val="32"/>
          <w:szCs w:val="32"/>
        </w:rPr>
        <w:br w:type="textWrapping"/>
      </w:r>
      <w:r>
        <w:rPr>
          <w:rFonts w:hint="eastAsia" w:ascii="仿宋" w:hAnsi="仿宋" w:eastAsia="仿宋" w:cs="仿宋"/>
          <w:sz w:val="32"/>
          <w:szCs w:val="32"/>
        </w:rPr>
        <w:t xml:space="preserve">    病休两个月以上要求上班的须持健康证明，由政治处批准，上班一个月内又继续休病假时间连续计算。</w:t>
      </w:r>
    </w:p>
    <w:p w14:paraId="17B1B635">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事假</w:t>
      </w:r>
    </w:p>
    <w:p w14:paraId="4228370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民警职工请事假，一律到政治处由本人填写请假申请表，并经政治处主任签字后方可请假。一天以内由分管领导批准；一天以上由分管领导报主要领导批准；科长、大队长请假经分管领导批准后还需向主要领导报备。因病不能本人填写的，由本科（室）、大队领导代为填写，上班后本人签字，不按此程序办理，一律按旷工处理。</w:t>
      </w:r>
    </w:p>
    <w:p w14:paraId="2E2044F1">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xml:space="preserve"> 年假</w:t>
      </w:r>
    </w:p>
    <w:p w14:paraId="45292B7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带薪休假人员到政治处领取《年休假审批表》，由本人亲自填写，部门领导签字后报所主管领导审批签字，送政治处备案后方可休假。</w:t>
      </w:r>
    </w:p>
    <w:p w14:paraId="506AD0D0">
      <w:pPr>
        <w:spacing w:line="560" w:lineRule="exact"/>
        <w:jc w:val="center"/>
        <w:rPr>
          <w:b/>
          <w:bCs/>
          <w:sz w:val="32"/>
          <w:szCs w:val="32"/>
        </w:rPr>
      </w:pPr>
      <w:r>
        <w:rPr>
          <w:rFonts w:hint="eastAsia"/>
          <w:b/>
          <w:bCs/>
          <w:sz w:val="32"/>
          <w:szCs w:val="32"/>
        </w:rPr>
        <w:t>第三章 工资考勤</w:t>
      </w:r>
    </w:p>
    <w:p w14:paraId="66BCBB3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所对在岗在位人员足额足月发放工资。按实际出勤的实有天数进行考勤（国家法定节日计算为出勤日），并计算本人的日工资额，在此基础上发生下列情况，按本规定执行。</w:t>
      </w:r>
    </w:p>
    <w:p w14:paraId="678AD5F1">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xml:space="preserve"> 事假</w:t>
      </w:r>
    </w:p>
    <w:p w14:paraId="3E8259A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必须按规定逐级请假，请假一天扣发本人当日值班补贴，请假三日以上（含三日）的扣发本人一周值班补贴，事假期间遇正常节假日、公休日计算入事假天数。</w:t>
      </w:r>
    </w:p>
    <w:p w14:paraId="40BFCF45">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病假</w:t>
      </w:r>
    </w:p>
    <w:p w14:paraId="117BFCA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必须持医院病情诊断书，按日扣发值班补贴后按本人日全额工资的70%发给工资，病假期间遇正常节假日、公休日计算入病假天数。</w:t>
      </w:r>
    </w:p>
    <w:p w14:paraId="2E2EFF7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本人常年有病，不能坚持上班的，可按上级文件精神动员病退，其待遇按国家现行文件规定执行。</w:t>
      </w:r>
    </w:p>
    <w:p w14:paraId="4614D86B">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第十六条 </w:t>
      </w:r>
      <w:r>
        <w:rPr>
          <w:rFonts w:hint="eastAsia" w:ascii="仿宋" w:hAnsi="仿宋" w:eastAsia="仿宋" w:cs="仿宋"/>
          <w:sz w:val="32"/>
          <w:szCs w:val="32"/>
        </w:rPr>
        <w:t>旷勤</w:t>
      </w:r>
    </w:p>
    <w:p w14:paraId="51C5F4B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未经准假离开工作岗位或自行休假的，视为旷工。旷工扣发期间的值班补贴，旷工6天及以下的，扣除本人旷工天数的值班补贴；全年累计达7天至15天的，扣发半月值班补贴；全年累计达15天以上的，扣发当月值班补贴；旷工连续超过15天，或者一年内累计超过30天的公务员（参公人员），按有关规定予以辞退；连续旷工超过10个工作日或一年内累计旷工超过00个工作日的事业人员，按市委、市政府关于推行事业单位人员聘用制度的实施意见的相关规定予以解聘。</w:t>
      </w:r>
    </w:p>
    <w:p w14:paraId="62DC81EE">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迟到早退每发生一次（包括没按规定时间参加各种会议及大型活动的），扣发当日的值班补贴。</w:t>
      </w:r>
    </w:p>
    <w:p w14:paraId="41ABF025">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xml:space="preserve"> 值班不到岗，按旷勤处理。</w:t>
      </w:r>
    </w:p>
    <w:p w14:paraId="53687F8A">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第十九条 </w:t>
      </w:r>
      <w:r>
        <w:rPr>
          <w:rFonts w:hint="eastAsia" w:ascii="仿宋" w:hAnsi="仿宋" w:eastAsia="仿宋" w:cs="仿宋"/>
          <w:sz w:val="32"/>
          <w:szCs w:val="32"/>
        </w:rPr>
        <w:t>无正当理由在岗不在位者扣发当日值班补贴。</w:t>
      </w:r>
    </w:p>
    <w:p w14:paraId="0ECE96F6">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xml:space="preserve"> 安排工作不服从分配，调动工作不按时到岗的，一律按旷勤处理。</w:t>
      </w:r>
    </w:p>
    <w:p w14:paraId="02D3CB45">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xml:space="preserve"> 在所内吵架骂人、打人、扰乱工作秩序的视情节给予纪律处分，并在全所大会做检查。</w:t>
      </w:r>
    </w:p>
    <w:p w14:paraId="6E557E1F">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xml:space="preserve"> 正常带薪休假工资照常发放，超假按旷勤处理。</w:t>
      </w:r>
    </w:p>
    <w:p w14:paraId="1FB3F843">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第二十三条 </w:t>
      </w:r>
      <w:r>
        <w:rPr>
          <w:rFonts w:hint="eastAsia" w:ascii="仿宋" w:hAnsi="仿宋" w:eastAsia="仿宋" w:cs="仿宋"/>
          <w:sz w:val="32"/>
          <w:szCs w:val="32"/>
        </w:rPr>
        <w:t>本制度规定的各项情形应严格执行，如有违反将视情节追究责任。</w:t>
      </w:r>
    </w:p>
    <w:p w14:paraId="7BDC11A0">
      <w:pPr>
        <w:rPr>
          <w:rFonts w:ascii="仿宋" w:hAnsi="仿宋" w:eastAsia="仿宋" w:cs="仿宋"/>
          <w:sz w:val="32"/>
          <w:szCs w:val="32"/>
        </w:rPr>
      </w:pPr>
      <w:r>
        <w:rPr>
          <w:rFonts w:hint="eastAsia" w:ascii="仿宋" w:hAnsi="仿宋" w:eastAsia="仿宋" w:cs="仿宋"/>
          <w:sz w:val="32"/>
          <w:szCs w:val="32"/>
        </w:rPr>
        <w:br w:type="page"/>
      </w:r>
    </w:p>
    <w:p w14:paraId="70835A05">
      <w:pPr>
        <w:spacing w:line="560" w:lineRule="exact"/>
        <w:ind w:firstLine="880" w:firstLineChars="20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白城市强制隔离戒毒所车辆管理制度</w:t>
      </w:r>
    </w:p>
    <w:p w14:paraId="2169E6A0">
      <w:pPr>
        <w:spacing w:line="560" w:lineRule="exact"/>
        <w:jc w:val="center"/>
        <w:rPr>
          <w:b/>
          <w:bCs/>
          <w:sz w:val="56"/>
          <w:szCs w:val="56"/>
        </w:rPr>
      </w:pPr>
    </w:p>
    <w:p w14:paraId="11205653">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第一条 </w:t>
      </w:r>
      <w:r>
        <w:rPr>
          <w:rFonts w:hint="eastAsia" w:ascii="仿宋" w:hAnsi="仿宋" w:eastAsia="仿宋" w:cs="仿宋"/>
          <w:sz w:val="32"/>
          <w:szCs w:val="32"/>
        </w:rPr>
        <w:t>为合理安排车辆使用，提高办公效率，降低车辆使用成本，使办公用车更加规范化，特制定本制度。</w:t>
      </w:r>
    </w:p>
    <w:p w14:paraId="132DE346">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所有车辆由行政科统一调度、统一管理，用车部门、用车人必须提前填写《用车申请单》，无《用车申请单》、无行政科负责人和用车人签字，不得出车。若未经批准而擅自开车外出发生事故，一切责任后果由驾驶员自负。</w:t>
      </w:r>
    </w:p>
    <w:p w14:paraId="7497840D">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驾驶员应按《用车申请单》上核准的时间出车，途中不得擅自变更路线、目的地，行政科负责人负责做好出车登记，以备查证。驾驶员对车辆勤保养、勤维护，保证车辆整洁，保障公务、应急正常用车。</w:t>
      </w:r>
    </w:p>
    <w:p w14:paraId="53EEE266">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车俩安全</w:t>
      </w:r>
    </w:p>
    <w:p w14:paraId="29AC4A5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1.车辆行驶期间驾驶员要精力集中，不许吸烟、饮食、闲谈及其他妨碍安全行车的行为，并礼让行车。如遇视线不良时，要自觉减速慢行。</w:t>
      </w:r>
    </w:p>
    <w:p w14:paraId="403CC67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2.严禁酒后开车，不准争道抢行，不准超速，严格遵守《交通法》的规定，否则由此产生的一切后果均由驾驶员本人承担。</w:t>
      </w:r>
    </w:p>
    <w:p w14:paraId="5D3D483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3.如发生车辆故障，要立即向行政科负责人报告，尽快排除，不准带故障出车。</w:t>
      </w:r>
    </w:p>
    <w:p w14:paraId="49705DB6">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第五条 </w:t>
      </w:r>
      <w:r>
        <w:rPr>
          <w:rFonts w:hint="eastAsia" w:ascii="仿宋" w:hAnsi="仿宋" w:eastAsia="仿宋" w:cs="仿宋"/>
          <w:sz w:val="32"/>
          <w:szCs w:val="32"/>
        </w:rPr>
        <w:t>车辆保养维修车辆每次维修、维护或保养，都要由驾驶员写书面申请，经办人签字、行政科负责人审核签字、分管领导批准后实施。所有车辆统一在定点维修保养，车辆因违规或违法原因造成损坏，由负责人负责维修并自行承担维修费用。车辆保养维修由行政科进行安排和调度。</w:t>
      </w:r>
    </w:p>
    <w:p w14:paraId="04227271">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车辆年审、车辆行车事故的处理、保险的赔付事项统一由行政科负责人负责，车辆保险的缴纳由行政科负责。</w:t>
      </w:r>
    </w:p>
    <w:p w14:paraId="647762DD">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第七条 </w:t>
      </w:r>
      <w:r>
        <w:rPr>
          <w:rFonts w:hint="eastAsia" w:ascii="仿宋" w:hAnsi="仿宋" w:eastAsia="仿宋" w:cs="仿宋"/>
          <w:sz w:val="32"/>
          <w:szCs w:val="32"/>
        </w:rPr>
        <w:t>为便于车辆用油管理，所有车辆加油须由行政科负责，及时按规定进行加油申请，到定点加油站定点加油，并进行详细登记。</w:t>
      </w:r>
    </w:p>
    <w:p w14:paraId="4FC933DD">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本制度规定的各项情形应严格执行，如有违反将视情节追究责任。</w:t>
      </w:r>
    </w:p>
    <w:p w14:paraId="09ED2489">
      <w:pPr>
        <w:rPr>
          <w:rFonts w:ascii="仿宋" w:hAnsi="仿宋" w:eastAsia="仿宋" w:cs="仿宋"/>
          <w:sz w:val="32"/>
          <w:szCs w:val="32"/>
        </w:rPr>
      </w:pPr>
      <w:r>
        <w:rPr>
          <w:rFonts w:hint="eastAsia" w:ascii="仿宋" w:hAnsi="仿宋" w:eastAsia="仿宋" w:cs="仿宋"/>
          <w:sz w:val="32"/>
          <w:szCs w:val="32"/>
        </w:rPr>
        <w:br w:type="page"/>
      </w:r>
    </w:p>
    <w:p w14:paraId="47908DF7">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戒毒所物资采购管理制度</w:t>
      </w:r>
    </w:p>
    <w:p w14:paraId="28A2EE33">
      <w:pPr>
        <w:spacing w:line="560" w:lineRule="exact"/>
        <w:ind w:firstLine="643" w:firstLineChars="200"/>
        <w:rPr>
          <w:rFonts w:ascii="仿宋" w:hAnsi="仿宋" w:eastAsia="仿宋" w:cs="仿宋"/>
          <w:b/>
          <w:bCs/>
          <w:sz w:val="32"/>
          <w:szCs w:val="32"/>
        </w:rPr>
      </w:pPr>
    </w:p>
    <w:p w14:paraId="2EBAA774">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为进一步规范物品采购行为，加强物品管理，节约经费开支，充分发挥物品的使用效能，更好地为各项工作服务，特制订本制度。</w:t>
      </w:r>
    </w:p>
    <w:p w14:paraId="03EF55EF">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本制度是用于办公设备、日常用品、接待物品等所需的各类采购。凡属政府采购范畴，严格按照《中华人民共和国政府采购法》和白城市政府采购管理办法执行。</w:t>
      </w:r>
    </w:p>
    <w:p w14:paraId="30628F06">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物资采购要严格执行预算计划和审批程序，按照先预算计划，并通过审批再购买的原则，未预算计划或未通过审批的不得采购。</w:t>
      </w:r>
    </w:p>
    <w:p w14:paraId="56DCED2D">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未列入政府采购目录和列入政府采购目录中的采购流程分别如下：</w:t>
      </w:r>
    </w:p>
    <w:p w14:paraId="4421DAD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（一）未列入政府采购目录范畴的，由各科室、大队填写《采购申请单》经各科室、大队领导批准后交由行政管理科统一采购。</w:t>
      </w:r>
    </w:p>
    <w:p w14:paraId="70FAADB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（二）列入政府采购目录中采购，将购物计划报财务部门，财务部门据此编制政府采购预算，前往财政部门办理政府采购各项审批手续后，经所领导批准方可进行采购。</w:t>
      </w:r>
    </w:p>
    <w:p w14:paraId="3A1BCF1C">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第五条 </w:t>
      </w:r>
      <w:r>
        <w:rPr>
          <w:rFonts w:hint="eastAsia" w:ascii="仿宋" w:hAnsi="仿宋" w:eastAsia="仿宋" w:cs="仿宋"/>
          <w:sz w:val="32"/>
          <w:szCs w:val="32"/>
        </w:rPr>
        <w:t>行政管理科统一采购的物品，由行政科派专人对物品进行验收入库及领用出库登记，采购的各种物资只能用于工作需要，不得私自使用或送、借他人使用。</w:t>
      </w:r>
    </w:p>
    <w:p w14:paraId="5369269D">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第六条 </w:t>
      </w:r>
      <w:r>
        <w:rPr>
          <w:rFonts w:hint="eastAsia" w:ascii="仿宋" w:hAnsi="仿宋" w:eastAsia="仿宋" w:cs="仿宋"/>
          <w:sz w:val="32"/>
          <w:szCs w:val="32"/>
        </w:rPr>
        <w:t>行政管理科物品施行统一登记、分类保管、责任到人的管理方式。</w:t>
      </w:r>
    </w:p>
    <w:p w14:paraId="6FA05CC7">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第七条 </w:t>
      </w:r>
      <w:r>
        <w:rPr>
          <w:rFonts w:hint="eastAsia" w:ascii="仿宋" w:hAnsi="仿宋" w:eastAsia="仿宋" w:cs="仿宋"/>
          <w:sz w:val="32"/>
          <w:szCs w:val="32"/>
        </w:rPr>
        <w:t>本制度规定的各项情形应严格执行，如有违反将视情节追究责任。</w:t>
      </w:r>
    </w:p>
    <w:p w14:paraId="18CE9914">
      <w:pPr>
        <w:rPr>
          <w:rFonts w:ascii="仿宋" w:hAnsi="仿宋" w:eastAsia="仿宋" w:cs="仿宋"/>
          <w:sz w:val="32"/>
          <w:szCs w:val="32"/>
        </w:rPr>
      </w:pPr>
      <w:r>
        <w:rPr>
          <w:rFonts w:hint="eastAsia" w:ascii="仿宋" w:hAnsi="仿宋" w:eastAsia="仿宋" w:cs="仿宋"/>
          <w:sz w:val="32"/>
          <w:szCs w:val="32"/>
        </w:rPr>
        <w:br w:type="page"/>
      </w:r>
    </w:p>
    <w:p w14:paraId="1BEE568B">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戒毒管理执法痕迹倒查制度</w:t>
      </w:r>
    </w:p>
    <w:p w14:paraId="7E2FDA7F">
      <w:pPr>
        <w:spacing w:line="560" w:lineRule="exact"/>
        <w:rPr>
          <w:rFonts w:ascii="仿宋" w:hAnsi="仿宋" w:eastAsia="仿宋" w:cs="仿宋"/>
          <w:sz w:val="32"/>
          <w:szCs w:val="32"/>
        </w:rPr>
      </w:pPr>
    </w:p>
    <w:p w14:paraId="78830B7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强制隔离戒毒所管理部门对戒毒管理执法行为进行痕迹倒查，及时纠正不规范、标准低、管理漏洞等问题，及时发现戒毒人员中隐藏的风险隐患，并有效处置，确保戒毒场所管理秩序稳定。</w:t>
      </w:r>
    </w:p>
    <w:p w14:paraId="5C9F6A44">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第一条 </w:t>
      </w:r>
      <w:r>
        <w:rPr>
          <w:rFonts w:hint="eastAsia" w:ascii="仿宋" w:hAnsi="仿宋" w:eastAsia="仿宋" w:cs="仿宋"/>
          <w:sz w:val="32"/>
          <w:szCs w:val="32"/>
        </w:rPr>
        <w:t>对戒毒管理执法各岗位执法情况进行不定期监控视频回访倒查，对重要时段、重点部位加密倒查次数。</w:t>
      </w:r>
    </w:p>
    <w:p w14:paraId="54A0BE41">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对戒毒人员个人存款、购物账目进行定期检查，重点检查购物数量大的账目和存款渠道。</w:t>
      </w:r>
    </w:p>
    <w:p w14:paraId="62BE99B7">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定期倒查戒毒人员亲情探访、亲情电话录音</w:t>
      </w:r>
      <w:r>
        <w:rPr>
          <w:rFonts w:ascii="仿宋" w:hAnsi="仿宋" w:eastAsia="仿宋" w:cs="仿宋"/>
          <w:sz w:val="32"/>
          <w:szCs w:val="32"/>
        </w:rPr>
        <w:t>回放</w:t>
      </w:r>
      <w:r>
        <w:rPr>
          <w:rFonts w:hint="eastAsia" w:ascii="仿宋" w:hAnsi="仿宋" w:eastAsia="仿宋" w:cs="仿宋"/>
          <w:sz w:val="32"/>
          <w:szCs w:val="32"/>
        </w:rPr>
        <w:t>，重点发现是否有与民警关联事项和是否存在通话使用隐语、暗语现象，并对照检查大队带队民警监听记录是否详实。</w:t>
      </w:r>
    </w:p>
    <w:p w14:paraId="5288306C">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第四条 </w:t>
      </w:r>
      <w:r>
        <w:rPr>
          <w:rFonts w:hint="eastAsia" w:ascii="仿宋" w:hAnsi="仿宋" w:eastAsia="仿宋" w:cs="仿宋"/>
          <w:sz w:val="32"/>
          <w:szCs w:val="32"/>
        </w:rPr>
        <w:t>定期检查戒毒管理执法各岗位各项记录是否齐全、详细、真实。</w:t>
      </w:r>
    </w:p>
    <w:p w14:paraId="3753FB5B">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第五条 </w:t>
      </w:r>
      <w:r>
        <w:rPr>
          <w:rFonts w:hint="eastAsia" w:ascii="仿宋" w:hAnsi="仿宋" w:eastAsia="仿宋" w:cs="仿宋"/>
          <w:sz w:val="32"/>
          <w:szCs w:val="32"/>
        </w:rPr>
        <w:t>对倒查发现的问题立即通报涉事部门并提出整改意见，责令限期整改。</w:t>
      </w:r>
    </w:p>
    <w:p w14:paraId="29B6BBA4">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第六条 </w:t>
      </w:r>
      <w:r>
        <w:rPr>
          <w:rFonts w:hint="eastAsia" w:ascii="仿宋" w:hAnsi="仿宋" w:eastAsia="仿宋" w:cs="仿宋"/>
          <w:sz w:val="32"/>
          <w:szCs w:val="32"/>
        </w:rPr>
        <w:t>本制度规定的各项情形应严格执行，如有违反将视情节追究责任。</w:t>
      </w:r>
    </w:p>
    <w:p w14:paraId="2C49F002">
      <w:pPr>
        <w:rPr>
          <w:rFonts w:ascii="仿宋" w:hAnsi="仿宋" w:eastAsia="仿宋" w:cs="仿宋"/>
          <w:sz w:val="32"/>
          <w:szCs w:val="32"/>
        </w:rPr>
      </w:pPr>
      <w:r>
        <w:rPr>
          <w:rFonts w:hint="eastAsia" w:ascii="仿宋" w:hAnsi="仿宋" w:eastAsia="仿宋" w:cs="仿宋"/>
          <w:sz w:val="32"/>
          <w:szCs w:val="32"/>
        </w:rPr>
        <w:br w:type="page"/>
      </w:r>
    </w:p>
    <w:p w14:paraId="68DF87FD">
      <w:pPr>
        <w:spacing w:line="560" w:lineRule="exact"/>
        <w:ind w:firstLine="880" w:firstLineChars="2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白城市法律援助中心服务承诺制度</w:t>
      </w:r>
    </w:p>
    <w:p w14:paraId="7A403296">
      <w:pPr>
        <w:spacing w:line="560" w:lineRule="exact"/>
        <w:ind w:firstLine="640" w:firstLineChars="200"/>
        <w:rPr>
          <w:rFonts w:ascii="仿宋" w:hAnsi="仿宋" w:eastAsia="仿宋" w:cs="仿宋"/>
          <w:sz w:val="32"/>
          <w:szCs w:val="32"/>
        </w:rPr>
      </w:pPr>
    </w:p>
    <w:p w14:paraId="561B4F06">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第一条 </w:t>
      </w:r>
      <w:r>
        <w:rPr>
          <w:rFonts w:hint="eastAsia" w:ascii="仿宋" w:hAnsi="仿宋" w:eastAsia="仿宋" w:cs="仿宋"/>
          <w:sz w:val="32"/>
          <w:szCs w:val="32"/>
        </w:rPr>
        <w:t>根据《公务员法》的规定和本中心的职能要求,强化优质服务,规范受理法律援助的程序,提高法律援助队伍的素质,确保法律援助工作的顺利进行,更妤地自觉接受群众监督,特制定本制度</w:t>
      </w:r>
    </w:p>
    <w:p w14:paraId="30149C88">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第二条 </w:t>
      </w:r>
      <w:r>
        <w:rPr>
          <w:rFonts w:hint="eastAsia" w:ascii="仿宋" w:hAnsi="仿宋" w:eastAsia="仿宋" w:cs="仿宋"/>
          <w:sz w:val="32"/>
          <w:szCs w:val="32"/>
        </w:rPr>
        <w:t>要简化办事程序,实行首问首办责任制。要编短办事时限,实行一次性告知制和限时办结制,为受援人提供优质服务,真正做到应援尽援</w:t>
      </w:r>
    </w:p>
    <w:p w14:paraId="2F551E7B">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第三条 </w:t>
      </w:r>
      <w:r>
        <w:rPr>
          <w:rFonts w:hint="eastAsia" w:ascii="仿宋" w:hAnsi="仿宋" w:eastAsia="仿宋" w:cs="仿宋"/>
          <w:sz w:val="32"/>
          <w:szCs w:val="32"/>
        </w:rPr>
        <w:t>将法律援助中心的职责、法律援助申请流程、指南次性告知制、限时办结制等通过制作宣传栏向社会公开</w:t>
      </w:r>
    </w:p>
    <w:p w14:paraId="41E208E7">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第四条 </w:t>
      </w:r>
      <w:r>
        <w:rPr>
          <w:rFonts w:hint="eastAsia" w:ascii="仿宋" w:hAnsi="仿宋" w:eastAsia="仿宋" w:cs="仿宋"/>
          <w:sz w:val="32"/>
          <w:szCs w:val="32"/>
        </w:rPr>
        <w:t>将可申请法律援助的事项有关资料分别制作成小册子,供来访群众阅读</w:t>
      </w:r>
    </w:p>
    <w:p w14:paraId="5E1AE392">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第五条 </w:t>
      </w:r>
      <w:r>
        <w:rPr>
          <w:rFonts w:hint="eastAsia" w:ascii="仿宋" w:hAnsi="仿宋" w:eastAsia="仿宋" w:cs="仿宋"/>
          <w:sz w:val="32"/>
          <w:szCs w:val="32"/>
        </w:rPr>
        <w:t>设立投诉电话,并向社会公布。对群众投诉的问题要认真调查处理,并将处理结果及时反馈给投诉人。</w:t>
      </w:r>
    </w:p>
    <w:p w14:paraId="74CEF1BD">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第六条 </w:t>
      </w:r>
      <w:r>
        <w:rPr>
          <w:rFonts w:hint="eastAsia" w:ascii="仿宋" w:hAnsi="仿宋" w:eastAsia="仿宋" w:cs="仿宋"/>
          <w:sz w:val="32"/>
          <w:szCs w:val="32"/>
        </w:rPr>
        <w:t>服务承诺制度的奖惩依照《国家公务员法》的内容进行。</w:t>
      </w:r>
    </w:p>
    <w:p w14:paraId="3E409A0F">
      <w:pPr>
        <w:rPr>
          <w:rFonts w:ascii="仿宋" w:hAnsi="仿宋" w:eastAsia="仿宋" w:cs="仿宋"/>
          <w:sz w:val="32"/>
          <w:szCs w:val="32"/>
        </w:rPr>
      </w:pPr>
      <w:r>
        <w:rPr>
          <w:rFonts w:hint="eastAsia" w:ascii="仿宋" w:hAnsi="仿宋" w:eastAsia="仿宋" w:cs="仿宋"/>
          <w:sz w:val="32"/>
          <w:szCs w:val="32"/>
        </w:rPr>
        <w:br w:type="page"/>
      </w:r>
    </w:p>
    <w:p w14:paraId="40472B4C">
      <w:pP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            法律援助案件公示制度</w:t>
      </w:r>
    </w:p>
    <w:p w14:paraId="790BB082">
      <w:pPr>
        <w:spacing w:line="560" w:lineRule="exact"/>
        <w:ind w:firstLine="640" w:firstLineChars="200"/>
        <w:rPr>
          <w:rFonts w:ascii="仿宋" w:hAnsi="仿宋" w:eastAsia="仿宋" w:cs="仿宋"/>
          <w:sz w:val="32"/>
          <w:szCs w:val="32"/>
        </w:rPr>
      </w:pPr>
    </w:p>
    <w:p w14:paraId="33438E4A">
      <w:pPr>
        <w:spacing w:line="560" w:lineRule="exact"/>
        <w:ind w:firstLine="643" w:firstLineChars="200"/>
        <w:rPr>
          <w:rFonts w:ascii="楷体" w:hAnsi="楷体" w:eastAsia="楷体" w:cs="楷体"/>
          <w:sz w:val="32"/>
          <w:szCs w:val="32"/>
        </w:rPr>
      </w:pPr>
      <w:r>
        <w:rPr>
          <w:rFonts w:hint="eastAsia" w:ascii="楷体" w:hAnsi="楷体" w:eastAsia="楷体" w:cs="楷体"/>
          <w:b/>
          <w:bCs/>
          <w:sz w:val="32"/>
          <w:szCs w:val="32"/>
        </w:rPr>
        <w:t>第一条</w:t>
      </w:r>
      <w:r>
        <w:rPr>
          <w:rFonts w:hint="eastAsia" w:ascii="楷体" w:hAnsi="楷体" w:eastAsia="楷体" w:cs="楷体"/>
          <w:sz w:val="32"/>
          <w:szCs w:val="32"/>
        </w:rPr>
        <w:t xml:space="preserve"> 申请法律援助应具备的条件：</w:t>
      </w:r>
    </w:p>
    <w:p w14:paraId="3C41A8F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(一)本辖区常住、暂住公民或在本地务工且持有身份证或者其他有效身份证明的人员;</w:t>
      </w:r>
    </w:p>
    <w:p w14:paraId="49824F1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(二)发生的案件和法律事实须在洮北区人民法院或白城市中级人民法院管辖且与申请人有直接利害关系;</w:t>
      </w:r>
    </w:p>
    <w:p w14:paraId="62C83BA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(三)确因经济困难、无能为力或完全无能力支付法律服务费用。经济困难标准按当地人民政府规定的最低生活保障线执行</w:t>
      </w:r>
    </w:p>
    <w:p w14:paraId="20D29BD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(四)有充分理由证明为保障自己合法权益确需法律援助;</w:t>
      </w:r>
    </w:p>
    <w:p w14:paraId="2B2348F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(五)申请事项符合法律援助范围</w:t>
      </w:r>
    </w:p>
    <w:p w14:paraId="4B86C76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(六)外地公民须持有市级法律援助协助函</w:t>
      </w:r>
    </w:p>
    <w:p w14:paraId="389FA05C">
      <w:pPr>
        <w:spacing w:line="560" w:lineRule="exact"/>
        <w:ind w:firstLine="643" w:firstLineChars="200"/>
        <w:rPr>
          <w:rFonts w:ascii="楷体" w:hAnsi="楷体" w:eastAsia="楷体" w:cs="楷体"/>
          <w:sz w:val="32"/>
          <w:szCs w:val="32"/>
        </w:rPr>
      </w:pPr>
      <w:r>
        <w:rPr>
          <w:rFonts w:hint="eastAsia" w:ascii="楷体" w:hAnsi="楷体" w:eastAsia="楷体" w:cs="楷体"/>
          <w:b/>
          <w:bCs/>
          <w:sz w:val="32"/>
          <w:szCs w:val="32"/>
        </w:rPr>
        <w:t>第二条</w:t>
      </w:r>
      <w:r>
        <w:rPr>
          <w:rFonts w:hint="eastAsia" w:ascii="楷体" w:hAnsi="楷体" w:eastAsia="楷体" w:cs="楷体"/>
          <w:sz w:val="32"/>
          <w:szCs w:val="32"/>
        </w:rPr>
        <w:t xml:space="preserve"> 申请法律援助应提交下列材料</w:t>
      </w:r>
    </w:p>
    <w:p w14:paraId="2488A5A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(一)身份证、户籍证明或暂住证</w:t>
      </w:r>
    </w:p>
    <w:p w14:paraId="5E7EC18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(二)有关单位出具的中请人及家庭成员经济状况的证</w:t>
      </w:r>
    </w:p>
    <w:p w14:paraId="7456148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(三)申请法律援助的基本情况:</w:t>
      </w:r>
    </w:p>
    <w:p w14:paraId="52416E4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(四)法律援助机构认为需要提供的其他材料</w:t>
      </w:r>
    </w:p>
    <w:p w14:paraId="435276C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(五)申请人为未成年人或无行为能力人,应由监护人代为申请并提交代理权限资格的证明;</w:t>
      </w:r>
    </w:p>
    <w:p w14:paraId="152A0B84">
      <w:pPr>
        <w:spacing w:line="560" w:lineRule="exact"/>
        <w:ind w:firstLine="643" w:firstLineChars="200"/>
        <w:rPr>
          <w:rFonts w:ascii="楷体" w:hAnsi="楷体" w:eastAsia="楷体" w:cs="楷体"/>
          <w:sz w:val="32"/>
          <w:szCs w:val="32"/>
        </w:rPr>
      </w:pPr>
      <w:r>
        <w:rPr>
          <w:rFonts w:hint="eastAsia" w:ascii="楷体" w:hAnsi="楷体" w:eastAsia="楷体" w:cs="楷体"/>
          <w:b/>
          <w:bCs/>
          <w:sz w:val="32"/>
          <w:szCs w:val="32"/>
        </w:rPr>
        <w:t>第三条</w:t>
      </w:r>
      <w:r>
        <w:rPr>
          <w:rFonts w:hint="eastAsia" w:ascii="楷体" w:hAnsi="楷体" w:eastAsia="楷体" w:cs="楷体"/>
          <w:sz w:val="32"/>
          <w:szCs w:val="32"/>
        </w:rPr>
        <w:t xml:space="preserve"> 申请法律援助的程序</w:t>
      </w:r>
    </w:p>
    <w:p w14:paraId="06F3738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(一)在法律援助机构领取并如实填写《法律援助案件中请表》;</w:t>
      </w:r>
    </w:p>
    <w:p w14:paraId="45FBCDD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(二)经接待人员接待审查后,提交审查人提出审查意见,报中心主任审批</w:t>
      </w:r>
    </w:p>
    <w:p w14:paraId="203EBBD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(三)法律援助机构自收到申请10日内作出是否援助的决定并书面通知申请人,申请人对决定有异议的可申请该机构重新审议一次</w:t>
      </w:r>
    </w:p>
    <w:p w14:paraId="7333617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〔四)受援人以欺骗方式获得的法律援助应当撤销,并责令支付已得援助的全部费用;</w:t>
      </w:r>
    </w:p>
    <w:p w14:paraId="289C9EA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(五)不属于市法律援助中心援助的对象,可由市法律援助中心指派或介绍到有管辖权的法律援助中心给予援助法律援助的时间在诉讼阶段、仲裁阶段、未进入上述阶段不予援助(非诉讼案件不受时间限制)。</w:t>
      </w:r>
    </w:p>
    <w:p w14:paraId="17F316BB">
      <w:pPr>
        <w:spacing w:line="560" w:lineRule="exact"/>
        <w:ind w:firstLine="643" w:firstLineChars="200"/>
        <w:rPr>
          <w:rFonts w:ascii="楷体" w:hAnsi="楷体" w:eastAsia="楷体" w:cs="楷体"/>
          <w:sz w:val="32"/>
          <w:szCs w:val="32"/>
        </w:rPr>
      </w:pPr>
      <w:r>
        <w:rPr>
          <w:rFonts w:hint="eastAsia" w:ascii="楷体" w:hAnsi="楷体" w:eastAsia="楷体" w:cs="楷体"/>
          <w:b/>
          <w:bCs/>
          <w:sz w:val="32"/>
          <w:szCs w:val="32"/>
        </w:rPr>
        <w:t>第四条</w:t>
      </w:r>
      <w:r>
        <w:rPr>
          <w:rFonts w:hint="eastAsia" w:ascii="楷体" w:hAnsi="楷体" w:eastAsia="楷体" w:cs="楷体"/>
          <w:sz w:val="32"/>
          <w:szCs w:val="32"/>
        </w:rPr>
        <w:t xml:space="preserve"> 法律援助对象</w:t>
      </w:r>
    </w:p>
    <w:p w14:paraId="6E65708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(一)城镇居民领取最低生活保障金、失业保障金的人员</w:t>
      </w:r>
    </w:p>
    <w:p w14:paraId="1C7674F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(二)农村居民享受“五保户”“特困户”救济待遇的人员</w:t>
      </w:r>
    </w:p>
    <w:p w14:paraId="48CA0C4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(三)养老院、孤儿院等社会福利机构由政府供养的人员</w:t>
      </w:r>
    </w:p>
    <w:p w14:paraId="4FB08D4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(四)没有固定生活来源的残疾人</w:t>
      </w:r>
    </w:p>
    <w:p w14:paraId="41E6F5B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(五)国家规定的优抚、安置人员</w:t>
      </w:r>
    </w:p>
    <w:p w14:paraId="37B2DF2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(六)因自然灾害等不可抗力造成生活困难的人员</w:t>
      </w:r>
    </w:p>
    <w:p w14:paraId="249AA90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(七)盲、聋、哑和未成年人为被告人或犯罪嫌疑人没有委托辩护人的,应当获得法律援助;</w:t>
      </w:r>
    </w:p>
    <w:p w14:paraId="4FA0817C">
      <w:pPr>
        <w:numPr>
          <w:ilvl w:val="0"/>
          <w:numId w:val="2"/>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可能被处死刑的被告人没有委托辩护人的或第一审</w:t>
      </w:r>
    </w:p>
    <w:p w14:paraId="2A9655B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人民法院已判处死刑的被告人提出上诉而没有委托辩护人</w:t>
      </w:r>
    </w:p>
    <w:p w14:paraId="5637109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的,应当获得法律援助;</w:t>
      </w:r>
    </w:p>
    <w:p w14:paraId="6171071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(九)残疾人、老年人为被告人或犯罪嫌疑人,因经济困</w:t>
      </w:r>
    </w:p>
    <w:p w14:paraId="62A90B1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难,没有能力聘请辩护人或代理人的,可以获得法律援助;</w:t>
      </w:r>
    </w:p>
    <w:p w14:paraId="175559B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(十)市委、市政府交办的相关法律事务</w:t>
      </w:r>
    </w:p>
    <w:p w14:paraId="278FC023">
      <w:pPr>
        <w:spacing w:line="560" w:lineRule="exact"/>
        <w:ind w:firstLine="643" w:firstLineChars="200"/>
        <w:rPr>
          <w:rFonts w:ascii="楷体" w:hAnsi="楷体" w:eastAsia="楷体" w:cs="楷体"/>
          <w:sz w:val="32"/>
          <w:szCs w:val="32"/>
        </w:rPr>
      </w:pPr>
      <w:r>
        <w:rPr>
          <w:rFonts w:hint="eastAsia" w:ascii="楷体" w:hAnsi="楷体" w:eastAsia="楷体" w:cs="楷体"/>
          <w:b/>
          <w:bCs/>
          <w:sz w:val="32"/>
          <w:szCs w:val="32"/>
        </w:rPr>
        <w:t>第五条</w:t>
      </w:r>
      <w:r>
        <w:rPr>
          <w:rFonts w:hint="eastAsia" w:ascii="楷体" w:hAnsi="楷体" w:eastAsia="楷体" w:cs="楷体"/>
          <w:sz w:val="32"/>
          <w:szCs w:val="32"/>
        </w:rPr>
        <w:t xml:space="preserve"> 经济困难标准</w:t>
      </w:r>
    </w:p>
    <w:p w14:paraId="4D72C50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申请法律援助公民经济困难证明,由申请人所在地或经常居住地(居住一年以上)的县级民政部门、乡(镇)人民政府或城市街道办事处岀具。经济困难证明必须如实载明申请人家庭人口、就业状况、家庭年人均纯收入和主要经济来源等详细情况</w:t>
      </w:r>
    </w:p>
    <w:p w14:paraId="454BBD77">
      <w:pPr>
        <w:spacing w:line="560" w:lineRule="exact"/>
        <w:ind w:firstLine="643" w:firstLineChars="200"/>
        <w:rPr>
          <w:rFonts w:ascii="楷体" w:hAnsi="楷体" w:eastAsia="楷体" w:cs="楷体"/>
          <w:sz w:val="32"/>
          <w:szCs w:val="32"/>
        </w:rPr>
      </w:pPr>
      <w:r>
        <w:rPr>
          <w:rFonts w:hint="eastAsia" w:ascii="楷体" w:hAnsi="楷体" w:eastAsia="楷体" w:cs="楷体"/>
          <w:b/>
          <w:bCs/>
          <w:sz w:val="32"/>
          <w:szCs w:val="32"/>
        </w:rPr>
        <w:t>第六条</w:t>
      </w:r>
      <w:r>
        <w:rPr>
          <w:rFonts w:hint="eastAsia" w:ascii="楷体" w:hAnsi="楷体" w:eastAsia="楷体" w:cs="楷体"/>
          <w:sz w:val="32"/>
          <w:szCs w:val="32"/>
        </w:rPr>
        <w:t xml:space="preserve"> 法律援助范围</w:t>
      </w:r>
    </w:p>
    <w:p w14:paraId="1DC7DC0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民事、行政案件法律援助范围：</w:t>
      </w:r>
    </w:p>
    <w:p w14:paraId="1387C88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公民对下列需要代理的事项,因经济困难没有委托辩护人或代理人的,可以向法律援助机构申请法律援助:</w:t>
      </w:r>
    </w:p>
    <w:p w14:paraId="1164997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(一)依法请求国家赔偿的</w:t>
      </w:r>
    </w:p>
    <w:p w14:paraId="38D873D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(二)请求给予社会保险待遇或者最低生活保障待遇的</w:t>
      </w:r>
    </w:p>
    <w:p w14:paraId="7EBA4C3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(三)请求发给抚恤金、救济金的</w:t>
      </w:r>
    </w:p>
    <w:p w14:paraId="7CB502D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(四)请求给付赡养费、抚养费、扶养费的;</w:t>
      </w:r>
    </w:p>
    <w:p w14:paraId="7C3DDD1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(五)请求支付劳动报酬的;</w:t>
      </w:r>
    </w:p>
    <w:p w14:paraId="7D5E957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(六)主张因见义勇为行为产生的民事权益的。</w:t>
      </w:r>
    </w:p>
    <w:p w14:paraId="7B614DE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(七)农民工申请支付劳动报酬或请求工伤赔偿的案件;</w:t>
      </w:r>
    </w:p>
    <w:p w14:paraId="3908844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(八)残疾人、老年人、未成年人请求人身损害赔偿的案件</w:t>
      </w:r>
    </w:p>
    <w:p w14:paraId="71668E2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(九)涉及虐待、遗弃和暴力干涉婚姻自由的维权案件</w:t>
      </w:r>
    </w:p>
    <w:p w14:paraId="6169BED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(十)交通事故、医疗事故、工伤事故、产品质量事故或其他人身伤害事故的受害人请求赔偿的案件刑事诉讼援助范围刑事诉讼中有下列情形之一的,公民可以向法律援助机构申请法律援助</w:t>
      </w:r>
    </w:p>
    <w:p w14:paraId="5F6F7F0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(1)犯罪嫌疑人在被侦查机关第一次讯问后或者采取强制措施之日起,因经济困难没有聘请律师的;</w:t>
      </w:r>
    </w:p>
    <w:p w14:paraId="42BA379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(2)公诉案件中的被害人及其法定代理人或者近亲属,自案件移送审查起诉之日起,因经济困难没有委托诉讼代理人的;</w:t>
      </w:r>
    </w:p>
    <w:p w14:paraId="3C9A528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(3)自诉案件的自诉人及其法定代理人,自案件被人民法院受理之日起,因经济困难没有委托诉讼代理人的</w:t>
      </w:r>
    </w:p>
    <w:p w14:paraId="4E4AB00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(4)公诉案件,被告人因经济困难或者其他原因没有委托辩护人,人民法院为被告人指定辩护时,应当提供法律援助</w:t>
      </w:r>
    </w:p>
    <w:p w14:paraId="3C0FD71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(5)被告人是盲、聋、哑人或者未成年人而没有委托辩护人的,或者被告可能被判处死刑而没有委托辩护人的,应当提供法律援助。</w:t>
      </w:r>
    </w:p>
    <w:p w14:paraId="786DF993">
      <w:pPr>
        <w:rPr>
          <w:rFonts w:ascii="仿宋" w:hAnsi="仿宋" w:eastAsia="仿宋" w:cs="仿宋"/>
          <w:sz w:val="32"/>
          <w:szCs w:val="32"/>
        </w:rPr>
      </w:pPr>
      <w:r>
        <w:rPr>
          <w:rFonts w:hint="eastAsia" w:ascii="仿宋" w:hAnsi="仿宋" w:eastAsia="仿宋" w:cs="仿宋"/>
          <w:sz w:val="32"/>
          <w:szCs w:val="32"/>
        </w:rPr>
        <w:br w:type="page"/>
      </w:r>
    </w:p>
    <w:p w14:paraId="5F73A3CC">
      <w:pPr>
        <w:spacing w:line="560" w:lineRule="exact"/>
        <w:ind w:firstLine="880" w:firstLineChars="2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白城市法律援助中心限时办结制度</w:t>
      </w:r>
    </w:p>
    <w:p w14:paraId="4D4371EA">
      <w:pPr>
        <w:spacing w:line="560" w:lineRule="exact"/>
        <w:ind w:firstLine="643" w:firstLineChars="200"/>
        <w:rPr>
          <w:rFonts w:ascii="仿宋" w:hAnsi="仿宋" w:eastAsia="仿宋" w:cs="仿宋"/>
          <w:b/>
          <w:bCs/>
          <w:sz w:val="32"/>
          <w:szCs w:val="32"/>
        </w:rPr>
      </w:pPr>
    </w:p>
    <w:p w14:paraId="5ADD7465">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为使法律援助工作规范化、制度化,改进公务员的服务作风,能为申请人提供优质高效的法律服务,进一步提高工作效率,根据《国家公务员法》和《法律援助条例》的规定,制定本制度</w:t>
      </w:r>
    </w:p>
    <w:p w14:paraId="56B0846F">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限时办结制,是指申请人到本中心申请的相关事项,在符合有关规定及手续齐全的前提下,经办人应在承诺的时限内办结其申请事项的制度</w:t>
      </w:r>
    </w:p>
    <w:p w14:paraId="3CC8DA05">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法援工作人员办理各项工作事项,应该在限定的时间内办结。</w:t>
      </w:r>
    </w:p>
    <w:p w14:paraId="0C2CE4DC">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本中心受理当事人来信咨询,应该在收到来信后5个工作日内办结,并视案件的具体情况将法律咨询意见反馈给当事人。情况复杂的,经分管领导批准,可在10个工作日内延长。</w:t>
      </w:r>
    </w:p>
    <w:p w14:paraId="59CE3E2F">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值班律师对申请人的法律咨询,应予以解答,并做好相关的记录。属于职责范围之外的事项,按“首问首办”负责制的有关规定办理。</w:t>
      </w:r>
    </w:p>
    <w:p w14:paraId="57BA514A">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工作人员在接待申请人时,应耐心听取申请人的案情和相关情况的陈述,有重点地做好记录。对中请人提供的经济状况证明材料及案情材料作初步审查发现材料不全的,应及时以书面形式一次性告知申请人尽快补齐材料。具体按本处的“首问首办”和“一次性告知”制度办理。</w:t>
      </w:r>
    </w:p>
    <w:p w14:paraId="3D25537D">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经办人应根据《法律援助条例》对申请人依法进行严格慎审的审查,应在收齐申请人申请材料后立即审查,并将结果通知申请人(如属于重大、疑难、复杂案件或须调查取证的,经主管领导批准可择时预约办理)。符合法律援助条件的,发给《给予法律援助决定书》并通知受援人在规定的时间内到本中心办理相关手续;不符合法律援助条件的,向申请人送达《不予受理通知书》和做好解释工作并告知其相关的权利</w:t>
      </w:r>
    </w:p>
    <w:p w14:paraId="361F71A8">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对已获准法律援助的案件,经办人应在2个工作日内交由中心主任,主任应在3个工作日内指派承办律师</w:t>
      </w:r>
    </w:p>
    <w:p w14:paraId="5FF63E24">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对人民法院指定辩护的案件,中心应当在受理后及时将确定的承办律师所和承办律师名单回复给指定的人民法院</w:t>
      </w:r>
    </w:p>
    <w:p w14:paraId="0D47F840">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法援工作人员违反本制度规定的,依照《国家公务员法》有关规定予以处理。</w:t>
      </w:r>
    </w:p>
    <w:p w14:paraId="2532A66F">
      <w:pPr>
        <w:rPr>
          <w:rFonts w:ascii="仿宋" w:hAnsi="仿宋" w:eastAsia="仿宋" w:cs="仿宋"/>
          <w:sz w:val="32"/>
          <w:szCs w:val="32"/>
        </w:rPr>
      </w:pPr>
      <w:r>
        <w:rPr>
          <w:rFonts w:hint="eastAsia" w:ascii="仿宋" w:hAnsi="仿宋" w:eastAsia="仿宋" w:cs="仿宋"/>
          <w:sz w:val="32"/>
          <w:szCs w:val="32"/>
        </w:rPr>
        <w:br w:type="page"/>
      </w:r>
    </w:p>
    <w:p w14:paraId="6E57BC8E">
      <w:pPr>
        <w:spacing w:line="560" w:lineRule="exact"/>
        <w:ind w:firstLine="880" w:firstLineChars="2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社会律师履行法律援助义务制度</w:t>
      </w:r>
    </w:p>
    <w:p w14:paraId="6D658B3C">
      <w:pPr>
        <w:spacing w:line="560" w:lineRule="exact"/>
        <w:ind w:firstLine="640" w:firstLineChars="200"/>
        <w:rPr>
          <w:rFonts w:ascii="仿宋" w:hAnsi="仿宋" w:eastAsia="仿宋" w:cs="仿宋"/>
          <w:sz w:val="32"/>
          <w:szCs w:val="32"/>
        </w:rPr>
      </w:pPr>
    </w:p>
    <w:p w14:paraId="49B7E61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了保障律师依法履行职责,规范律师办理法律援助案件的执业行为,根据《中华人民共和国刑事诉讼法》、《中华人民共和国民事诉讼法》、《中华人民共和国律师法》、《法律援助条例》的规定以及司法部相关规定,制定本制度</w:t>
      </w:r>
    </w:p>
    <w:p w14:paraId="17A38981">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律师应积极支持并参加法律援助工作,接受白城市法律援助中心或其执业所在地所属区、市(县)法律援助中心指派办理援助案件,无正当理由不得拒绝、拖延或中止办理法律援助案件。</w:t>
      </w:r>
    </w:p>
    <w:p w14:paraId="07D1E6B3">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律师在办理法律援助案件过程中,必须严格遵守国家或各级司法行政机关的各类法律法规以及律师协会制定的行业规定,坚持以事实为根据,以法律为准绳,自觉维护律师职业道德和执业规范</w:t>
      </w:r>
    </w:p>
    <w:p w14:paraId="15C03AF6">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律师办理法律援助案件过程中,必须坚持依法维护受援人的合法权益,维护法律的公正实施,保守国家秘密,忠于职守,认真负责,不得损害受援人的合法权益,泄露受援人的隐私</w:t>
      </w:r>
    </w:p>
    <w:p w14:paraId="30CE2A8B">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律师在办理法律援助案件或提供法律援助咨询的过程中,不得向受援人收取任何财物,或利用从事法律援助的机会谋取各类直接或间接利益</w:t>
      </w:r>
    </w:p>
    <w:p w14:paraId="75FB888E">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律师在法律援助机构指派或者安排指导下,应当依法开展法律援助服务。</w:t>
      </w:r>
    </w:p>
    <w:p w14:paraId="19BFE390">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律师可在法律援助机构的指导、管理下,根据《中华人民共和国律师法》、《法律援助条例》的有关规定代为符合条件的当事人提出法律援助申请。</w:t>
      </w:r>
    </w:p>
    <w:p w14:paraId="26EDE2A5">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律师接受各级法律援助机构指派后,应在三日内与受援人取得联系,并就委托事项范围、内容、权限等事项协商一致后,与受援人或其法定监护人、法定代理人签署授权委托书等相关手续</w:t>
      </w:r>
    </w:p>
    <w:p w14:paraId="02D3436B">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律师接受指派后,发现有下列情形之一的,应当主动向指派案件的法律援助机构报告,以决定是否继续由其办理该项法律援助:</w:t>
      </w:r>
    </w:p>
    <w:p w14:paraId="4BA016F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(一)与受援人利益冲突方是近亲属或其他利害关系人;</w:t>
      </w:r>
    </w:p>
    <w:p w14:paraId="2D98F97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(二)与受援人利益冲突方已委聘的律师或者其他代理人是近亲属或其他利害关系人</w:t>
      </w:r>
    </w:p>
    <w:p w14:paraId="5EE6DD8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(三)其他与受援人利益有冲突的情况。</w:t>
      </w:r>
    </w:p>
    <w:p w14:paraId="65BB2D79">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笫九条 </w:t>
      </w:r>
      <w:r>
        <w:rPr>
          <w:rFonts w:hint="eastAsia" w:ascii="仿宋" w:hAnsi="仿宋" w:eastAsia="仿宋" w:cs="仿宋"/>
          <w:sz w:val="32"/>
          <w:szCs w:val="32"/>
        </w:rPr>
        <w:t>律师接受受援人委托后,无正当理由,不得转委托他人办理。确有特殊情况无法承办的,必须报案件指派法律援助机构的批准后,由法律援助机构另行指派,同时移交相关案件材料</w:t>
      </w:r>
    </w:p>
    <w:p w14:paraId="55F5449B">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第十条 </w:t>
      </w:r>
      <w:r>
        <w:rPr>
          <w:rFonts w:hint="eastAsia" w:ascii="仿宋" w:hAnsi="仿宋" w:eastAsia="仿宋" w:cs="仿宋"/>
          <w:sz w:val="32"/>
          <w:szCs w:val="32"/>
        </w:rPr>
        <w:t>接受指定辩护的律师提供法律援助应在开庭前会见被告人,询问被告人是否同意法院指定辩护人为其辩护,被告人不同意的,律师应当记录在案,并通知人民法院和法律援助机构;被告人同意的,律师应及时办理有关辩护手续,履行辩护职责根据《刑事诉讼法》的规定提供指定辩护服务.</w:t>
      </w:r>
    </w:p>
    <w:p w14:paraId="0E71B27A">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第十一条 </w:t>
      </w:r>
      <w:r>
        <w:rPr>
          <w:rFonts w:hint="eastAsia" w:ascii="仿宋" w:hAnsi="仿宋" w:eastAsia="仿宋" w:cs="仿宋"/>
          <w:sz w:val="32"/>
          <w:szCs w:val="32"/>
        </w:rPr>
        <w:t>律师办理法律援助案件应向人民法院或有关单位提交由法律援助机构统一印制的公函</w:t>
      </w:r>
    </w:p>
    <w:p w14:paraId="371DA825">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第十二条 </w:t>
      </w:r>
      <w:r>
        <w:rPr>
          <w:rFonts w:hint="eastAsia" w:ascii="仿宋" w:hAnsi="仿宋" w:eastAsia="仿宋" w:cs="仿宋"/>
          <w:sz w:val="32"/>
          <w:szCs w:val="32"/>
        </w:rPr>
        <w:t>援助律师无正当理由不得擅自终止法律援助事项</w:t>
      </w:r>
    </w:p>
    <w:p w14:paraId="09895733">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第十三条 </w:t>
      </w:r>
      <w:r>
        <w:rPr>
          <w:rFonts w:hint="eastAsia" w:ascii="仿宋" w:hAnsi="仿宋" w:eastAsia="仿宋" w:cs="仿宋"/>
          <w:sz w:val="32"/>
          <w:szCs w:val="32"/>
        </w:rPr>
        <w:t>在人民法院审理的法律援助案件中,以人民法院制作的判决书或调解书,作为结案依据。律师在办理其他的法律援助案件中,履行指派通知所规定的义务后,报案件指派法律援助机构的批准后方可结案。</w:t>
      </w:r>
    </w:p>
    <w:p w14:paraId="519E9B11">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第十四条 </w:t>
      </w:r>
      <w:r>
        <w:rPr>
          <w:rFonts w:hint="eastAsia" w:ascii="仿宋" w:hAnsi="仿宋" w:eastAsia="仿宋" w:cs="仿宋"/>
          <w:sz w:val="32"/>
          <w:szCs w:val="32"/>
        </w:rPr>
        <w:t>律师在承办法律援助案件过程中,发现受援人有下列情形之一的,应当及时向案件指派法律援助机构报告</w:t>
      </w:r>
    </w:p>
    <w:p w14:paraId="258B8A6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(一)受援人的经济收入状况发生变化,不再符合法律援助条件的</w:t>
      </w:r>
    </w:p>
    <w:p w14:paraId="063C0BC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(二)案件终止审理或者已被撤销的;</w:t>
      </w:r>
    </w:p>
    <w:p w14:paraId="31E1BE2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(三)受援人又自行委托律师或者其他代理人的;</w:t>
      </w:r>
    </w:p>
    <w:p w14:paraId="17BDD59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(四)受援人要求终止法律援助的</w:t>
      </w:r>
    </w:p>
    <w:p w14:paraId="4F803AD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(五)办案律师认为应当向法律援助机构报告的其他情况法律援助机构审查核实后,决定终止该项法律援助的,律师应马上终止该案的法律援助工作。</w:t>
      </w:r>
    </w:p>
    <w:p w14:paraId="2CFB9C55">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第十五条 </w:t>
      </w:r>
      <w:r>
        <w:rPr>
          <w:rFonts w:hint="eastAsia" w:ascii="仿宋" w:hAnsi="仿宋" w:eastAsia="仿宋" w:cs="仿宋"/>
          <w:sz w:val="32"/>
          <w:szCs w:val="32"/>
        </w:rPr>
        <w:t>律师在办理委托事项过程中如出现下列情况,应当及时向案件指派法律援助机构报告。法律援助机构审查核实后,决定終止该项法律援助的,律师应即终止其法律援助工作</w:t>
      </w:r>
    </w:p>
    <w:p w14:paraId="335DD96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(一)受援人要求终止;</w:t>
      </w:r>
    </w:p>
    <w:p w14:paraId="41CCBB4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(二)律师被取消或者中止执业资格;</w:t>
      </w:r>
    </w:p>
    <w:p w14:paraId="4D65664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(三)发现不可克服的利益冲突的;</w:t>
      </w:r>
    </w:p>
    <w:p w14:paraId="26C5E90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(四)律师的健康状况不适合继续代理</w:t>
      </w:r>
    </w:p>
    <w:p w14:paraId="5F71E2C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(五)继续代理将违反法律或者执业规范:</w:t>
      </w:r>
    </w:p>
    <w:p w14:paraId="7BB2035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(六)受援人利用律师提供的法律服务从事犯罪活动的;</w:t>
      </w:r>
    </w:p>
    <w:p w14:paraId="5696A47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(七)受援人坚持追求律师认为无法实现的或不合理、不合法的要求的</w:t>
      </w:r>
    </w:p>
    <w:p w14:paraId="0C40656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(八)受援人在相当程度上没有履行委托合同义务,并且已经合理催告的;</w:t>
      </w:r>
    </w:p>
    <w:p w14:paraId="6CF4298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(九)在事先无法预见的前提下,律师向受援人提供法律服务将会给律师造成难以承受的、不合理的损失的</w:t>
      </w:r>
    </w:p>
    <w:p w14:paraId="2B6A666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(十)受援人提供的证据材料不具有客观真实性、关联性与合法性,或经司法机关审查认为存在伪证嫌疑的;</w:t>
      </w:r>
    </w:p>
    <w:p w14:paraId="612EBA0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(十一)有其他合法的理由的</w:t>
      </w:r>
    </w:p>
    <w:p w14:paraId="68C00E47">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第十六条 </w:t>
      </w:r>
      <w:r>
        <w:rPr>
          <w:rFonts w:hint="eastAsia" w:ascii="仿宋" w:hAnsi="仿宋" w:eastAsia="仿宋" w:cs="仿宋"/>
          <w:sz w:val="32"/>
          <w:szCs w:val="32"/>
        </w:rPr>
        <w:t>办案律师提前终止法律援助案件代理的,应当尽量不使受援人的合法利益受到影响,并提前向受援人发出通知</w:t>
      </w:r>
    </w:p>
    <w:p w14:paraId="4BCA6308">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笫十七条</w:t>
      </w:r>
      <w:r>
        <w:rPr>
          <w:rFonts w:hint="eastAsia" w:ascii="仿宋" w:hAnsi="仿宋" w:eastAsia="仿宋" w:cs="仿宋"/>
          <w:sz w:val="32"/>
          <w:szCs w:val="32"/>
        </w:rPr>
        <w:t xml:space="preserve"> 律师根据法律援助杋构决定终止该项法律援助的,应当向受援人说明理由并制作笔录作为归档材料。同时律师应写出办案总结,说明原因,并附上相关手续,整理案卷归档。</w:t>
      </w:r>
    </w:p>
    <w:p w14:paraId="27323C89">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xml:space="preserve"> 在解除委托关系前,律师必须采取合理可行的措施保护受援人的利益,及时通知受援人,使其有充分时间再委聘其他法律服务人员、收回各类材料的原件等。</w:t>
      </w:r>
    </w:p>
    <w:p w14:paraId="07CA3177">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xml:space="preserve"> 律师承办法律援助案件应当接受案件指派法律援助机构的业务指导和监督,遵守其制定的行为规范和规则。</w:t>
      </w:r>
    </w:p>
    <w:p w14:paraId="34661AA7">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xml:space="preserve"> 律师在办理法律援助案件时,应与案件指派法律援助中心保持联系,如实填写法律援助中心的相关文书,及时反馈法律援助案件的进展情况。</w:t>
      </w:r>
    </w:p>
    <w:p w14:paraId="224DB54F">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xml:space="preserve"> 律师办理刑事法律援助案件经调查阅卷,集体讨论后认为受援人不构成犯罪,准备为其作无罪辩护的,应当及时报指派案件的法律援助中心备案</w:t>
      </w:r>
    </w:p>
    <w:p w14:paraId="713A8CE8">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xml:space="preserve"> 对重大、复杂、疑难、涉及社会稳定或有社会影响的法律援助案件,办案律师应及时报执业所主任或党支部书记,并经事务所合伙人集体讨论之后,确定案件办理方案并向指派案件的法律援助中心报告,确保办案的质量和社会效果</w:t>
      </w:r>
    </w:p>
    <w:p w14:paraId="72CAB3CD">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xml:space="preserve"> 律师办理非诉讼法律援助案件应注重通过法律服务合理引导,以维护社会稳定为首责,最大程度地节约法律援助资源,维护受援人的合法权益。</w:t>
      </w:r>
    </w:p>
    <w:p w14:paraId="0D34C081">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笫二十四条</w:t>
      </w:r>
      <w:r>
        <w:rPr>
          <w:rFonts w:hint="eastAsia" w:ascii="仿宋" w:hAnsi="仿宋" w:eastAsia="仿宋" w:cs="仿宋"/>
          <w:sz w:val="32"/>
          <w:szCs w:val="32"/>
        </w:rPr>
        <w:t xml:space="preserve"> 律师在办理非诉讼法律援助事项时不得借机向受援人为自己、其他律师、本所或外所承接法律业务。</w:t>
      </w:r>
    </w:p>
    <w:p w14:paraId="741B738E">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xml:space="preserve"> 律师自法律援助案件办结后30日内,应当向指派案件的法律援助中心提交下列承办案件的材料,接受法律援助机构的审查;对于不符合要求的,应当自觉予以改正</w:t>
      </w:r>
    </w:p>
    <w:p w14:paraId="4820DFE4">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xml:space="preserve"> 刑事法律援助案件承办卷,律师应按照不同委托阶段归档</w:t>
      </w:r>
    </w:p>
    <w:p w14:paraId="4B8FBC4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1、侦查阶段应具备如下材料:</w:t>
      </w:r>
    </w:p>
    <w:p w14:paraId="59719A9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(1)指派通知书;</w:t>
      </w:r>
    </w:p>
    <w:p w14:paraId="7E7710D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(2)授权委托书;</w:t>
      </w:r>
    </w:p>
    <w:p w14:paraId="2B2F30C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(3)对被拘留人家属或者单位通知书</w:t>
      </w:r>
    </w:p>
    <w:p w14:paraId="730E2D3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(4)会见笔录;</w:t>
      </w:r>
    </w:p>
    <w:p w14:paraId="7C71CB9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(5)法律意见书或其他与案件有关的证据、材料;</w:t>
      </w:r>
    </w:p>
    <w:p w14:paraId="201C240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(6)结案报告表。</w:t>
      </w:r>
    </w:p>
    <w:p w14:paraId="23E3110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2、审查起诉阶段应具备如下材料:</w:t>
      </w:r>
    </w:p>
    <w:p w14:paraId="0103518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(1)指派通知书</w:t>
      </w:r>
    </w:p>
    <w:p w14:paraId="3EB5702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(2)授权委托书</w:t>
      </w:r>
    </w:p>
    <w:p w14:paraId="6A55965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(3)逮捕通知书</w:t>
      </w:r>
    </w:p>
    <w:p w14:paraId="244918A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(4)会见笔录;</w:t>
      </w:r>
    </w:p>
    <w:p w14:paraId="392035C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(5)阅卷材料;</w:t>
      </w:r>
    </w:p>
    <w:p w14:paraId="502A5AE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(6)法律意见书或其他与案件有关的证据、材料;</w:t>
      </w:r>
    </w:p>
    <w:p w14:paraId="5D381A0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(7)结案报告表</w:t>
      </w:r>
    </w:p>
    <w:p w14:paraId="1878A9B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3、一审判阶段应具备如下材料:</w:t>
      </w:r>
    </w:p>
    <w:p w14:paraId="52B0868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(1)指派通知书</w:t>
      </w:r>
    </w:p>
    <w:p w14:paraId="412BDAF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(2)授权委托书或者指定辩护人通知书</w:t>
      </w:r>
    </w:p>
    <w:p w14:paraId="2EC7D8C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(3)起诉书</w:t>
      </w:r>
    </w:p>
    <w:p w14:paraId="391B892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(4)会见笔录</w:t>
      </w:r>
    </w:p>
    <w:p w14:paraId="645C121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(5)阅卷材料;</w:t>
      </w:r>
    </w:p>
    <w:p w14:paraId="39511E6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(6)出庭通知书;</w:t>
      </w:r>
    </w:p>
    <w:p w14:paraId="735F08B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(7)辩护词</w:t>
      </w:r>
    </w:p>
    <w:p w14:paraId="16B48CE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(8)判决书或裁定书;</w:t>
      </w:r>
    </w:p>
    <w:p w14:paraId="0E33CEF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(9)其他与案件有关的证据、材料;</w:t>
      </w:r>
    </w:p>
    <w:p w14:paraId="421C79A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(10)结案报告表</w:t>
      </w:r>
    </w:p>
    <w:p w14:paraId="7CB2A07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4、二审判阶段应具备如下材料:</w:t>
      </w:r>
    </w:p>
    <w:p w14:paraId="1B10921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(1)指派通知书;</w:t>
      </w:r>
    </w:p>
    <w:p w14:paraId="331488D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(2)授权委托书或者指定辩护人通知书;</w:t>
      </w:r>
    </w:p>
    <w:p w14:paraId="4144D41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(3)一审判决书或裁定书;</w:t>
      </w:r>
    </w:p>
    <w:p w14:paraId="2D43018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(4)上诉书;</w:t>
      </w:r>
    </w:p>
    <w:p w14:paraId="08D81ED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(5)会见笔录</w:t>
      </w:r>
    </w:p>
    <w:p w14:paraId="1503D3C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(6)阅卷笔录</w:t>
      </w:r>
    </w:p>
    <w:p w14:paraId="149D679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(7)辩护词</w:t>
      </w:r>
    </w:p>
    <w:p w14:paraId="6A5EC22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(8)判决书或裁定书;</w:t>
      </w:r>
    </w:p>
    <w:p w14:paraId="39590A7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(9)其他与案件有关的证据、材料;</w:t>
      </w:r>
    </w:p>
    <w:p w14:paraId="2578D56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(10)结案报告表</w:t>
      </w:r>
    </w:p>
    <w:p w14:paraId="47FD5DE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5、重审或再审案件除按一审审判阶段或二审阶段的结案提交材料外,还应增加重审或再审裁定书</w:t>
      </w:r>
    </w:p>
    <w:p w14:paraId="37BC38A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6、刑事自诉、担任被害人代理人案件应具备如下材料:</w:t>
      </w:r>
    </w:p>
    <w:p w14:paraId="7DC5ACA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(1)指派通知书;</w:t>
      </w:r>
    </w:p>
    <w:p w14:paraId="2921BBB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(2)授权委托书</w:t>
      </w:r>
    </w:p>
    <w:p w14:paraId="36D9BC5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(3)立案或出庭通知书</w:t>
      </w:r>
    </w:p>
    <w:p w14:paraId="1B15DCD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(4)起诉书或上诉状</w:t>
      </w:r>
    </w:p>
    <w:p w14:paraId="6D5DEF9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(5)代理词;</w:t>
      </w:r>
    </w:p>
    <w:p w14:paraId="7F99C69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(6)判决书或裁定书、调解书</w:t>
      </w:r>
    </w:p>
    <w:p w14:paraId="082F3DE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(7)其他与案件有关的材料;</w:t>
      </w:r>
    </w:p>
    <w:p w14:paraId="28B7D7F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(8)结案报告表</w:t>
      </w:r>
    </w:p>
    <w:p w14:paraId="6127E8E9">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xml:space="preserve"> 民事、行政法律援助案件承办卷,律师应按不同阶段归档</w:t>
      </w:r>
    </w:p>
    <w:p w14:paraId="66DA7CB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审阶段应具备如下材料:</w:t>
      </w:r>
    </w:p>
    <w:p w14:paraId="16DC06A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(1)指派通知书;</w:t>
      </w:r>
    </w:p>
    <w:p w14:paraId="6451561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(2)授权委托书;</w:t>
      </w:r>
    </w:p>
    <w:p w14:paraId="2121FB9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(3)起诉书或答辩状;</w:t>
      </w:r>
    </w:p>
    <w:p w14:paraId="6D2AB57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(4)阅卷笔录或相关的证据材料;</w:t>
      </w:r>
    </w:p>
    <w:p w14:paraId="04A0862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(5)出庭通知书</w:t>
      </w:r>
    </w:p>
    <w:p w14:paraId="2AAA293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(6)代理词;</w:t>
      </w:r>
    </w:p>
    <w:p w14:paraId="2D87728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(7)判决书或裁定书、调解书;</w:t>
      </w:r>
    </w:p>
    <w:p w14:paraId="517E808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(8)结案报告表</w:t>
      </w:r>
    </w:p>
    <w:p w14:paraId="2C3BA14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2、二审阶段应具备如下材料:</w:t>
      </w:r>
    </w:p>
    <w:p w14:paraId="0CA5D64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(1)指派通知书</w:t>
      </w:r>
    </w:p>
    <w:p w14:paraId="23EB151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(2)授权委托书</w:t>
      </w:r>
    </w:p>
    <w:p w14:paraId="4D5A743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(3)上诉书或答辩状;</w:t>
      </w:r>
    </w:p>
    <w:p w14:paraId="54BB149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(4)阅卷笔录或相关的证据材料;</w:t>
      </w:r>
    </w:p>
    <w:p w14:paraId="33B0EC0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(5)出庭通知书;</w:t>
      </w:r>
    </w:p>
    <w:p w14:paraId="66E4B22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(6)代理词</w:t>
      </w:r>
    </w:p>
    <w:p w14:paraId="40B49A3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(7)判决书或裁定书、调解书</w:t>
      </w:r>
    </w:p>
    <w:p w14:paraId="191393F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(8)结案报告表</w:t>
      </w:r>
    </w:p>
    <w:p w14:paraId="2127A93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重审或再审案件除按不同阶段结案提交材料外,还应增加重审或再审裁定书。</w:t>
      </w:r>
    </w:p>
    <w:p w14:paraId="192E4E8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4、仲裁案件按上述一审阶段结案提交材料、刑事附带民事诉讼案件,按本条不同阶段提交材料。</w:t>
      </w:r>
    </w:p>
    <w:p w14:paraId="704B4F19">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xml:space="preserve"> 执行法律援助案件承办卷,律师归档应具备如下材料:</w:t>
      </w:r>
    </w:p>
    <w:p w14:paraId="1D25B2B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(1)指派通知书</w:t>
      </w:r>
    </w:p>
    <w:p w14:paraId="551C4C5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(2)授权委托书;</w:t>
      </w:r>
    </w:p>
    <w:p w14:paraId="508E2AC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(3)判决书;</w:t>
      </w:r>
    </w:p>
    <w:p w14:paraId="73309F4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(4)执行申请书;</w:t>
      </w:r>
    </w:p>
    <w:p w14:paraId="183C728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(5)执行终止书</w:t>
      </w:r>
    </w:p>
    <w:p w14:paraId="798F4A3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(6)与案件有关的调查材料、意见书;</w:t>
      </w:r>
    </w:p>
    <w:p w14:paraId="344FF915">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(7)结案报告表</w:t>
      </w:r>
    </w:p>
    <w:p w14:paraId="21F6760D">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xml:space="preserve"> 非诉讼法律援助事务承办卷应具备如下材料:</w:t>
      </w:r>
    </w:p>
    <w:p w14:paraId="171CB27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(1)指派通知书</w:t>
      </w:r>
    </w:p>
    <w:p w14:paraId="7AC9CEC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(2)授权委托书;</w:t>
      </w:r>
    </w:p>
    <w:p w14:paraId="5B831D8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(3)证据材料;</w:t>
      </w:r>
    </w:p>
    <w:p w14:paraId="44C1477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(4)调解协议或调查结论;</w:t>
      </w:r>
    </w:p>
    <w:p w14:paraId="0AA2C3C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(5)结案报告表</w:t>
      </w:r>
    </w:p>
    <w:p w14:paraId="15E7CBBC">
      <w:pPr>
        <w:rPr>
          <w:rFonts w:ascii="仿宋" w:hAnsi="仿宋" w:eastAsia="仿宋" w:cs="仿宋"/>
          <w:sz w:val="32"/>
          <w:szCs w:val="32"/>
        </w:rPr>
      </w:pPr>
      <w:r>
        <w:rPr>
          <w:rFonts w:hint="eastAsia" w:ascii="仿宋" w:hAnsi="仿宋" w:eastAsia="仿宋" w:cs="仿宋"/>
          <w:sz w:val="32"/>
          <w:szCs w:val="32"/>
        </w:rPr>
        <w:br w:type="page"/>
      </w:r>
    </w:p>
    <w:p w14:paraId="01A9B7E8">
      <w:pP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      白城市法律援助案件指派管理办法</w:t>
      </w:r>
    </w:p>
    <w:p w14:paraId="7BD14242">
      <w:pPr>
        <w:spacing w:line="560" w:lineRule="exact"/>
        <w:ind w:firstLine="640" w:firstLineChars="200"/>
        <w:rPr>
          <w:rFonts w:ascii="仿宋" w:hAnsi="仿宋" w:eastAsia="仿宋" w:cs="仿宋"/>
          <w:sz w:val="32"/>
          <w:szCs w:val="32"/>
        </w:rPr>
      </w:pPr>
    </w:p>
    <w:p w14:paraId="4C3695C8">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为规范本市法律援助案件指派程序,提高法律援助服务质量,依据《中华人民共和国律师法》、《法律援助条例》、《吉林省法律援助条例》制定本办法</w:t>
      </w:r>
    </w:p>
    <w:p w14:paraId="06E395FF">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白城市法律援助机构指派法律援助案件,向市内和洮北区注册的律师事务所指派。洮北区法律援助中心向洮北区辖区内的吉林通业律师吉林亚非律师事务所指派,其他市县法律援助机构向在本市县注册的律师事务所指派,也可经吉林省法律援助中心同意后,向其他县(市、区)的律师事务所指派</w:t>
      </w:r>
    </w:p>
    <w:p w14:paraId="483A499F">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法律援助机构为受援人指派法律援助人员,实行机构选任与受援人自主选择相结合</w:t>
      </w:r>
    </w:p>
    <w:p w14:paraId="49634895">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为便于受援人自主选择法律援助人员,以及为犯罪嫌疑人、被告人选任适当的法律援助人员,法律援助机构应当建立法律援助人员名录。名录应当载明法律援助人员的姓名、性别、年龄、照片、执业时间、业务专长。法律援助人员名录包括民事、行政案件法律援助人员名录和刑事案件法律援助人员名录。法律援助机构可以根据指派工作和便民需要,设立民事行政案件法律援助人员名录和刑事案件法律援助人员名录的分支名录。</w:t>
      </w:r>
    </w:p>
    <w:p w14:paraId="01ECF2CC">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法律援助机构指派民事、行政诉讼、非诉讼案件时,受援人可以从民事行政案件法律援助人员名录中自主选择法律援助人员。受援人为无民事行为能力人或者限制民事行为能力人的,由法定代理人代为选择法律援助人员。受援人或者法定代理人放弃选择,或者案件属于先行给予法律援助的,法律援助机构可以根据案情从名录内的律师事务所中轮流指派,也可以根据本办法第二条规定的指派范围从名录外的律师事务所中轮流指派。法律援助机构指派刑事案件时,应当在刑事案件法律援助人员名录内为犯罪嫌疑人、被告人选任律师未纳入法律援助人员名录的律师应当履行法律援助义务,法律援助机构可以指派提供咨询、代书、代理案件。</w:t>
      </w:r>
    </w:p>
    <w:p w14:paraId="55B96013">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法律援助机构建立法律援助人员名录,应当坚持公开、公平、公正的原则。市和区、县法律援助机构应当分别建立法律援助人员名录市和区、县法律援助人员名录应当在本办法第二条规定指派范围内形成。本辖区律师和法律服务工作者的数量较少不足以满足本地法律援助需求的区、县,可以将法律援助事项指派给市法律援助机构指派范围内的律师事务所。</w:t>
      </w:r>
    </w:p>
    <w:p w14:paraId="2B2A6538">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法律援助机构应当于每年第二个月在适当范围内公示上一年度法律援助事项指派情况。</w:t>
      </w:r>
    </w:p>
    <w:p w14:paraId="0774AC23">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市司法行政部门应当对设立法律援助人员名录予以指导。律师协会应当为名录的建立提供相关资料。</w:t>
      </w:r>
    </w:p>
    <w:p w14:paraId="41D8FA08">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在本市执业的律师可以依据本办法第二条规定的范围申请分别加入市和区、县法律援助机构法律援助人员名录。执业律师申请加入名录,其所在律师事务所不免除接受法律援助机构的指派承办其他法律援助事项的义务。</w:t>
      </w:r>
    </w:p>
    <w:p w14:paraId="1042A496">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申请加入法律援助人员名录的律师应当具备下列条件:</w:t>
      </w:r>
    </w:p>
    <w:p w14:paraId="3E33894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(一)热心于法律援助事业,有较强的社会责任感和奉献精神,品行良好;</w:t>
      </w:r>
    </w:p>
    <w:p w14:paraId="655351F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(二)具有大学本科以上学历、身体健康、年龄在60岁以下</w:t>
      </w:r>
    </w:p>
    <w:p w14:paraId="4BEAD99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(三)执业两年以上,于申请当年在白城市司法局注册,且未受到过行政处罚或者行业协会惩戒的;</w:t>
      </w:r>
    </w:p>
    <w:p w14:paraId="106C59C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(四)具有诉讼工作经验</w:t>
      </w:r>
    </w:p>
    <w:p w14:paraId="21D1E6BC">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申请加入法律援助人员名录,应向法律援助机构提交下列材料:</w:t>
      </w:r>
    </w:p>
    <w:p w14:paraId="0908CE0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(一)法律援助人员申请表;</w:t>
      </w:r>
    </w:p>
    <w:p w14:paraId="55F1AC7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(二)律师执业证原件及复印件</w:t>
      </w:r>
    </w:p>
    <w:p w14:paraId="3D44173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(三)所在单位出具的品行鉴定材料;</w:t>
      </w:r>
    </w:p>
    <w:p w14:paraId="1431AB1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(四)申请人曾承办的案件卷宗样卷。</w:t>
      </w:r>
    </w:p>
    <w:p w14:paraId="25609BE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法律援助机构收到申请后,应在10日内予以审查,法律援助机构审查法律援助人员申请,应当向司法行政机关律师管理部门、本地律师协会、申请人所在单位查证。</w:t>
      </w:r>
    </w:p>
    <w:p w14:paraId="30E6F1BC">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法律援助机构每年第四季度接受法律援助人员申请,形成次年法律援助人员名录,已经加入法律援助人员名录的律师无需重新提出加入申请。法律援助人员名录形成后,应当公示,并向市司法行政机关法律援助监督管理部门备案。</w:t>
      </w:r>
    </w:p>
    <w:p w14:paraId="2D6AFF16">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xml:space="preserve"> 受援人自主选择、机构选任法律援助人员与本条第一款规定发生冲突的,法律援助机构应当查明情况,依据本办法第五条规定指派案件。本地区律师人数较少不能满足指派工作需要的,不受本条第一款规定的限制。</w:t>
      </w:r>
    </w:p>
    <w:p w14:paraId="1B20F308">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xml:space="preserve"> 民事、行政案件受援人自主选择法律援助人员,法律援助人员有正当理由不能接受指派承办案件的,由法律援助机构为其选任法律援助人员。被告人拒绝指定的律师为其辩护,人民法院予以准许并通知法律援助机构为其另行指定辩护人的,法律援助机构应当在刑事案件法律援助人员名录内另行选任辩护人。另行选任只能以一次数为限。</w:t>
      </w:r>
    </w:p>
    <w:p w14:paraId="19521E7C">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机构选任或者受援人自主选择法律援助人员,法律援助机构应当查证有无利益冲突并执行有关回避的规定。在刑事法律援助案件中,同一案件中有二名以上受援助被告人,或同一案件中既有受援助被告人又有受援助被害人的,法律援助机构指派案件时,应当分别向两个以上的律师事务所指派。律师事务所接受法律援助机构指派时,已经接受同案一名被告人或被害人委托的,应当告知法律援助机构,法律援助机构应当向其他律师事务所指派。</w:t>
      </w:r>
    </w:p>
    <w:p w14:paraId="0CD1EC89">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律师事务所接到指派通知后,应当于24小时内安排承办律师,办理接受案件指派的手续。法律援助机构指派案件时,根据案件不同情况提供指派通知书、民事法律援助公函、刑事法律援助公函、法律援助案件(事项)结案报告表等与承办案件有关的必要的格式文书</w:t>
      </w:r>
    </w:p>
    <w:p w14:paraId="4F782AE6">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受援人自主选择或者机构选任的法律援助人员不履行职责,受援人申请更换的,法律援助机构经査证属实,应当为其更换法律援助人员,更换人员依据本办法第五条规定进行。</w:t>
      </w:r>
    </w:p>
    <w:p w14:paraId="6ABAC7AC">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xml:space="preserve"> 承办法律援助案件的法律援助人员应保证在承办的每件法律援助案件结案后及时向法律援助机构上报符合格式要求的该案案例。</w:t>
      </w:r>
    </w:p>
    <w:p w14:paraId="1996E11D">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xml:space="preserve"> 律师有下列情形之一的,法律援助机构应当交由司法行政机关或者律师协会给予相应行政处罚或者惩戒</w:t>
      </w:r>
    </w:p>
    <w:p w14:paraId="5F31F8D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(一)无正当理由拒不接受法律援助机构指派的;</w:t>
      </w:r>
    </w:p>
    <w:p w14:paraId="7CF23A98">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(二)向受援人或其家属收取财物或者牟取其他不正当利益的;</w:t>
      </w:r>
    </w:p>
    <w:p w14:paraId="387EB03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(三)拖延或者擅自终止实施法律援助的;</w:t>
      </w:r>
    </w:p>
    <w:p w14:paraId="061FAB0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(四)在援助期间擅自将法律援助案件转为委托案件或者转交其他律师、律师助理办理的</w:t>
      </w:r>
    </w:p>
    <w:p w14:paraId="492A999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(五)经法律援助机构或者其它有关机关对案件办理的监督检查,认定为办理质量不合格的;</w:t>
      </w:r>
    </w:p>
    <w:p w14:paraId="1E7DCD9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(六)因人不履行职责而被更换的</w:t>
      </w:r>
    </w:p>
    <w:p w14:paraId="1E7D81A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(七)其他违反律师执业纪律或者职业道德的行为。</w:t>
      </w:r>
    </w:p>
    <w:p w14:paraId="0E3F1C6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本条第一款的律师列入法律援助人员名录的,法律援助机构应当强制其退出法律援助人员名录,</w:t>
      </w:r>
    </w:p>
    <w:p w14:paraId="6D3BF5F9">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xml:space="preserve"> 法律援助机构指派法律服务所安排基层法律服务工作者承办法律援助案件、安排本机构工作人员,或根据其他社会组织的要求,安排其所属人员办理法律援助案件,按照有关法律法规和规章的规定并参照本规定执行。基层法律服务工作者是否纳入法律援助人员名录、申请条件以及所占的比例,由县(市、区)司法行政机关确定。</w:t>
      </w:r>
    </w:p>
    <w:p w14:paraId="33DBDF7C">
      <w:pPr>
        <w:rPr>
          <w:rFonts w:ascii="仿宋" w:hAnsi="仿宋" w:eastAsia="仿宋" w:cs="仿宋"/>
          <w:sz w:val="32"/>
          <w:szCs w:val="32"/>
        </w:rPr>
      </w:pPr>
      <w:r>
        <w:rPr>
          <w:rFonts w:hint="eastAsia" w:ascii="仿宋" w:hAnsi="仿宋" w:eastAsia="仿宋" w:cs="仿宋"/>
          <w:sz w:val="32"/>
          <w:szCs w:val="32"/>
        </w:rPr>
        <w:br w:type="page"/>
      </w:r>
    </w:p>
    <w:p w14:paraId="556701C2">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白城市鹤城公证处公证人员廉洁服务规定</w:t>
      </w:r>
    </w:p>
    <w:p w14:paraId="3A2F62AC">
      <w:pPr>
        <w:spacing w:line="560" w:lineRule="exact"/>
        <w:ind w:firstLine="640" w:firstLineChars="200"/>
        <w:jc w:val="left"/>
        <w:rPr>
          <w:rFonts w:ascii="仿宋" w:hAnsi="仿宋" w:eastAsia="仿宋" w:cs="仿宋"/>
          <w:sz w:val="32"/>
          <w:szCs w:val="32"/>
        </w:rPr>
      </w:pPr>
    </w:p>
    <w:p w14:paraId="0FF33988">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为提高全处公证人员的政治素质和职业道德水平保持廉洁服务。根据司法部《公证人员清廉服务的若干规定》制定本规定。</w:t>
      </w:r>
    </w:p>
    <w:p w14:paraId="01CD4A7C">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坚持四项基本原则，认真学习邓小平理论和三个代表思想，自觉的贯彻执行党的路线、方针和政策，模范遵守国家的法律、法规和规章</w:t>
      </w:r>
    </w:p>
    <w:p w14:paraId="121A7A69">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养成重事实、依法规、讲文明、有礼貌、遵制度守纪律、拒腐蚀、永不沾的良好职业道德</w:t>
      </w:r>
    </w:p>
    <w:p w14:paraId="7A0FF41D">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树立正确的职业道德观念和全心全意为人民服务的思想，讲学习、讲政治、讲正气。</w:t>
      </w:r>
    </w:p>
    <w:p w14:paraId="26BF9466">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加强集体主义观念，不说不做不利于团结的话与事讲究文明服务，美化办公环境</w:t>
      </w:r>
    </w:p>
    <w:p w14:paraId="4CBE64E0">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公证处实行“两公开”、“一监督”制度，即办证制度公开，收费标准公开;公证员实行挂牌服务，自觉接受群众和有关部门的监督.</w:t>
      </w:r>
    </w:p>
    <w:p w14:paraId="174D015B">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公证处设群众投诉意见箱，认真处理群众来信，热情接待群众来访</w:t>
      </w:r>
    </w:p>
    <w:p w14:paraId="4EC34B0E">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公证人员必须忠实地履行职务，严格按照办证程序完成出证工作，不得私自办证，不得违法办“人情证”、“关系证”不得接受当事人的吃请、馈赠，不得向当事人索贿或谋取其他私</w:t>
      </w:r>
    </w:p>
    <w:p w14:paraId="025F6869">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严格执行收费标准，设专人按标准收费，公证员不得自行收费，不得擅自提高或降低收费，堿免收费要经主任批准。</w:t>
      </w:r>
    </w:p>
    <w:p w14:paraId="5D98F293">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严格遵守执业纪律，坚决杜绝下列行为:</w:t>
      </w:r>
    </w:p>
    <w:p w14:paraId="7047E0C7">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（一）私自收案，私自收费，自办自批</w:t>
      </w:r>
    </w:p>
    <w:p w14:paraId="78460AFA">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（二）接受当事人的宴请、礼金和馈赠</w:t>
      </w:r>
    </w:p>
    <w:p w14:paraId="33200885">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（三）受人情或关系的影响，故意曲解或规避法律以迎合当事人不正当要求;</w:t>
      </w:r>
    </w:p>
    <w:p w14:paraId="426319B1">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（四）利用不正当手段进行不正当竞争</w:t>
      </w:r>
    </w:p>
    <w:p w14:paraId="700A6EB1">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公证人员在办证过程中，有下列行为之一，视请节轻重，按有关规定给予政纪处分，已触犯刑律的，移交司法机关惩处:</w:t>
      </w:r>
    </w:p>
    <w:p w14:paraId="52E30319">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(一)贪污、索贿、受贿的;</w:t>
      </w:r>
    </w:p>
    <w:p w14:paraId="7C4042D5">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(二)利用职权谋取私利的;</w:t>
      </w:r>
    </w:p>
    <w:p w14:paraId="11F5107E">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(三)为谋取私利出假证或违法、规避法律出错证的;</w:t>
      </w:r>
    </w:p>
    <w:p w14:paraId="2FE05EE2">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(四)为谋取私利泄露国家秘密和个人隐私的;</w:t>
      </w:r>
    </w:p>
    <w:p w14:paraId="56BFE985">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(五)偷盖公证处公章私自出证的;</w:t>
      </w:r>
    </w:p>
    <w:p w14:paraId="24C1F74E">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(六)其他损害国家、集体利益和非法侵害当事人合法权益行为。</w:t>
      </w:r>
    </w:p>
    <w:p w14:paraId="5749D5F3">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本规定自公布之日起施行。</w:t>
      </w:r>
      <w:r>
        <w:rPr>
          <w:rFonts w:hint="eastAsia" w:ascii="仿宋" w:hAnsi="仿宋" w:eastAsia="仿宋" w:cs="仿宋"/>
          <w:sz w:val="32"/>
          <w:szCs w:val="32"/>
        </w:rPr>
        <w:br w:type="page"/>
      </w:r>
    </w:p>
    <w:p w14:paraId="2DAF9CBE">
      <w:pPr>
        <w:spacing w:line="560" w:lineRule="exact"/>
        <w:ind w:firstLine="880" w:firstLineChars="20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白城市鹤城公证处公证事项审批制度</w:t>
      </w:r>
    </w:p>
    <w:p w14:paraId="20076DF6">
      <w:pPr>
        <w:spacing w:line="560" w:lineRule="exact"/>
        <w:ind w:firstLine="640" w:firstLineChars="200"/>
        <w:jc w:val="left"/>
        <w:rPr>
          <w:rFonts w:ascii="仿宋" w:hAnsi="仿宋" w:eastAsia="仿宋" w:cs="仿宋"/>
          <w:sz w:val="32"/>
          <w:szCs w:val="32"/>
        </w:rPr>
      </w:pPr>
    </w:p>
    <w:p w14:paraId="119908E2">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为了严格履行审批手续,提高办证质量,根据司法部《公证程序规则》制定本制度</w:t>
      </w:r>
    </w:p>
    <w:p w14:paraId="22791E43">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对符合法定条件的公证事项,承办人应填写公证审批表,连同卷宗材料报主任公证员审批,主任承办的公证事项由副主任审批。审批人对符合公证条件的公证事项,应批准出证,对报批的公证事项缺少证据的,有权要求承办人补齐材料;对不真实不合法的公证事项有权拒绝出证。任何人不得审批自已承办的公证事项。每件公证必须先审批后出证。</w:t>
      </w:r>
    </w:p>
    <w:p w14:paraId="664DFA2B">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对报批的公证事项,主任、副主任或审批人认为是复杂疑难的公证事项,应提交议证小组讨论决定。</w:t>
      </w:r>
    </w:p>
    <w:p w14:paraId="706C3510">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对拒绝公证事项的审批,应由承办人写出拒绝公证的书面报告,连同卷宗材料报主任或副主任批准。</w:t>
      </w:r>
    </w:p>
    <w:p w14:paraId="1A5A294F">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对重大、复杂、疑难的公证事项,在规定期限内不能出证的,承办人应写出书面报告,经主任批准后可适当延长,但最长不得超过三个月</w:t>
      </w:r>
    </w:p>
    <w:p w14:paraId="3CB20F11">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对终止公证的事项,承办人应写出终止公证的书面报告报经主任或付主任审批</w:t>
      </w:r>
    </w:p>
    <w:p w14:paraId="31D35363">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对应予以撤销或更正的公证书应由处务会研究决定,对已经发往域外使用的公证书的撤销或更正,报经司法局或省厅公证管理处决定</w:t>
      </w:r>
    </w:p>
    <w:p w14:paraId="27BA9716">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出具强制执行许可证明,必须经处务会研究决定后由主任公证员签批八、办理涉外公证事项,经涉外公证员受理认为应出证的应报经主任或副主任审批后出证。</w:t>
      </w:r>
      <w:r>
        <w:rPr>
          <w:rFonts w:hint="eastAsia" w:ascii="仿宋" w:hAnsi="仿宋" w:eastAsia="仿宋" w:cs="仿宋"/>
          <w:sz w:val="32"/>
          <w:szCs w:val="32"/>
        </w:rPr>
        <w:br w:type="page"/>
      </w:r>
    </w:p>
    <w:p w14:paraId="482839FD">
      <w:pPr>
        <w:spacing w:line="560" w:lineRule="exact"/>
        <w:ind w:firstLine="880" w:firstLineChars="20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白城市鹤城公证处错假证追究赔偿制度</w:t>
      </w:r>
    </w:p>
    <w:p w14:paraId="27A706F2">
      <w:pPr>
        <w:spacing w:line="560" w:lineRule="exact"/>
        <w:ind w:firstLine="640" w:firstLineChars="200"/>
        <w:jc w:val="left"/>
        <w:rPr>
          <w:rFonts w:ascii="仿宋" w:hAnsi="仿宋" w:eastAsia="仿宋" w:cs="仿宋"/>
          <w:sz w:val="32"/>
          <w:szCs w:val="32"/>
        </w:rPr>
      </w:pPr>
    </w:p>
    <w:p w14:paraId="2DF6472D">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公证员在履行职务时,不认真执行《吉林省公证条例》或上级有关规定,造成错假证的,要追究承办人的责任</w:t>
      </w:r>
    </w:p>
    <w:p w14:paraId="11B583D6">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因公证员的过错而造成错假证的,所收公证费先由公证处全部返还当事人,返还后公证处再对该公证员根据具体情况,按照上级有关规定,给予适当的处罚</w:t>
      </w:r>
    </w:p>
    <w:p w14:paraId="14293F9A">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因公证员和当事人双方过错而造成错假证的,所收公证费由公证处酌情退还当事人,公证处再根据情况对该公证员进行适当处罚</w:t>
      </w:r>
    </w:p>
    <w:p w14:paraId="29F7B4E8">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公证员为收受、索取金钱、实物或谋取其他不正当利益的,而出具错假证的应当从严处罚</w:t>
      </w:r>
    </w:p>
    <w:p w14:paraId="518349C6">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错假证出现后,主任、副主任要负领导连带责任,同时应接受适当处罚</w:t>
      </w:r>
    </w:p>
    <w:p w14:paraId="32DB50F3">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证处辅助人员因工作差错,造成影响和损失的,应接受相应处罚</w:t>
      </w:r>
    </w:p>
    <w:p w14:paraId="7B83CCF5">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对历史遗留的错假证问题,处理时可以适当从轻;对当年发生的错假证处理时,要采取适度从严原则,但最高不超过造成损失的数额。</w:t>
      </w:r>
    </w:p>
    <w:p w14:paraId="1DA72174">
      <w:pPr>
        <w:rPr>
          <w:rFonts w:ascii="仿宋" w:hAnsi="仿宋" w:eastAsia="仿宋" w:cs="仿宋"/>
          <w:sz w:val="32"/>
          <w:szCs w:val="32"/>
        </w:rPr>
      </w:pPr>
    </w:p>
    <w:sectPr>
      <w:footerReference r:id="rId3" w:type="default"/>
      <w:pgSz w:w="11906" w:h="16838"/>
      <w:pgMar w:top="2098" w:right="1417" w:bottom="1984"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字体">
    <w:altName w:val="仿宋"/>
    <w:panose1 w:val="00000000000000000000"/>
    <w:charset w:val="86"/>
    <w:family w:val="auto"/>
    <w:pitch w:val="default"/>
    <w:sig w:usb0="00000000" w:usb1="0000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64E6F">
    <w:pPr>
      <w:pStyle w:val="4"/>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14:paraId="7078B6C1">
                <w:pPr>
                  <w:pStyle w:val="4"/>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- 202 -</w:t>
                </w:r>
                <w:r>
                  <w:rPr>
                    <w:rFonts w:hint="eastAsia" w:asciiTheme="minorEastAsia" w:hAnsiTheme="minorEastAsia" w:cstheme="min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597C54"/>
    <w:multiLevelType w:val="singleLevel"/>
    <w:tmpl w:val="EB597C54"/>
    <w:lvl w:ilvl="0" w:tentative="0">
      <w:start w:val="8"/>
      <w:numFmt w:val="chineseCounting"/>
      <w:lvlText w:val="(%1)"/>
      <w:lvlJc w:val="left"/>
      <w:pPr>
        <w:tabs>
          <w:tab w:val="left" w:pos="312"/>
        </w:tabs>
      </w:pPr>
      <w:rPr>
        <w:rFonts w:hint="eastAsia"/>
      </w:rPr>
    </w:lvl>
  </w:abstractNum>
  <w:abstractNum w:abstractNumId="1">
    <w:nsid w:val="12D38EB3"/>
    <w:multiLevelType w:val="singleLevel"/>
    <w:tmpl w:val="12D38EB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YyYjUxODA3NzEwOWI2MThiOGQ0MjU5OGIwZTU2MjcifQ=="/>
  </w:docVars>
  <w:rsids>
    <w:rsidRoot w:val="00687DC7"/>
    <w:rsid w:val="001B4307"/>
    <w:rsid w:val="00287C54"/>
    <w:rsid w:val="00323217"/>
    <w:rsid w:val="00456E03"/>
    <w:rsid w:val="005E1AE5"/>
    <w:rsid w:val="006067E5"/>
    <w:rsid w:val="00687DC7"/>
    <w:rsid w:val="00A95056"/>
    <w:rsid w:val="00E8242A"/>
    <w:rsid w:val="02944059"/>
    <w:rsid w:val="033A50F7"/>
    <w:rsid w:val="04835A34"/>
    <w:rsid w:val="066D4AEE"/>
    <w:rsid w:val="084E41C8"/>
    <w:rsid w:val="0A8E47AA"/>
    <w:rsid w:val="125B320B"/>
    <w:rsid w:val="13ED0F60"/>
    <w:rsid w:val="15A47826"/>
    <w:rsid w:val="1AA629F3"/>
    <w:rsid w:val="1B4437D5"/>
    <w:rsid w:val="1C2C5EEC"/>
    <w:rsid w:val="1F4141AD"/>
    <w:rsid w:val="20141DFE"/>
    <w:rsid w:val="24D24787"/>
    <w:rsid w:val="264F0AC5"/>
    <w:rsid w:val="26AA4FFD"/>
    <w:rsid w:val="27881CE8"/>
    <w:rsid w:val="2D75275B"/>
    <w:rsid w:val="2EF67326"/>
    <w:rsid w:val="370442C9"/>
    <w:rsid w:val="39D60324"/>
    <w:rsid w:val="3A0F4FB7"/>
    <w:rsid w:val="3CD764BF"/>
    <w:rsid w:val="3D7B1641"/>
    <w:rsid w:val="3EF946D9"/>
    <w:rsid w:val="40D11DA0"/>
    <w:rsid w:val="411E4CDF"/>
    <w:rsid w:val="41A80333"/>
    <w:rsid w:val="444B6F7E"/>
    <w:rsid w:val="44DB1412"/>
    <w:rsid w:val="45FD64F7"/>
    <w:rsid w:val="45FE6A75"/>
    <w:rsid w:val="48304720"/>
    <w:rsid w:val="4C3B3CDF"/>
    <w:rsid w:val="4D870C5D"/>
    <w:rsid w:val="565213D7"/>
    <w:rsid w:val="590B1660"/>
    <w:rsid w:val="59B8677B"/>
    <w:rsid w:val="5ACA08A2"/>
    <w:rsid w:val="5B6810FE"/>
    <w:rsid w:val="5DD431C1"/>
    <w:rsid w:val="5F545676"/>
    <w:rsid w:val="66832951"/>
    <w:rsid w:val="6A526F9F"/>
    <w:rsid w:val="6B3B3A11"/>
    <w:rsid w:val="6E2B555F"/>
    <w:rsid w:val="73254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left"/>
      <w:outlineLvl w:val="0"/>
    </w:pPr>
    <w:rPr>
      <w:rFonts w:hint="eastAsia" w:ascii="宋体" w:hAnsi="宋体" w:eastAsia="宋体" w:cs="Times New Roman"/>
      <w:b/>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uiPriority w:val="0"/>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paragraph" w:styleId="8">
    <w:name w:val="Title"/>
    <w:basedOn w:val="1"/>
    <w:next w:val="3"/>
    <w:qFormat/>
    <w:uiPriority w:val="0"/>
    <w:pPr>
      <w:keepNext/>
      <w:keepLines/>
      <w:spacing w:before="480" w:after="240"/>
      <w:jc w:val="center"/>
    </w:pPr>
    <w:rPr>
      <w:rFonts w:asciiTheme="majorHAnsi" w:hAnsiTheme="majorHAnsi" w:eastAsiaTheme="majorEastAsia" w:cstheme="majorBidi"/>
      <w:b/>
      <w:bCs/>
      <w:color w:val="2B6FAB" w:themeColor="accent1" w:themeShade="B5"/>
      <w:sz w:val="36"/>
      <w:szCs w:val="36"/>
    </w:rPr>
  </w:style>
  <w:style w:type="character" w:styleId="11">
    <w:name w:val="Strong"/>
    <w:basedOn w:val="10"/>
    <w:qFormat/>
    <w:uiPriority w:val="0"/>
    <w:rPr>
      <w:b/>
    </w:rPr>
  </w:style>
  <w:style w:type="character" w:styleId="12">
    <w:name w:val="page number"/>
    <w:basedOn w:val="10"/>
    <w:qFormat/>
    <w:uiPriority w:val="0"/>
  </w:style>
  <w:style w:type="paragraph" w:customStyle="1" w:styleId="1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203</Pages>
  <Words>81006</Words>
  <Characters>81465</Characters>
  <Lines>611</Lines>
  <Paragraphs>172</Paragraphs>
  <TotalTime>9</TotalTime>
  <ScaleCrop>false</ScaleCrop>
  <LinksUpToDate>false</LinksUpToDate>
  <CharactersWithSpaces>83471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2020-11-09T07:22:00Z</dcterms:created>
  <dc:creator>Administrator</dc:creator>
  <cp:lastModifiedBy>Administrator</cp:lastModifiedBy>
  <cp:lastPrinted>2020-06-17T03:52:00Z</cp:lastPrinted>
  <dcterms:modified xsi:type="dcterms:W3CDTF">2024-07-18T10:47:14Z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744ADC22E3A74D829B8C760075169BFF</vt:lpwstr>
  </property>
</Properties>
</file>