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sz w:val="44"/>
          <w:szCs w:val="44"/>
        </w:rPr>
      </w:pPr>
      <w:r>
        <w:rPr>
          <w:sz w:val="52"/>
        </w:rPr>
        <mc:AlternateContent>
          <mc:Choice Requires="wps">
            <w:drawing>
              <wp:anchor distT="0" distB="0" distL="114300" distR="114300" simplePos="0" relativeHeight="251664384" behindDoc="0" locked="0" layoutInCell="1" allowOverlap="1">
                <wp:simplePos x="0" y="0"/>
                <wp:positionH relativeFrom="column">
                  <wp:posOffset>2181225</wp:posOffset>
                </wp:positionH>
                <wp:positionV relativeFrom="paragraph">
                  <wp:posOffset>-154305</wp:posOffset>
                </wp:positionV>
                <wp:extent cx="1828800" cy="781367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7813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态</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区</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制</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度</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汇</w:t>
                            </w:r>
                          </w:p>
                          <w:p>
                            <w:pPr>
                              <w:rPr>
                                <w:rFonts w:hint="eastAsia"/>
                                <w:b/>
                                <w:bCs/>
                                <w:color w:val="000000" w:themeColor="text1"/>
                                <w:sz w:val="72"/>
                                <w:szCs w:val="72"/>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编</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75pt;margin-top:-12.15pt;height:615.25pt;width:144pt;mso-wrap-style:none;z-index:251664384;mso-width-relative:page;mso-height-relative:page;" filled="f" stroked="f" coordsize="21600,21600" o:gfxdata="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&#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Fcx+N0AAAAMAQAADwAAAAAAAAABACAAAAAiAAAA&#10;ZHJzL2Rvd25yZXYueG1sUEsBAhQAFAAAAAgAh07iQKXJmPo7AgAAaQQAAA4AAAAAAAAAAQAgAAAA&#10;LAEAAGRycy9lMm9Eb2MueG1sUEsFBgAAAAAGAAYAWQEAANkFAAAAAA==&#10;">
                <v:fill on="f" focussize="0,0"/>
                <v:stroke on="f" weight="0.5pt"/>
                <v:imagedata o:title=""/>
                <o:lock v:ext="edit" aspectratio="f"/>
                <v:textbox>
                  <w:txbxContent>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生</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态</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新</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区</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制</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度</w:t>
                      </w:r>
                    </w:p>
                    <w:p>
                      <w:pP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汇</w:t>
                      </w:r>
                    </w:p>
                    <w:p>
                      <w:pPr>
                        <w:rPr>
                          <w:rFonts w:hint="eastAsia"/>
                          <w:b/>
                          <w:bCs/>
                          <w:color w:val="000000" w:themeColor="text1"/>
                          <w:sz w:val="72"/>
                          <w:szCs w:val="72"/>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bCs/>
                          <w:color w:val="000000" w:themeColor="text1"/>
                          <w:sz w:val="96"/>
                          <w:szCs w:val="96"/>
                          <w:lang w:eastAsia="zh-CN"/>
                          <w14:glow w14:rad="0">
                            <w14:srgbClr w14:val="000000"/>
                          </w14:glow>
                          <w14:shadow w14:blurRad="50800" w14:dist="38100" w14:dir="2700000" w14:sx="100000" w14:sy="100000" w14:kx="0" w14:ky="0" w14:algn="tl">
                            <w14:srgbClr w14:val="000000">
                              <w14:alpha w14:val="6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编</w:t>
                      </w:r>
                    </w:p>
                  </w:txbxContent>
                </v:textbox>
              </v:shape>
            </w:pict>
          </mc:Fallback>
        </mc:AlternateContent>
      </w:r>
    </w:p>
    <w:p>
      <w:pPr>
        <w:rPr>
          <w:rFonts w:hint="eastAsia" w:ascii="宋体" w:hAnsi="宋体"/>
          <w:b/>
          <w:sz w:val="44"/>
          <w:szCs w:val="44"/>
        </w:rPr>
      </w:pPr>
    </w:p>
    <w:p>
      <w:pPr>
        <w:jc w:val="center"/>
        <w:rPr>
          <w:rFonts w:hint="eastAsia" w:ascii="宋体" w:hAnsi="宋体"/>
          <w:b/>
          <w:sz w:val="44"/>
          <w:szCs w:val="44"/>
        </w:rPr>
      </w:pPr>
    </w:p>
    <w:p>
      <w:pPr>
        <w:jc w:val="center"/>
        <w:rPr>
          <w:rFonts w:hint="eastAsia" w:ascii="黑体" w:hAnsi="宋体" w:eastAsia="黑体"/>
          <w:b/>
          <w:color w:val="auto"/>
          <w:sz w:val="52"/>
          <w:szCs w:val="52"/>
        </w:rPr>
      </w:pPr>
    </w:p>
    <w:p>
      <w:pPr>
        <w:jc w:val="center"/>
        <w:rPr>
          <w:rFonts w:hint="eastAsia" w:ascii="黑体" w:hAnsi="宋体" w:eastAsia="黑体"/>
          <w:b/>
          <w:color w:val="auto"/>
          <w:sz w:val="52"/>
          <w:szCs w:val="52"/>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ind w:right="640"/>
        <w:jc w:val="center"/>
        <w:rPr>
          <w:rFonts w:hint="eastAsia" w:ascii="仿宋_GB2312" w:hAnsi="宋体" w:eastAsia="仿宋_GB2312"/>
          <w:color w:val="auto"/>
          <w:sz w:val="36"/>
          <w:szCs w:val="36"/>
          <w:lang w:val="en-US" w:eastAsia="zh-CN"/>
        </w:rPr>
      </w:pPr>
      <w:r>
        <w:rPr>
          <w:rFonts w:hint="eastAsia" w:ascii="仿宋_GB2312" w:hAnsi="宋体" w:eastAsia="仿宋_GB2312"/>
          <w:color w:val="auto"/>
          <w:sz w:val="36"/>
          <w:szCs w:val="36"/>
          <w:lang w:val="en-US" w:eastAsia="zh-CN"/>
        </w:rPr>
        <w:t xml:space="preserve">     </w:t>
      </w:r>
    </w:p>
    <w:p>
      <w:pPr>
        <w:ind w:right="640"/>
        <w:jc w:val="center"/>
        <w:rPr>
          <w:rFonts w:hint="eastAsia" w:ascii="仿宋_GB2312" w:hAnsi="宋体" w:eastAsia="仿宋_GB2312"/>
          <w:color w:val="auto"/>
          <w:sz w:val="36"/>
          <w:szCs w:val="36"/>
          <w:lang w:val="en-US" w:eastAsia="zh-CN"/>
        </w:rPr>
      </w:pPr>
    </w:p>
    <w:p>
      <w:pPr>
        <w:ind w:right="640"/>
        <w:jc w:val="center"/>
        <w:rPr>
          <w:rFonts w:hint="eastAsia" w:ascii="仿宋_GB2312" w:hAnsi="宋体" w:eastAsia="仿宋_GB2312"/>
          <w:color w:val="auto"/>
          <w:sz w:val="36"/>
          <w:szCs w:val="36"/>
          <w:lang w:val="en-US" w:eastAsia="zh-CN"/>
        </w:rPr>
      </w:pPr>
    </w:p>
    <w:p>
      <w:pPr>
        <w:ind w:right="640"/>
        <w:jc w:val="center"/>
        <w:rPr>
          <w:rFonts w:hint="eastAsia" w:ascii="仿宋_GB2312" w:hAnsi="宋体" w:eastAsia="仿宋_GB2312"/>
          <w:color w:val="auto"/>
          <w:sz w:val="36"/>
          <w:szCs w:val="36"/>
          <w:lang w:val="en-US" w:eastAsia="zh-CN"/>
        </w:rPr>
      </w:pPr>
    </w:p>
    <w:p>
      <w:pPr>
        <w:jc w:val="both"/>
        <w:rPr>
          <w:rFonts w:hint="eastAsia" w:asciiTheme="majorEastAsia" w:hAnsiTheme="majorEastAsia" w:eastAsiaTheme="majorEastAsia" w:cstheme="majorEastAsia"/>
          <w:b/>
          <w:bCs/>
          <w:color w:val="auto"/>
          <w:sz w:val="44"/>
          <w:szCs w:val="44"/>
        </w:rPr>
      </w:pPr>
      <w:r>
        <w:rPr>
          <w:sz w:val="36"/>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97155</wp:posOffset>
                </wp:positionV>
                <wp:extent cx="5218430" cy="12192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5218430" cy="1219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楷体" w:hAnsi="楷体" w:eastAsia="楷体" w:cs="楷体"/>
                                <w:b/>
                                <w:bCs/>
                                <w:color w:val="000000" w:themeColor="text1"/>
                                <w:sz w:val="44"/>
                                <w:szCs w:val="4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eastAsia" w:ascii="楷体" w:hAnsi="楷体" w:eastAsia="楷体" w:cs="楷体"/>
                                <w:b/>
                                <w:bCs/>
                                <w:color w:val="000000" w:themeColor="text1"/>
                                <w:sz w:val="44"/>
                                <w:szCs w:val="4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白城市生态新区建设领导小组办公室</w:t>
                            </w:r>
                          </w:p>
                          <w:p>
                            <w:pPr>
                              <w:jc w:val="cente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2020年9月制</w:t>
                            </w:r>
                          </w:p>
                          <w:p>
                            <w:pPr>
                              <w:jc w:val="cente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default"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7.65pt;height:96pt;width:410.9pt;z-index:251665408;mso-width-relative:page;mso-height-relative:page;" filled="f" stroked="f" coordsize="21600,21600" o:gfxdata="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1j829gAAAAHAQAADwAAAAAAAAABACAAAAAiAAAAZHJz&#10;L2Rvd25yZXYueG1sUEsBAhQAFAAAAAgAh07iQJLRrMU9AgAAawQAAA4AAAAAAAAAAQAgAAAAJwEA&#10;AGRycy9lMm9Eb2MueG1sUEsFBgAAAAAGAAYAWQEAANYFAAAAAA==&#10;">
                <v:fill on="f" focussize="0,0"/>
                <v:stroke on="f" weight="0.5pt"/>
                <v:imagedata o:title=""/>
                <o:lock v:ext="edit" aspectratio="f"/>
                <v:textbox>
                  <w:txbxContent>
                    <w:p>
                      <w:pPr>
                        <w:jc w:val="center"/>
                        <w:rPr>
                          <w:rFonts w:hint="eastAsia" w:ascii="楷体" w:hAnsi="楷体" w:eastAsia="楷体" w:cs="楷体"/>
                          <w:b/>
                          <w:bCs/>
                          <w:color w:val="000000" w:themeColor="text1"/>
                          <w:sz w:val="44"/>
                          <w:szCs w:val="4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eastAsia" w:ascii="楷体" w:hAnsi="楷体" w:eastAsia="楷体" w:cs="楷体"/>
                          <w:b/>
                          <w:bCs/>
                          <w:color w:val="000000" w:themeColor="text1"/>
                          <w:sz w:val="44"/>
                          <w:szCs w:val="4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白城市生态新区建设领导小组办公室</w:t>
                      </w:r>
                    </w:p>
                    <w:p>
                      <w:pPr>
                        <w:jc w:val="cente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2020年9月制</w:t>
                      </w:r>
                    </w:p>
                    <w:p>
                      <w:pPr>
                        <w:jc w:val="cente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eastAsia"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jc w:val="center"/>
                        <w:rPr>
                          <w:rFonts w:hint="default" w:ascii="楷体" w:hAnsi="楷体" w:eastAsia="楷体" w:cs="楷体"/>
                          <w:b/>
                          <w:bCs/>
                          <w:color w:val="000000" w:themeColor="text1"/>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r>
        <w:rPr>
          <w:rFonts w:hint="eastAsia" w:asciiTheme="majorEastAsia" w:hAnsiTheme="majorEastAsia" w:eastAsiaTheme="majorEastAsia" w:cstheme="majorEastAsia"/>
          <w:b/>
          <w:bCs/>
          <w:color w:val="auto"/>
          <w:sz w:val="44"/>
          <w:szCs w:val="44"/>
        </w:rPr>
        <w:t xml:space="preserve"> </w:t>
      </w:r>
    </w:p>
    <w:p>
      <w:pPr>
        <w:jc w:val="center"/>
        <w:rPr>
          <w:rFonts w:hint="eastAsia" w:asciiTheme="majorEastAsia" w:hAnsiTheme="majorEastAsia" w:eastAsiaTheme="majorEastAsia" w:cstheme="majorEastAsia"/>
          <w:b/>
          <w:bCs/>
          <w:color w:val="auto"/>
          <w:sz w:val="44"/>
          <w:szCs w:val="44"/>
        </w:rPr>
      </w:pPr>
    </w:p>
    <w:p>
      <w:pPr>
        <w:jc w:val="center"/>
        <w:rPr>
          <w:rFonts w:hint="eastAsia" w:asciiTheme="majorEastAsia" w:hAnsiTheme="majorEastAsia" w:eastAsiaTheme="majorEastAsia" w:cstheme="majorEastAsia"/>
          <w:b/>
          <w:bCs/>
          <w:color w:val="auto"/>
          <w:sz w:val="44"/>
          <w:szCs w:val="44"/>
          <w:lang w:eastAsia="zh-CN"/>
        </w:rPr>
        <w:sectPr>
          <w:headerReference r:id="rId3" w:type="default"/>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color w:val="auto"/>
          <w:sz w:val="44"/>
          <w:szCs w:val="44"/>
          <w:lang w:eastAsia="zh-CN"/>
        </w:rPr>
      </w:pPr>
      <w:r>
        <w:rPr>
          <w:rFonts w:hint="eastAsia" w:asciiTheme="majorEastAsia" w:hAnsiTheme="majorEastAsia" w:eastAsiaTheme="majorEastAsia" w:cstheme="majorEastAsia"/>
          <w:b/>
          <w:bCs/>
          <w:color w:val="auto"/>
          <w:sz w:val="44"/>
          <w:szCs w:val="44"/>
          <w:lang w:eastAsia="zh-CN"/>
        </w:rPr>
        <w:t>前</w:t>
      </w:r>
      <w:r>
        <w:rPr>
          <w:rFonts w:hint="eastAsia" w:asciiTheme="majorEastAsia" w:hAnsiTheme="majorEastAsia" w:eastAsiaTheme="majorEastAsia" w:cstheme="majorEastAsia"/>
          <w:b/>
          <w:bCs/>
          <w:color w:val="auto"/>
          <w:sz w:val="44"/>
          <w:szCs w:val="44"/>
          <w:lang w:val="en-US" w:eastAsia="zh-CN"/>
        </w:rPr>
        <w:t xml:space="preserve">   </w:t>
      </w:r>
      <w:r>
        <w:rPr>
          <w:rFonts w:hint="eastAsia" w:asciiTheme="majorEastAsia" w:hAnsiTheme="majorEastAsia" w:eastAsiaTheme="majorEastAsia" w:cstheme="majorEastAsia"/>
          <w:b/>
          <w:bCs/>
          <w:color w:val="auto"/>
          <w:sz w:val="44"/>
          <w:szCs w:val="44"/>
          <w:lang w:eastAsia="zh-CN"/>
        </w:rPr>
        <w:t>言</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cs="仿宋"/>
          <w:color w:val="auto"/>
          <w:sz w:val="32"/>
          <w:szCs w:val="32"/>
          <w:lang w:eastAsia="zh-CN"/>
        </w:rPr>
      </w:pPr>
      <w:r>
        <w:rPr>
          <w:rFonts w:hint="eastAsia" w:ascii="方正仿宋_GBK" w:hAnsi="仿宋" w:eastAsia="方正仿宋_GBK"/>
          <w:color w:val="auto"/>
          <w:sz w:val="32"/>
          <w:szCs w:val="32"/>
        </w:rPr>
        <w:t xml:space="preserve">   </w:t>
      </w:r>
      <w:r>
        <w:rPr>
          <w:rFonts w:hint="eastAsia" w:ascii="方正仿宋_GBK" w:hAnsi="仿宋" w:eastAsia="方正仿宋_GBK"/>
          <w:color w:val="auto"/>
          <w:sz w:val="32"/>
          <w:szCs w:val="32"/>
          <w:lang w:eastAsia="zh-CN"/>
        </w:rPr>
        <w:t>按照</w:t>
      </w:r>
      <w:r>
        <w:rPr>
          <w:rFonts w:hint="eastAsia" w:ascii="方正仿宋_GBK" w:hAnsi="仿宋" w:eastAsia="方正仿宋_GBK"/>
          <w:color w:val="auto"/>
          <w:sz w:val="32"/>
          <w:szCs w:val="32"/>
          <w:lang w:val="en-US" w:eastAsia="zh-CN"/>
        </w:rPr>
        <w:t>市委下发《关于开展“制度建设年”活动的工作方案》（白办字[2020]9号）文件要求，生态新区党委高度重视制度化建设工作，</w:t>
      </w:r>
      <w:r>
        <w:rPr>
          <w:rFonts w:hint="eastAsia" w:ascii="仿宋" w:hAnsi="仿宋" w:eastAsia="仿宋" w:cs="仿宋"/>
          <w:color w:val="auto"/>
          <w:sz w:val="32"/>
          <w:szCs w:val="32"/>
        </w:rPr>
        <w:t>为进一步</w:t>
      </w:r>
      <w:r>
        <w:rPr>
          <w:rFonts w:hint="eastAsia" w:ascii="仿宋" w:hAnsi="仿宋" w:cs="仿宋"/>
          <w:color w:val="auto"/>
          <w:sz w:val="32"/>
          <w:szCs w:val="32"/>
          <w:lang w:eastAsia="zh-CN"/>
        </w:rPr>
        <w:t>推进</w:t>
      </w:r>
      <w:r>
        <w:rPr>
          <w:rFonts w:hint="eastAsia" w:ascii="仿宋" w:hAnsi="仿宋" w:eastAsia="仿宋" w:cs="仿宋"/>
          <w:color w:val="auto"/>
          <w:sz w:val="32"/>
          <w:szCs w:val="32"/>
          <w:lang w:eastAsia="zh-CN"/>
        </w:rPr>
        <w:t>生态新区</w:t>
      </w:r>
      <w:r>
        <w:rPr>
          <w:rFonts w:hint="eastAsia" w:ascii="仿宋" w:hAnsi="仿宋" w:cs="仿宋"/>
          <w:color w:val="auto"/>
          <w:sz w:val="32"/>
          <w:szCs w:val="32"/>
          <w:lang w:eastAsia="zh-CN"/>
        </w:rPr>
        <w:t>工作规范化，使各局、办各项工作职责明确，权限清晰，层次分明，管理科学，充分发挥配合、协调、和谐、统一的整体优势，</w:t>
      </w:r>
      <w:r>
        <w:rPr>
          <w:rFonts w:hint="eastAsia" w:ascii="仿宋" w:hAnsi="仿宋" w:eastAsia="仿宋" w:cs="仿宋"/>
          <w:color w:val="auto"/>
          <w:sz w:val="32"/>
          <w:szCs w:val="32"/>
        </w:rPr>
        <w:t>严肃工作纪律，切实转变作风，提高工作效率，树立良好形象</w:t>
      </w:r>
      <w:r>
        <w:rPr>
          <w:rFonts w:hint="eastAsia" w:ascii="仿宋" w:hAnsi="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cs="仿宋"/>
          <w:color w:val="auto"/>
          <w:sz w:val="32"/>
          <w:szCs w:val="32"/>
          <w:u w:val="thick"/>
          <w:lang w:val="en-US" w:eastAsia="zh-CN"/>
        </w:rPr>
      </w:pPr>
      <w:r>
        <w:rPr>
          <w:rFonts w:hint="eastAsia" w:ascii="仿宋" w:hAnsi="仿宋" w:cs="仿宋"/>
          <w:color w:val="auto"/>
          <w:sz w:val="32"/>
          <w:szCs w:val="32"/>
          <w:lang w:eastAsia="zh-CN"/>
        </w:rPr>
        <w:t>新区党委在梳理和总结已有制度的基础上，</w:t>
      </w:r>
      <w:r>
        <w:rPr>
          <w:rFonts w:hint="eastAsia" w:ascii="仿宋" w:hAnsi="仿宋" w:eastAsia="仿宋" w:cs="仿宋"/>
          <w:color w:val="auto"/>
          <w:sz w:val="32"/>
          <w:szCs w:val="32"/>
        </w:rPr>
        <w:t>结合</w:t>
      </w:r>
      <w:r>
        <w:rPr>
          <w:rFonts w:hint="eastAsia" w:ascii="仿宋" w:hAnsi="仿宋" w:eastAsia="仿宋" w:cs="仿宋"/>
          <w:color w:val="auto"/>
          <w:sz w:val="32"/>
          <w:szCs w:val="32"/>
          <w:lang w:eastAsia="zh-CN"/>
        </w:rPr>
        <w:t>生态新区各局、办工作</w:t>
      </w:r>
      <w:r>
        <w:rPr>
          <w:rFonts w:hint="eastAsia" w:ascii="仿宋" w:hAnsi="仿宋" w:eastAsia="仿宋" w:cs="仿宋"/>
          <w:color w:val="auto"/>
          <w:sz w:val="32"/>
          <w:szCs w:val="32"/>
        </w:rPr>
        <w:t>实际</w:t>
      </w:r>
      <w:r>
        <w:rPr>
          <w:rFonts w:hint="eastAsia" w:ascii="仿宋" w:hAnsi="仿宋" w:eastAsia="仿宋" w:cs="仿宋"/>
          <w:color w:val="auto"/>
          <w:sz w:val="32"/>
          <w:szCs w:val="32"/>
          <w:lang w:eastAsia="zh-CN"/>
        </w:rPr>
        <w:t>情况</w:t>
      </w:r>
      <w:r>
        <w:rPr>
          <w:rFonts w:hint="eastAsia" w:ascii="仿宋" w:hAnsi="仿宋" w:eastAsia="仿宋" w:cs="仿宋"/>
          <w:color w:val="auto"/>
          <w:sz w:val="32"/>
          <w:szCs w:val="32"/>
        </w:rPr>
        <w:t>，</w:t>
      </w:r>
      <w:r>
        <w:rPr>
          <w:rFonts w:hint="eastAsia" w:ascii="仿宋" w:hAnsi="仿宋" w:cs="仿宋"/>
          <w:color w:val="auto"/>
          <w:sz w:val="32"/>
          <w:szCs w:val="32"/>
          <w:lang w:eastAsia="zh-CN"/>
        </w:rPr>
        <w:t>围绕领导</w:t>
      </w:r>
      <w:r>
        <w:rPr>
          <w:rFonts w:hint="eastAsia" w:ascii="仿宋" w:hAnsi="仿宋" w:cs="仿宋"/>
          <w:color w:val="auto"/>
          <w:sz w:val="32"/>
          <w:szCs w:val="32"/>
          <w:lang w:val="en-US" w:eastAsia="zh-CN"/>
        </w:rPr>
        <w:t>决策、事务管理、权力运行、行政执法等方面，</w:t>
      </w:r>
      <w:r>
        <w:rPr>
          <w:rFonts w:hint="eastAsia" w:ascii="仿宋" w:hAnsi="仿宋" w:cs="仿宋"/>
          <w:color w:val="auto"/>
          <w:sz w:val="32"/>
          <w:szCs w:val="32"/>
          <w:lang w:eastAsia="zh-CN"/>
        </w:rPr>
        <w:t>建立和完善了生态新区党建工作制度、行政办公制度、财政审计制度、项目审批制度、建设工程制度、安全生产制度等共计</w:t>
      </w:r>
      <w:r>
        <w:rPr>
          <w:rFonts w:hint="eastAsia" w:ascii="仿宋" w:hAnsi="仿宋" w:cs="仿宋"/>
          <w:color w:val="auto"/>
          <w:sz w:val="32"/>
          <w:szCs w:val="32"/>
          <w:lang w:val="en-US" w:eastAsia="zh-CN"/>
        </w:rPr>
        <w:t>21条规章制度，形成了《生态新区制度汇编》，供大家在工作中遵照执行。</w:t>
      </w:r>
    </w:p>
    <w:p>
      <w:pPr>
        <w:bidi w:val="0"/>
        <w:jc w:val="left"/>
        <w:rPr>
          <w:color w:val="auto"/>
          <w:lang w:val="en-US" w:eastAsia="zh-CN"/>
        </w:rPr>
      </w:pPr>
    </w:p>
    <w:p>
      <w:pPr>
        <w:bidi w:val="0"/>
        <w:jc w:val="left"/>
        <w:rPr>
          <w:color w:val="auto"/>
          <w:lang w:val="en-US" w:eastAsia="zh-CN"/>
        </w:rPr>
      </w:pPr>
    </w:p>
    <w:p>
      <w:pPr>
        <w:bidi w:val="0"/>
        <w:jc w:val="left"/>
        <w:rPr>
          <w:color w:val="auto"/>
          <w:lang w:val="en-US" w:eastAsia="zh-CN"/>
        </w:rPr>
      </w:pPr>
    </w:p>
    <w:p>
      <w:pPr>
        <w:bidi w:val="0"/>
        <w:jc w:val="left"/>
        <w:rPr>
          <w:color w:val="auto"/>
          <w:lang w:val="en-US" w:eastAsia="zh-CN"/>
        </w:rPr>
      </w:pPr>
    </w:p>
    <w:p>
      <w:pPr>
        <w:bidi w:val="0"/>
        <w:jc w:val="left"/>
        <w:rPr>
          <w:color w:val="auto"/>
          <w:lang w:val="en-US" w:eastAsia="zh-CN"/>
        </w:rPr>
      </w:pPr>
    </w:p>
    <w:p>
      <w:pPr>
        <w:bidi w:val="0"/>
        <w:jc w:val="left"/>
        <w:rPr>
          <w:color w:val="auto"/>
          <w:lang w:val="en-US" w:eastAsia="zh-CN"/>
        </w:rPr>
      </w:pPr>
    </w:p>
    <w:p>
      <w:pPr>
        <w:spacing w:before="0" w:beforeLines="0" w:after="0" w:afterLines="0" w:line="240" w:lineRule="auto"/>
        <w:ind w:left="0" w:leftChars="0" w:right="0" w:rightChars="0" w:firstLine="0" w:firstLineChars="0"/>
        <w:jc w:val="center"/>
        <w:rPr>
          <w:rFonts w:hint="eastAsia" w:asciiTheme="majorEastAsia" w:hAnsiTheme="majorEastAsia" w:eastAsiaTheme="majorEastAsia" w:cstheme="majorEastAsia"/>
          <w:b/>
          <w:bCs/>
          <w:kern w:val="2"/>
          <w:sz w:val="44"/>
          <w:szCs w:val="44"/>
          <w:lang w:val="en-US" w:eastAsia="zh-CN" w:bidi="ar-SA"/>
        </w:rPr>
        <w:sectPr>
          <w:footerReference r:id="rId4" w:type="default"/>
          <w:pgSz w:w="11906" w:h="16838"/>
          <w:pgMar w:top="1440" w:right="1800" w:bottom="1440" w:left="1800" w:header="851" w:footer="992" w:gutter="0"/>
          <w:pgNumType w:fmt="numberInDash" w:start="1"/>
          <w:cols w:space="425" w:num="1"/>
          <w:docGrid w:type="lines" w:linePitch="312" w:charSpace="0"/>
        </w:sectPr>
      </w:pPr>
    </w:p>
    <w:sdt>
      <w:sdtPr>
        <w:rPr>
          <w:rFonts w:ascii="宋体" w:hAnsi="宋体" w:eastAsia="宋体" w:cs="Times New Roman"/>
          <w:kern w:val="2"/>
          <w:sz w:val="21"/>
          <w:szCs w:val="24"/>
          <w:lang w:val="en-US" w:eastAsia="zh-CN" w:bidi="ar-SA"/>
        </w:rPr>
        <w:id w:val="147455348"/>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pStyle w:val="7"/>
            <w:tabs>
              <w:tab w:val="right" w:leader="dot" w:pos="8306"/>
              <w:tab w:val="clear" w:pos="8494"/>
            </w:tabs>
            <w:jc w:val="center"/>
            <w:rPr>
              <w:rFonts w:ascii="仿宋_GB2312" w:hAnsi="Times New Roman" w:eastAsia="仿宋_GB2312" w:cs="Times New Roman"/>
              <w:kern w:val="2"/>
              <w:sz w:val="32"/>
              <w:szCs w:val="32"/>
              <w:lang w:val="en-US" w:eastAsia="zh-CN" w:bidi="ar-SA"/>
            </w:rPr>
          </w:pPr>
          <w:r>
            <w:rPr>
              <w:rFonts w:hint="eastAsia" w:ascii="黑体" w:hAnsi="黑体" w:eastAsia="黑体" w:cs="黑体"/>
              <w:sz w:val="40"/>
              <w:szCs w:val="40"/>
            </w:rPr>
            <w:t>目</w:t>
          </w:r>
          <w:r>
            <w:rPr>
              <w:rFonts w:hint="eastAsia" w:ascii="黑体" w:hAnsi="黑体" w:eastAsia="黑体" w:cs="黑体"/>
              <w:sz w:val="40"/>
              <w:szCs w:val="40"/>
              <w:lang w:val="en-US" w:eastAsia="zh-CN"/>
            </w:rPr>
            <w:t xml:space="preserve">   </w:t>
          </w:r>
          <w:r>
            <w:rPr>
              <w:rFonts w:hint="eastAsia" w:ascii="黑体" w:hAnsi="黑体" w:eastAsia="黑体" w:cs="黑体"/>
              <w:sz w:val="40"/>
              <w:szCs w:val="40"/>
            </w:rPr>
            <w:t>录</w:t>
          </w:r>
          <w:r>
            <w:fldChar w:fldCharType="begin"/>
          </w:r>
          <w:r>
            <w:instrText xml:space="preserve">TOC \o "1-1" \h \u </w:instrText>
          </w:r>
          <w:r>
            <w:fldChar w:fldCharType="separate"/>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_Toc30137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rPr>
            <w:t>党委会会议议事规则</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_Toc30137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_Toc22867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lang w:eastAsia="zh-CN"/>
            </w:rPr>
            <w:t>主任办公会</w:t>
          </w:r>
          <w:r>
            <w:rPr>
              <w:rFonts w:hint="eastAsia" w:asciiTheme="minorEastAsia" w:hAnsiTheme="minorEastAsia" w:eastAsiaTheme="minorEastAsia" w:cstheme="minorEastAsia"/>
              <w:color w:val="auto"/>
            </w:rPr>
            <w:t>议事规则</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_Toc22867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- 10 -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_Toc23099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“一把手”“五个不直接分管”和末位表态工作制度</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PAGEREF _Toc23099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- 13 -</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_Toc15028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4、“三重一大”事项决策制度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_Toc15028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- 18 -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_Toc23012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Cs/>
              <w:color w:val="auto"/>
              <w:szCs w:val="44"/>
              <w:lang w:val="en-US" w:eastAsia="zh-CN"/>
            </w:rPr>
            <w:t>5、领导干部不允许插手工程项目和招投标</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_Toc23012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- 24 -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_Toc19799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rPr>
            <w:t>党风廉政建设“一岗双责”制度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_Toc19799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- 28 -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_Toc26301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rPr>
            <w:t>选人用人监督管理制度(试行)</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_Toc26301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- 32 -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_Toc25191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rPr>
            <w:t>聘用人员管理制度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_Toc25191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- 37 -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_Toc10226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9、</w:t>
          </w:r>
          <w:r>
            <w:rPr>
              <w:rFonts w:hint="eastAsia" w:asciiTheme="minorEastAsia" w:hAnsiTheme="minorEastAsia" w:eastAsiaTheme="minorEastAsia" w:cstheme="minorEastAsia"/>
              <w:color w:val="auto"/>
            </w:rPr>
            <w:t>财务管理制度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_Toc10226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- 45 -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_Toc2350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10、</w:t>
          </w:r>
          <w:r>
            <w:rPr>
              <w:rFonts w:hint="eastAsia" w:asciiTheme="minorEastAsia" w:hAnsiTheme="minorEastAsia" w:eastAsiaTheme="minorEastAsia" w:cstheme="minorEastAsia"/>
              <w:color w:val="auto"/>
              <w:lang w:eastAsia="zh-CN"/>
            </w:rPr>
            <w:t>公务接待管理制度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_Toc2350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- 65 -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_Toc6551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11、</w:t>
          </w:r>
          <w:r>
            <w:rPr>
              <w:rFonts w:hint="eastAsia" w:asciiTheme="minorEastAsia" w:hAnsiTheme="minorEastAsia" w:eastAsiaTheme="minorEastAsia" w:cstheme="minorEastAsia"/>
              <w:color w:val="auto"/>
            </w:rPr>
            <w:t>生态新区差旅费管理办法</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_Toc6551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- 69 -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_Toc25370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12、</w:t>
          </w:r>
          <w:r>
            <w:rPr>
              <w:rFonts w:hint="eastAsia" w:asciiTheme="minorEastAsia" w:hAnsiTheme="minorEastAsia" w:eastAsiaTheme="minorEastAsia" w:cstheme="minorEastAsia"/>
              <w:color w:val="auto"/>
            </w:rPr>
            <w:t>公务用车</w:t>
          </w:r>
          <w:r>
            <w:rPr>
              <w:rFonts w:hint="eastAsia" w:asciiTheme="minorEastAsia" w:hAnsiTheme="minorEastAsia" w:eastAsiaTheme="minorEastAsia" w:cstheme="minorEastAsia"/>
              <w:color w:val="auto"/>
              <w:lang w:eastAsia="zh-CN"/>
            </w:rPr>
            <w:t>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_Toc25370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- 80 -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_Toc22937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rPr>
            <w:t>办公用品统一采购管理制度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_Toc22937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- 86 -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_Toc11863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14、固定资产管理办法（暂行）</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_Toc11863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- 88 -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_Toc7778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15、</w:t>
          </w:r>
          <w:r>
            <w:rPr>
              <w:rFonts w:hint="eastAsia" w:asciiTheme="minorEastAsia" w:hAnsiTheme="minorEastAsia" w:eastAsiaTheme="minorEastAsia" w:cstheme="minorEastAsia"/>
              <w:color w:val="auto"/>
            </w:rPr>
            <w:t>集中采购管理制度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_Toc7778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- 93 -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_Toc32643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16、</w:t>
          </w:r>
          <w:r>
            <w:rPr>
              <w:rFonts w:hint="eastAsia" w:asciiTheme="minorEastAsia" w:hAnsiTheme="minorEastAsia" w:eastAsiaTheme="minorEastAsia" w:cstheme="minorEastAsia"/>
              <w:color w:val="auto"/>
            </w:rPr>
            <w:t>项目核准、审批</w:t>
          </w:r>
          <w:r>
            <w:rPr>
              <w:rFonts w:hint="eastAsia" w:asciiTheme="minorEastAsia" w:hAnsiTheme="minorEastAsia" w:eastAsiaTheme="minorEastAsia" w:cstheme="minorEastAsia"/>
              <w:color w:val="auto"/>
              <w:lang w:eastAsia="zh-CN"/>
            </w:rPr>
            <w:t>转报</w:t>
          </w:r>
          <w:r>
            <w:rPr>
              <w:rFonts w:hint="eastAsia" w:asciiTheme="minorEastAsia" w:hAnsiTheme="minorEastAsia" w:eastAsiaTheme="minorEastAsia" w:cstheme="minorEastAsia"/>
              <w:color w:val="auto"/>
            </w:rPr>
            <w:t>工作制度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_Toc32643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- 100 -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_Toc19565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17、</w:t>
          </w:r>
          <w:r>
            <w:rPr>
              <w:rFonts w:hint="eastAsia" w:asciiTheme="minorEastAsia" w:hAnsiTheme="minorEastAsia" w:eastAsiaTheme="minorEastAsia" w:cstheme="minorEastAsia"/>
              <w:color w:val="auto"/>
            </w:rPr>
            <w:t>建设工程安全</w:t>
          </w:r>
          <w:r>
            <w:rPr>
              <w:rFonts w:hint="eastAsia" w:asciiTheme="minorEastAsia" w:hAnsiTheme="minorEastAsia" w:eastAsiaTheme="minorEastAsia" w:cstheme="minorEastAsia"/>
              <w:color w:val="auto"/>
              <w:lang w:eastAsia="zh-CN"/>
            </w:rPr>
            <w:t>生产</w:t>
          </w:r>
          <w:r>
            <w:rPr>
              <w:rFonts w:hint="eastAsia" w:asciiTheme="minorEastAsia" w:hAnsiTheme="minorEastAsia" w:eastAsiaTheme="minorEastAsia" w:cstheme="minorEastAsia"/>
              <w:color w:val="auto"/>
            </w:rPr>
            <w:t>检查工作制度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_Toc19565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- 107 -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_Toc2739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18、</w:t>
          </w:r>
          <w:r>
            <w:rPr>
              <w:rFonts w:hint="eastAsia" w:asciiTheme="minorEastAsia" w:hAnsiTheme="minorEastAsia" w:eastAsiaTheme="minorEastAsia" w:cstheme="minorEastAsia"/>
              <w:color w:val="auto"/>
              <w:lang w:eastAsia="zh-CN"/>
            </w:rPr>
            <w:t>土地、</w:t>
          </w:r>
          <w:r>
            <w:rPr>
              <w:rFonts w:hint="eastAsia" w:asciiTheme="minorEastAsia" w:hAnsiTheme="minorEastAsia" w:eastAsiaTheme="minorEastAsia" w:cstheme="minorEastAsia"/>
              <w:color w:val="auto"/>
            </w:rPr>
            <w:t>房屋征收补偿工作制度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_Toc2739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- 110 -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_Toc5121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19、</w:t>
          </w:r>
          <w:r>
            <w:rPr>
              <w:rFonts w:hint="eastAsia" w:asciiTheme="minorEastAsia" w:hAnsiTheme="minorEastAsia" w:eastAsiaTheme="minorEastAsia" w:cstheme="minorEastAsia"/>
              <w:color w:val="auto"/>
              <w:lang w:eastAsia="zh-CN"/>
            </w:rPr>
            <w:t>安全生产监督管理现场检查制度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_Toc5121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- 113 -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_Toc21761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20、</w:t>
          </w:r>
          <w:r>
            <w:rPr>
              <w:rFonts w:hint="eastAsia" w:asciiTheme="minorEastAsia" w:hAnsiTheme="minorEastAsia" w:eastAsiaTheme="minorEastAsia" w:cstheme="minorEastAsia"/>
              <w:color w:val="auto"/>
            </w:rPr>
            <w:t>信访工作制度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_Toc21761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- 118 -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pStyle w:val="7"/>
            <w:tabs>
              <w:tab w:val="right" w:leader="dot" w:pos="8306"/>
              <w:tab w:val="clear" w:pos="8494"/>
            </w:tabs>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_Toc22101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lang w:val="en-US" w:eastAsia="zh-CN"/>
            </w:rPr>
            <w:t>21、</w:t>
          </w:r>
          <w:r>
            <w:rPr>
              <w:rFonts w:hint="eastAsia" w:asciiTheme="minorEastAsia" w:hAnsiTheme="minorEastAsia" w:eastAsiaTheme="minorEastAsia" w:cstheme="minorEastAsia"/>
              <w:color w:val="auto"/>
              <w:lang w:eastAsia="zh-CN"/>
            </w:rPr>
            <w:t>后勤管理制度</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PAGEREF _Toc22101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t>- 123 -</w:t>
          </w:r>
          <w:r>
            <w:rPr>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color w:val="auto"/>
            </w:rPr>
            <w:fldChar w:fldCharType="end"/>
          </w:r>
        </w:p>
        <w:p>
          <w:pPr>
            <w:tabs>
              <w:tab w:val="right" w:leader="dot" w:pos="8306"/>
            </w:tabs>
            <w:spacing w:before="0" w:beforeLines="0" w:after="0" w:afterLines="0" w:line="240" w:lineRule="auto"/>
            <w:ind w:left="0" w:leftChars="0" w:right="0" w:rightChars="0" w:firstLine="0" w:firstLineChars="0"/>
            <w:jc w:val="both"/>
            <w:sectPr>
              <w:footerReference r:id="rId5" w:type="default"/>
              <w:pgSz w:w="11906" w:h="16838"/>
              <w:pgMar w:top="1440" w:right="1800" w:bottom="1440" w:left="1800" w:header="851" w:footer="992" w:gutter="0"/>
              <w:pgNumType w:fmt="numberInDash" w:start="1"/>
              <w:cols w:space="720" w:num="1"/>
              <w:docGrid w:type="lines" w:linePitch="312" w:charSpace="0"/>
            </w:sectPr>
          </w:pPr>
        </w:p>
        <w:p>
          <w:pPr>
            <w:tabs>
              <w:tab w:val="right" w:leader="dot" w:pos="8306"/>
            </w:tabs>
            <w:spacing w:before="0" w:beforeLines="0" w:after="0" w:afterLines="0" w:line="240" w:lineRule="auto"/>
            <w:ind w:left="0" w:leftChars="0" w:right="0" w:rightChars="0" w:firstLine="0" w:firstLineChars="0"/>
            <w:jc w:val="both"/>
          </w:pPr>
          <w:r>
            <w:fldChar w:fldCharType="end"/>
          </w:r>
          <w:bookmarkStart w:id="0" w:name="_Toc30137"/>
        </w:p>
      </w:sdtContent>
    </w:sdt>
    <w:p>
      <w:pPr>
        <w:pStyle w:val="2"/>
        <w:bidi w:val="0"/>
        <w:rPr>
          <w:rFonts w:hint="eastAsia"/>
        </w:rPr>
      </w:pPr>
      <w:r>
        <w:rPr>
          <w:rFonts w:hint="eastAsia"/>
          <w:lang w:val="en-US" w:eastAsia="zh-CN"/>
        </w:rPr>
        <w:t>1、</w:t>
      </w:r>
      <w:r>
        <w:rPr>
          <w:rFonts w:hint="eastAsia"/>
        </w:rPr>
        <w:t>党委会会议议事规则</w:t>
      </w:r>
      <w:bookmarkEnd w:id="0"/>
    </w:p>
    <w:p>
      <w:pPr>
        <w:adjustRightInd w:val="0"/>
        <w:snapToGrid w:val="0"/>
        <w:spacing w:line="360" w:lineRule="auto"/>
        <w:ind w:firstLine="640" w:firstLineChars="200"/>
        <w:outlineLvl w:val="0"/>
        <w:rPr>
          <w:rFonts w:hint="eastAsia" w:ascii="黑体" w:hAnsi="黑体" w:eastAsia="黑体" w:cs="黑体"/>
          <w:b w:val="0"/>
          <w:bCs/>
          <w:color w:val="auto"/>
          <w:sz w:val="32"/>
          <w:szCs w:val="32"/>
        </w:rPr>
      </w:pPr>
      <w:bookmarkStart w:id="1" w:name="_Toc654"/>
      <w:bookmarkStart w:id="2" w:name="_Toc19820"/>
      <w:bookmarkStart w:id="3" w:name="_Toc3291"/>
      <w:bookmarkStart w:id="4" w:name="_Toc28206"/>
      <w:bookmarkStart w:id="5" w:name="_Toc16972"/>
      <w:r>
        <w:rPr>
          <w:rFonts w:hint="eastAsia" w:ascii="黑体" w:hAnsi="黑体" w:eastAsia="黑体" w:cs="黑体"/>
          <w:b w:val="0"/>
          <w:bCs/>
          <w:color w:val="auto"/>
          <w:sz w:val="32"/>
          <w:szCs w:val="32"/>
        </w:rPr>
        <w:t>一</w:t>
      </w:r>
      <w:r>
        <w:rPr>
          <w:rFonts w:hint="eastAsia" w:ascii="黑体" w:hAnsi="黑体" w:eastAsia="黑体" w:cs="黑体"/>
          <w:b w:val="0"/>
          <w:bCs/>
          <w:color w:val="auto"/>
          <w:sz w:val="32"/>
          <w:szCs w:val="32"/>
          <w:lang w:eastAsia="zh-CN"/>
        </w:rPr>
        <w:t>、</w:t>
      </w:r>
      <w:r>
        <w:rPr>
          <w:rFonts w:hint="eastAsia" w:ascii="黑体" w:hAnsi="黑体" w:eastAsia="黑体" w:cs="黑体"/>
          <w:b w:val="0"/>
          <w:bCs/>
          <w:color w:val="auto"/>
          <w:sz w:val="32"/>
          <w:szCs w:val="32"/>
        </w:rPr>
        <w:t>议事原则</w:t>
      </w:r>
      <w:bookmarkEnd w:id="1"/>
      <w:bookmarkEnd w:id="2"/>
      <w:bookmarkEnd w:id="3"/>
      <w:bookmarkEnd w:id="4"/>
      <w:bookmarkEnd w:id="5"/>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1、坚持高举中国特色社会主义伟大旗帜，坚决贯彻党的理论路线和方针政策。严守政治纪律和政治规矩，坚决维护党中央权威，始终在思想上政治上行动上同以习近平同志为核心的党中央保持高度一致。</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坚持立党为公、执政为民，认真践行全心全意为人民服务的宗旨和群众路线，始终把人民利益放在第一位，把实现好、维护好、发展好最广大人民根本利益作为一切工作的出发点和落脚点，切实做到为民、务实、清廉。</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3、坚持解放思想、实事求是、与时俱进、求真务实，结合新区实际创造性开展工作。</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4、坚持民主集中制，议事决策应当坚持集体领导、民主集中、个别酝酿、会议决定，实行科学决策、民主决策、依法决策，切实增强党委领导集体活力和党的团结统一。</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5、坚持党要管党、从严治党，认真履行抓党建主体责任，始终保持党的先进性和纯洁性。</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6、坚持党委总揽全局、协调各方，把方向、管大局、作决策、保落实、从政治上思想上组织上加强对全新区工作的领导。</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7、坚持在宪法和法律范围内活动，依据党章和其他党内法规履职尽责。</w:t>
      </w:r>
    </w:p>
    <w:p>
      <w:pPr>
        <w:adjustRightInd w:val="0"/>
        <w:snapToGrid w:val="0"/>
        <w:spacing w:line="360" w:lineRule="auto"/>
        <w:ind w:firstLine="640" w:firstLineChars="200"/>
        <w:outlineLvl w:val="0"/>
        <w:rPr>
          <w:rFonts w:hint="eastAsia" w:ascii="黑体" w:hAnsi="黑体" w:eastAsia="黑体" w:cs="黑体"/>
          <w:b w:val="0"/>
          <w:bCs/>
          <w:color w:val="auto"/>
          <w:sz w:val="32"/>
          <w:szCs w:val="32"/>
        </w:rPr>
      </w:pPr>
      <w:bookmarkStart w:id="6" w:name="_Toc700"/>
      <w:bookmarkStart w:id="7" w:name="_Toc13173"/>
      <w:bookmarkStart w:id="8" w:name="_Toc26570"/>
      <w:bookmarkStart w:id="9" w:name="_Toc511"/>
      <w:bookmarkStart w:id="10" w:name="_Toc11977"/>
      <w:r>
        <w:rPr>
          <w:rFonts w:hint="eastAsia" w:ascii="黑体" w:hAnsi="黑体" w:eastAsia="黑体" w:cs="黑体"/>
          <w:b w:val="0"/>
          <w:bCs/>
          <w:color w:val="auto"/>
          <w:sz w:val="32"/>
          <w:szCs w:val="32"/>
        </w:rPr>
        <w:t>二</w:t>
      </w:r>
      <w:r>
        <w:rPr>
          <w:rFonts w:hint="eastAsia" w:ascii="黑体" w:hAnsi="黑体" w:eastAsia="黑体" w:cs="黑体"/>
          <w:b w:val="0"/>
          <w:bCs/>
          <w:color w:val="auto"/>
          <w:sz w:val="32"/>
          <w:szCs w:val="32"/>
          <w:lang w:eastAsia="zh-CN"/>
        </w:rPr>
        <w:t>、</w:t>
      </w:r>
      <w:r>
        <w:rPr>
          <w:rFonts w:hint="eastAsia" w:ascii="黑体" w:hAnsi="黑体" w:eastAsia="黑体" w:cs="黑体"/>
          <w:b w:val="0"/>
          <w:bCs/>
          <w:color w:val="auto"/>
          <w:sz w:val="32"/>
          <w:szCs w:val="32"/>
        </w:rPr>
        <w:t>工作职责</w:t>
      </w:r>
      <w:bookmarkEnd w:id="6"/>
      <w:bookmarkEnd w:id="7"/>
      <w:bookmarkEnd w:id="8"/>
      <w:bookmarkEnd w:id="9"/>
      <w:bookmarkEnd w:id="10"/>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新区办党委会的主要职责是：</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1、研究部署中央路线、方针、政策的贯彻执行；传达学习党中央重要会议、重要文件、重大决策部署和重要指示精神，结合新区实际，提出具体贯彻落实意见。</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召开党委会研究决定涉及党的路线、方针、政策和上级重要文件、重要会议精神和重大工作部署、重大资金、重大项目、干部的任免报批、职称评定与聘任方案、人事调动、党员发展工作，每次党委会都要有明确的议程，一般由5名党委委员参会，必要时视具体情况可召开党委扩大会议。每年至少召开2次专题议党会议，遇有重要情况可以随时召开。</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3、向上级党组织请示报告工作；讨论需报请市委组织部</w:t>
      </w:r>
      <w:r>
        <w:rPr>
          <w:rFonts w:hint="eastAsia" w:ascii="仿宋" w:hAnsi="仿宋" w:cs="仿宋"/>
          <w:color w:val="auto"/>
          <w:sz w:val="32"/>
          <w:szCs w:val="32"/>
          <w:lang w:eastAsia="zh-CN"/>
        </w:rPr>
        <w:t>、市人社局</w:t>
      </w:r>
      <w:r>
        <w:rPr>
          <w:rFonts w:hint="eastAsia" w:ascii="仿宋" w:hAnsi="仿宋" w:eastAsia="仿宋" w:cs="仿宋"/>
          <w:color w:val="auto"/>
          <w:sz w:val="32"/>
          <w:szCs w:val="32"/>
        </w:rPr>
        <w:t>审批的人事事项。</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切实抓好新区党的建设，研究制定全面从严治党的重要举措，推动党风廉政建设党委主体责任和纪委监督责任的落实。讨论决定新区党的思想建设、组织建设、作风建设、制度建设和反腐倡廉建设的重要部署、重大事项。定期研究党建工作，每年至少向上级党组织上报1次抓党建工作专题报告。</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5、切实履行党内法规制度建设主体责任，每年听取一次党内法规制度建设专题汇报。党委书记履行第一责任人职责，把党内法规制度建设与党的建设其他工作一同部署、抓好落实。</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6、切实加强对新区建设发展工作的领导、高度重视保障和改善民</w:t>
      </w:r>
      <w:r>
        <w:rPr>
          <w:rFonts w:hint="eastAsia" w:ascii="仿宋" w:hAnsi="仿宋" w:cs="仿宋"/>
          <w:color w:val="auto"/>
          <w:sz w:val="32"/>
          <w:szCs w:val="32"/>
          <w:lang w:eastAsia="zh-CN"/>
        </w:rPr>
        <w:t>生</w:t>
      </w:r>
      <w:r>
        <w:rPr>
          <w:rFonts w:hint="eastAsia" w:ascii="仿宋" w:hAnsi="仿宋" w:eastAsia="仿宋" w:cs="仿宋"/>
          <w:color w:val="auto"/>
          <w:sz w:val="32"/>
          <w:szCs w:val="32"/>
        </w:rPr>
        <w:t>问题，党委会每季度听取一次关于新区建设发展情况的汇报；每半年听取一次关于安全生产情况汇报；适时听取重要民生问题相关情况的汇报，研究决定重要民生事项。</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7、对新区宣传思想文化工作、组织工作、纪律检查工作、群众工作、统一战线工作、政法工作等方面经常性工作中的重要问题作出决定。党委会每年听取一次关于群团工作汇报。</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8、听取机关一支部、机关二支部、新开集团支部和新城投公司支部</w:t>
      </w:r>
      <w:r>
        <w:rPr>
          <w:rFonts w:hint="eastAsia" w:ascii="仿宋" w:hAnsi="仿宋" w:eastAsia="仿宋" w:cs="仿宋"/>
          <w:color w:val="auto"/>
          <w:sz w:val="32"/>
          <w:szCs w:val="32"/>
          <w:lang w:eastAsia="zh-CN"/>
        </w:rPr>
        <w:t>、能源公司党支部</w:t>
      </w:r>
      <w:r>
        <w:rPr>
          <w:rFonts w:hint="eastAsia" w:ascii="仿宋" w:hAnsi="仿宋" w:eastAsia="仿宋" w:cs="仿宋"/>
          <w:color w:val="auto"/>
          <w:sz w:val="32"/>
          <w:szCs w:val="32"/>
        </w:rPr>
        <w:t>重要工作的汇报，并就请示的事项作出决定。</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9、按照干部管理权限和规定程序，对干部的推荐、提名、任免和奖惩作出决定或提出建议，根据有关规定对重要干部的任免征求党委委员意见；教育、管理、监督干部；研究决定党员干部纪律处分有关事项；讨论决定新区局办的设置、调整。</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10、党委委员代表党委的讲话和报告，署名发表或者出版同工作有关的文章、著作、言论，应当事先经过党委会会议审定或者党委书记批准。</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党委委员在调查研究、检查指导工作或者参加其他公务活动时发表的个人意见，应当符合党委集体决定精神。</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11、审定召开全体党员大会及其他有关重要会议事项，检查会议决定、决议的贯彻落实情况。</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12、对应当由党委会决定的其他重要事项作出决定。</w:t>
      </w:r>
    </w:p>
    <w:p>
      <w:pPr>
        <w:adjustRightInd w:val="0"/>
        <w:snapToGrid w:val="0"/>
        <w:spacing w:line="360" w:lineRule="auto"/>
        <w:ind w:firstLine="640" w:firstLineChars="200"/>
        <w:outlineLvl w:val="0"/>
        <w:rPr>
          <w:rFonts w:hint="eastAsia" w:ascii="黑体" w:hAnsi="黑体" w:eastAsia="黑体" w:cs="黑体"/>
          <w:b w:val="0"/>
          <w:bCs/>
          <w:color w:val="auto"/>
          <w:sz w:val="32"/>
          <w:szCs w:val="32"/>
        </w:rPr>
      </w:pPr>
      <w:bookmarkStart w:id="11" w:name="_Toc26608"/>
      <w:bookmarkStart w:id="12" w:name="_Toc14529"/>
      <w:bookmarkStart w:id="13" w:name="_Toc20186"/>
      <w:bookmarkStart w:id="14" w:name="_Toc8638"/>
      <w:bookmarkStart w:id="15" w:name="_Toc17238"/>
      <w:r>
        <w:rPr>
          <w:rFonts w:hint="eastAsia" w:ascii="黑体" w:hAnsi="黑体" w:eastAsia="黑体" w:cs="黑体"/>
          <w:b w:val="0"/>
          <w:bCs/>
          <w:color w:val="auto"/>
          <w:sz w:val="32"/>
          <w:szCs w:val="32"/>
          <w:lang w:eastAsia="zh-CN"/>
        </w:rPr>
        <w:t>三、</w:t>
      </w:r>
      <w:r>
        <w:rPr>
          <w:rFonts w:hint="eastAsia" w:ascii="黑体" w:hAnsi="黑体" w:eastAsia="黑体" w:cs="黑体"/>
          <w:b w:val="0"/>
          <w:bCs/>
          <w:color w:val="auto"/>
          <w:sz w:val="32"/>
          <w:szCs w:val="32"/>
        </w:rPr>
        <w:t>会议制度</w:t>
      </w:r>
      <w:bookmarkEnd w:id="11"/>
      <w:bookmarkEnd w:id="12"/>
      <w:bookmarkEnd w:id="13"/>
      <w:bookmarkEnd w:id="14"/>
      <w:bookmarkEnd w:id="15"/>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1、党委会实行例会制度，一般每月召开1次，遇有重要情况可以随时召开。</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党委会由党委书记召集并主持。党委书记不能参加会议的，可以委托其他党委委员召集并主持。遇重大突发事件、抢险救灾等紧急情况，不能及时召开党委会决策的，书记或者其他党委委员可以临机处置，事后应当及时向党委会报告。</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3、党委会的议题由党委书记提出，或者由党委会其他委员提出建议，党委书记综合考虑后确定。</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凡需提请党委会讨论的议题，提请局办、公司必须报经分管党委委员同意，并及时向党委报送请示件，同时报送相关汇报材料。由党办按程序办理，经党办主任审核，报党委书记审定后，列入党委会会议议题。</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凡提交党委会讨论的议题，应事先做好充分准备。会议召开的时间、议题一般应提前2天通知出席列席会议人员。除重要干部人事任免、处理违纪干部等重大重项外，党委会讨论决策重大事项，一般应在会前2天将有关材料送达各位党委委员，为党委委员充分发表意见、履行职责创造条件。</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会议议题应当适量安排，重要、紧急议题优先安排。会议议题确定后一般不再变动，对确有必要提交党委会研究的临时性议题，由党委书记决定是否提交党委会。</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5、党委会讨论决定重要事项之前，可以先召开党委书记专题会议进行充分酝酿。党委书记专题会议由党委书记主持，其他有关党</w:t>
      </w:r>
      <w:r>
        <w:rPr>
          <w:rFonts w:hint="eastAsia" w:ascii="仿宋" w:hAnsi="仿宋" w:cs="仿宋"/>
          <w:color w:val="auto"/>
          <w:sz w:val="32"/>
          <w:szCs w:val="32"/>
          <w:lang w:eastAsia="zh-CN"/>
        </w:rPr>
        <w:t>委</w:t>
      </w:r>
      <w:r>
        <w:rPr>
          <w:rFonts w:hint="eastAsia" w:ascii="仿宋" w:hAnsi="仿宋" w:eastAsia="仿宋" w:cs="仿宋"/>
          <w:color w:val="auto"/>
          <w:sz w:val="32"/>
          <w:szCs w:val="32"/>
        </w:rPr>
        <w:t>委员等参加。党委书记专题会议不得以任何形式代替党委会会议作出决策。</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涉及干部人事任免事项，要按照《党政领导干部选拔任用工作条例》规定，在民主推荐、组织考察的基础上，经党委书记以及分管组织工作的党委委员共同酝酿后向党委会会议提名，为党委会会议决定或建议干部任免做准备。</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党委会应当有半数以上党委委员到会方可召开。讨论和决定干部任免事项必须有三分之二以上党委委员到会。党委委员因故不能参加会议的应当在会前请假，其意见可以用书面形式表达；对会议的议题如有意见或建议，可在会议召开之前提出。</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党委会讨论决定的问题，如涉及常委本人或其亲属，常委本人应回避。</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党委会表决可以根据讨论和决定事项的不同，采用口头、举手、无记名投票或者记名投票等方式进行，赞成票超过应到会党委委员半数为通过。未到党委委员的意见不得计入票数。党委会讨论和决定多个事项，应当逐项表决。</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8、党委会出席人员为党委委员。根据议题需要，确定有关局办、公司的主要负责人参加。</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9、党委会要健全决策咨询机制，重大决策一般应当在调查研究基础上提出方案，充分听取各方面意见，进行风险评估和合法合规性审查。对涉及新区建设发展全局的重大事项，要广泛征求意见，充分进行协商；对专业性较强的重大事项，要认真进行专家论证、技术咨询、决策评估；对同群众利益密切相关的重大事项，要实行公示、听证等制度，扩大群众参与度。坚持和完善与民主党派、工商联和党外人士民主协商制度，注意听取人大代表和政协委员的意见和建议。要重视发挥党代表的作用，注意听取他们的意见和建议。</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10、党委会应当坚持民主集中制，实行集体领导和个人分工负责相结合的制度。凡属应当由党委会讨论和决定的事项，必须由集体研究决定，任何个人或者少数人无权擅自决定或者改变集体作出的决定。在集体讨论和决定问题时，个人应当充分发表意见。个人对集体作出的决定必须坚决执行，有不同意见的可以保留，也可以向上级党组织报告。</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11、党委会由专门人员如实记录，决定事项应当编发会议纪要。党委会会议纪要一般由党委书记签发。</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12、与会人员要严格遵守保密纪律，不得向外泄露应当保密的会议内容和讨论情况。未经允许，不得将秘密文件或要求留在会场的材料带出会场。</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13、坚持和健全新区办党委民主生活会制度。民主生活会每年召开一次，根据实际需要也可增加次数。民主生活会要认真准备，保证质量。召开民主生活会前，应广泛征求意见，认真撰写分析检查材料，会上开展积极的善意的实事求是的批评和自我批评，会后如实上报民主生活会情况和整改措施。</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14、坚持和完善党委中心组理论学习制度，认真贯彻党中央部署和要求，牢牢把握学习的方向、主题和重点，不断提升新区党委中心组学习的质量和水平，切实加强党委会自身思想理论建设。</w:t>
      </w:r>
    </w:p>
    <w:p>
      <w:pPr>
        <w:adjustRightInd w:val="0"/>
        <w:snapToGrid w:val="0"/>
        <w:spacing w:line="360" w:lineRule="auto"/>
        <w:ind w:firstLine="640" w:firstLineChars="200"/>
        <w:outlineLvl w:val="0"/>
        <w:rPr>
          <w:rFonts w:hint="eastAsia" w:ascii="黑体" w:hAnsi="黑体" w:eastAsia="黑体" w:cs="黑体"/>
          <w:b w:val="0"/>
          <w:bCs/>
          <w:color w:val="auto"/>
          <w:sz w:val="32"/>
          <w:szCs w:val="32"/>
          <w:lang w:eastAsia="zh-CN"/>
        </w:rPr>
      </w:pPr>
      <w:bookmarkStart w:id="16" w:name="_Toc13123"/>
      <w:bookmarkStart w:id="17" w:name="_Toc19273"/>
      <w:bookmarkStart w:id="18" w:name="_Toc10573"/>
      <w:bookmarkStart w:id="19" w:name="_Toc13214"/>
      <w:bookmarkStart w:id="20" w:name="_Toc13464"/>
      <w:r>
        <w:rPr>
          <w:rFonts w:hint="eastAsia" w:ascii="黑体" w:hAnsi="黑体" w:eastAsia="黑体" w:cs="黑体"/>
          <w:b w:val="0"/>
          <w:bCs/>
          <w:color w:val="auto"/>
          <w:sz w:val="32"/>
          <w:szCs w:val="32"/>
          <w:lang w:eastAsia="zh-CN"/>
        </w:rPr>
        <w:t>四、执行及监督</w:t>
      </w:r>
      <w:bookmarkEnd w:id="16"/>
      <w:bookmarkEnd w:id="17"/>
      <w:bookmarkEnd w:id="18"/>
      <w:bookmarkEnd w:id="19"/>
      <w:bookmarkEnd w:id="20"/>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1、党委委员应当根据党委会职责清单制度、工作分工和集体决定，勇于担当、敢于负责，切实履行职责；对不属于自己分管的工作，也应当从全局出发关心支持，加强研究，积极提出意见和建议。</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2、党委会作出的决策，由党委委员分工负责组织实施，党委书记对组织实施工作负总责。</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3、党委会决定的事项，由党办及时通知承办局办、公司抓好落实，并会同有关部门对贯彻落实情况进行督查，并将落实情况及时向党委作出书面报告。</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4、党委委员必须坚决执行党委会的决议、决定，在执行中如发现新的情况需要复议，经党委书记同意后，可在党委会上复议。但在重新作出决定前，不得有任何与党委会决议、决定相违背的言论和行动。</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5、党委委员应当在党性原则基础上维护团结，互相信任、互相谅解、互相支持、互相监督。</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6、党委会所通过的决议和文件，凡可以传达的，经批准，应及时传达到规定的范围。宜于公开发布的决议和文件，经批准后，可通过新闻媒介及时公开发布。</w:t>
      </w:r>
    </w:p>
    <w:p>
      <w:pPr>
        <w:adjustRightInd w:val="0"/>
        <w:snapToGrid w:val="0"/>
        <w:spacing w:line="360" w:lineRule="auto"/>
        <w:ind w:firstLine="640" w:firstLineChars="200"/>
        <w:outlineLvl w:val="0"/>
        <w:rPr>
          <w:rFonts w:hint="eastAsia" w:ascii="楷体_GB2312" w:hAnsi="仿宋" w:eastAsia="楷体_GB2312"/>
          <w:b/>
          <w:color w:val="auto"/>
          <w:sz w:val="32"/>
          <w:szCs w:val="32"/>
        </w:rPr>
      </w:pPr>
      <w:bookmarkStart w:id="21" w:name="_Toc21178"/>
      <w:bookmarkStart w:id="22" w:name="_Toc1482"/>
      <w:bookmarkStart w:id="23" w:name="_Toc10100"/>
      <w:bookmarkStart w:id="24" w:name="_Toc12090"/>
      <w:bookmarkStart w:id="25" w:name="_Toc1120"/>
      <w:r>
        <w:rPr>
          <w:rFonts w:hint="eastAsia" w:ascii="黑体" w:hAnsi="黑体" w:eastAsia="黑体" w:cs="黑体"/>
          <w:b w:val="0"/>
          <w:bCs/>
          <w:color w:val="auto"/>
          <w:sz w:val="32"/>
          <w:szCs w:val="32"/>
          <w:lang w:eastAsia="zh-CN"/>
        </w:rPr>
        <w:t>五、文件审批制度</w:t>
      </w:r>
      <w:bookmarkEnd w:id="21"/>
      <w:bookmarkEnd w:id="22"/>
      <w:bookmarkEnd w:id="23"/>
      <w:bookmarkEnd w:id="24"/>
      <w:bookmarkEnd w:id="25"/>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1、以党委名义上报上级党组织的请示报告和下发的全局性工作的方针、政策性文件，原则上应当经党委会讨论通过后，由党委书记签发。</w:t>
      </w:r>
    </w:p>
    <w:p>
      <w:pPr>
        <w:adjustRightInd w:val="0"/>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2、以党委名义上报或下发的涉及某个方面的文件，经党委书记、有关党委委员审阅同意后，由党委书记签发。</w:t>
      </w:r>
    </w:p>
    <w:p>
      <w:pPr>
        <w:adjustRightInd w:val="0"/>
        <w:snapToGrid w:val="0"/>
        <w:spacing w:line="360" w:lineRule="auto"/>
        <w:ind w:firstLine="640" w:firstLineChars="200"/>
        <w:rPr>
          <w:rFonts w:hint="eastAsia" w:ascii="仿宋" w:hAnsi="仿宋" w:eastAsia="仿宋" w:cs="仿宋"/>
          <w:color w:val="auto"/>
          <w:sz w:val="32"/>
          <w:szCs w:val="32"/>
        </w:rPr>
      </w:pPr>
    </w:p>
    <w:p>
      <w:pPr>
        <w:adjustRightInd w:val="0"/>
        <w:snapToGrid w:val="0"/>
        <w:spacing w:line="360" w:lineRule="auto"/>
        <w:ind w:firstLine="640" w:firstLineChars="200"/>
        <w:rPr>
          <w:rFonts w:hint="eastAsia" w:ascii="仿宋" w:hAnsi="仿宋" w:eastAsia="仿宋" w:cs="仿宋"/>
          <w:color w:val="auto"/>
          <w:sz w:val="32"/>
          <w:szCs w:val="32"/>
        </w:rPr>
      </w:pPr>
    </w:p>
    <w:p>
      <w:pPr>
        <w:adjustRightInd w:val="0"/>
        <w:snapToGrid w:val="0"/>
        <w:spacing w:line="360" w:lineRule="auto"/>
        <w:ind w:firstLine="640" w:firstLineChars="200"/>
        <w:rPr>
          <w:rFonts w:hint="eastAsia" w:ascii="仿宋" w:hAnsi="仿宋" w:eastAsia="仿宋" w:cs="仿宋"/>
          <w:color w:val="auto"/>
          <w:sz w:val="32"/>
          <w:szCs w:val="32"/>
        </w:rPr>
      </w:pPr>
    </w:p>
    <w:p>
      <w:pPr>
        <w:adjustRightInd w:val="0"/>
        <w:snapToGrid w:val="0"/>
        <w:spacing w:line="360" w:lineRule="auto"/>
        <w:ind w:firstLine="640" w:firstLineChars="200"/>
        <w:rPr>
          <w:rFonts w:hint="eastAsia" w:ascii="仿宋" w:hAnsi="仿宋" w:eastAsia="仿宋" w:cs="仿宋"/>
          <w:color w:val="auto"/>
          <w:sz w:val="32"/>
          <w:szCs w:val="32"/>
        </w:rPr>
      </w:pPr>
    </w:p>
    <w:p>
      <w:pPr>
        <w:adjustRightInd w:val="0"/>
        <w:snapToGrid w:val="0"/>
        <w:spacing w:line="360" w:lineRule="auto"/>
        <w:ind w:firstLine="640" w:firstLineChars="200"/>
        <w:rPr>
          <w:rFonts w:hint="eastAsia" w:ascii="仿宋" w:hAnsi="仿宋" w:eastAsia="仿宋" w:cs="仿宋"/>
          <w:color w:val="auto"/>
          <w:sz w:val="32"/>
          <w:szCs w:val="32"/>
        </w:rPr>
      </w:pPr>
    </w:p>
    <w:p>
      <w:pPr>
        <w:adjustRightInd w:val="0"/>
        <w:snapToGrid w:val="0"/>
        <w:spacing w:line="360" w:lineRule="auto"/>
        <w:ind w:firstLine="640" w:firstLineChars="200"/>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anchor distT="0" distB="0" distL="114300" distR="114300" simplePos="0" relativeHeight="251666432" behindDoc="0" locked="0" layoutInCell="1" allowOverlap="1">
            <wp:simplePos x="0" y="0"/>
            <wp:positionH relativeFrom="column">
              <wp:posOffset>-174625</wp:posOffset>
            </wp:positionH>
            <wp:positionV relativeFrom="paragraph">
              <wp:posOffset>-209550</wp:posOffset>
            </wp:positionV>
            <wp:extent cx="5618480" cy="7338060"/>
            <wp:effectExtent l="0" t="0" r="1270" b="15240"/>
            <wp:wrapNone/>
            <wp:docPr id="31" name="图片 31"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未命名文件"/>
                    <pic:cNvPicPr>
                      <a:picLocks noChangeAspect="1"/>
                    </pic:cNvPicPr>
                  </pic:nvPicPr>
                  <pic:blipFill>
                    <a:blip r:embed="rId12"/>
                    <a:stretch>
                      <a:fillRect/>
                    </a:stretch>
                  </pic:blipFill>
                  <pic:spPr>
                    <a:xfrm>
                      <a:off x="0" y="0"/>
                      <a:ext cx="5618480" cy="7338060"/>
                    </a:xfrm>
                    <a:prstGeom prst="rect">
                      <a:avLst/>
                    </a:prstGeom>
                  </pic:spPr>
                </pic:pic>
              </a:graphicData>
            </a:graphic>
          </wp:anchor>
        </w:drawing>
      </w: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center"/>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jc w:val="both"/>
        <w:rPr>
          <w:rFonts w:hint="eastAsia" w:ascii="宋体" w:hAnsi="宋体"/>
          <w:b/>
          <w:color w:val="auto"/>
          <w:sz w:val="44"/>
          <w:szCs w:val="44"/>
        </w:rPr>
      </w:pPr>
    </w:p>
    <w:p>
      <w:pPr>
        <w:pStyle w:val="2"/>
        <w:bidi w:val="0"/>
        <w:rPr>
          <w:rFonts w:hint="eastAsia"/>
          <w:color w:val="auto"/>
        </w:rPr>
      </w:pPr>
      <w:bookmarkStart w:id="26" w:name="_Toc22867"/>
      <w:r>
        <w:rPr>
          <w:rFonts w:hint="eastAsia"/>
          <w:color w:val="auto"/>
          <w:lang w:val="en-US" w:eastAsia="zh-CN"/>
        </w:rPr>
        <w:t>2、</w:t>
      </w:r>
      <w:r>
        <w:rPr>
          <w:rFonts w:hint="eastAsia"/>
          <w:color w:val="auto"/>
          <w:lang w:eastAsia="zh-CN"/>
        </w:rPr>
        <w:t>主任办公会</w:t>
      </w:r>
      <w:r>
        <w:rPr>
          <w:rFonts w:hint="eastAsia"/>
          <w:color w:val="auto"/>
        </w:rPr>
        <w:t>议事规则</w:t>
      </w:r>
      <w:bookmarkEnd w:id="26"/>
    </w:p>
    <w:p>
      <w:pPr>
        <w:ind w:firstLine="640" w:firstLineChars="200"/>
        <w:outlineLvl w:val="0"/>
        <w:rPr>
          <w:rFonts w:hint="eastAsia" w:ascii="黑体" w:eastAsia="黑体"/>
          <w:color w:val="auto"/>
          <w:sz w:val="32"/>
          <w:szCs w:val="32"/>
        </w:rPr>
      </w:pPr>
      <w:bookmarkStart w:id="27" w:name="_Toc15989"/>
      <w:bookmarkStart w:id="28" w:name="_Toc13925"/>
      <w:bookmarkStart w:id="29" w:name="_Toc27023"/>
      <w:bookmarkStart w:id="30" w:name="_Toc8385"/>
      <w:bookmarkStart w:id="31" w:name="_Toc1841"/>
      <w:r>
        <w:rPr>
          <w:rFonts w:hint="eastAsia" w:ascii="黑体" w:eastAsia="黑体"/>
          <w:color w:val="auto"/>
          <w:sz w:val="32"/>
          <w:szCs w:val="32"/>
        </w:rPr>
        <w:t>一、会议总体要求</w:t>
      </w:r>
      <w:bookmarkEnd w:id="27"/>
      <w:bookmarkEnd w:id="28"/>
      <w:bookmarkEnd w:id="29"/>
      <w:bookmarkEnd w:id="30"/>
      <w:bookmarkEnd w:id="31"/>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（一）行政办公室负责会议管理，新区主任办公会需主要领导批准，其他各局办召开的会议需分管领导批准。</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（二）会务工作主要由行政办公室承办，其他部门主办或召集的会议，行政办公室应予以协助。</w:t>
      </w:r>
    </w:p>
    <w:p>
      <w:pPr>
        <w:adjustRightInd w:val="0"/>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（三）各局办组织的会议，在召开前要向行政办公室提报会议召开时间、</w:t>
      </w:r>
      <w:r>
        <w:rPr>
          <w:rFonts w:hint="eastAsia" w:ascii="仿宋" w:hAnsi="仿宋" w:eastAsia="仿宋" w:cs="仿宋"/>
          <w:color w:val="auto"/>
          <w:sz w:val="32"/>
          <w:szCs w:val="32"/>
          <w:lang w:eastAsia="zh-CN"/>
        </w:rPr>
        <w:t>提交人、汇报人、</w:t>
      </w:r>
      <w:r>
        <w:rPr>
          <w:rFonts w:hint="eastAsia" w:ascii="仿宋" w:hAnsi="仿宋" w:eastAsia="仿宋" w:cs="仿宋"/>
          <w:color w:val="auto"/>
          <w:sz w:val="32"/>
          <w:szCs w:val="32"/>
        </w:rPr>
        <w:t>会议</w:t>
      </w:r>
      <w:r>
        <w:rPr>
          <w:rFonts w:hint="eastAsia" w:ascii="仿宋" w:hAnsi="仿宋" w:eastAsia="仿宋" w:cs="仿宋"/>
          <w:color w:val="auto"/>
          <w:sz w:val="32"/>
          <w:szCs w:val="32"/>
          <w:lang w:eastAsia="zh-CN"/>
        </w:rPr>
        <w:t>名称及参加人员</w:t>
      </w:r>
      <w:r>
        <w:rPr>
          <w:rFonts w:hint="eastAsia" w:ascii="仿宋" w:hAnsi="仿宋" w:eastAsia="仿宋" w:cs="仿宋"/>
          <w:color w:val="auto"/>
          <w:sz w:val="32"/>
          <w:szCs w:val="32"/>
        </w:rPr>
        <w:t>等相关信息，由行政办公室审核后方可召开，一般情况下</w:t>
      </w:r>
      <w:r>
        <w:rPr>
          <w:rFonts w:hint="eastAsia" w:ascii="仿宋" w:hAnsi="仿宋" w:eastAsia="仿宋" w:cs="仿宋"/>
          <w:color w:val="auto"/>
          <w:sz w:val="32"/>
          <w:szCs w:val="32"/>
          <w:lang w:eastAsia="zh-CN"/>
        </w:rPr>
        <w:t>每个议题汇报时间不得超过</w:t>
      </w:r>
      <w:r>
        <w:rPr>
          <w:rFonts w:hint="eastAsia" w:ascii="仿宋" w:hAnsi="仿宋" w:eastAsia="仿宋" w:cs="仿宋"/>
          <w:color w:val="auto"/>
          <w:sz w:val="32"/>
          <w:szCs w:val="32"/>
          <w:lang w:val="en-US" w:eastAsia="zh-CN"/>
        </w:rPr>
        <w:t>10分钟，</w:t>
      </w:r>
      <w:r>
        <w:rPr>
          <w:rFonts w:hint="eastAsia" w:ascii="仿宋" w:hAnsi="仿宋" w:eastAsia="仿宋" w:cs="仿宋"/>
          <w:color w:val="auto"/>
          <w:sz w:val="32"/>
          <w:szCs w:val="32"/>
        </w:rPr>
        <w:t>会议持续时间不得超过2个小时。</w:t>
      </w:r>
    </w:p>
    <w:p>
      <w:pPr>
        <w:adjustRightInd w:val="0"/>
        <w:snapToGrid w:val="0"/>
        <w:spacing w:line="360" w:lineRule="auto"/>
        <w:ind w:firstLine="640" w:firstLineChars="200"/>
        <w:outlineLvl w:val="0"/>
        <w:rPr>
          <w:rFonts w:hint="eastAsia" w:ascii="黑体" w:hAnsi="仿宋" w:eastAsia="黑体"/>
          <w:color w:val="auto"/>
          <w:sz w:val="32"/>
          <w:szCs w:val="32"/>
        </w:rPr>
      </w:pPr>
      <w:bookmarkStart w:id="32" w:name="_Toc13525"/>
      <w:bookmarkStart w:id="33" w:name="_Toc23096"/>
      <w:bookmarkStart w:id="34" w:name="_Toc28869"/>
      <w:bookmarkStart w:id="35" w:name="_Toc1711"/>
      <w:bookmarkStart w:id="36" w:name="_Toc2612"/>
      <w:r>
        <w:rPr>
          <w:rFonts w:hint="eastAsia" w:ascii="黑体" w:eastAsia="黑体"/>
          <w:color w:val="auto"/>
          <w:sz w:val="32"/>
          <w:szCs w:val="32"/>
        </w:rPr>
        <w:t>二、主任办公会</w:t>
      </w:r>
      <w:bookmarkEnd w:id="32"/>
      <w:bookmarkEnd w:id="33"/>
      <w:bookmarkEnd w:id="34"/>
      <w:bookmarkEnd w:id="35"/>
      <w:bookmarkEnd w:id="36"/>
    </w:p>
    <w:p>
      <w:pPr>
        <w:pStyle w:val="8"/>
        <w:widowControl w:val="0"/>
        <w:shd w:val="clear" w:color="auto" w:fill="FFFFFF"/>
        <w:adjustRightInd w:val="0"/>
        <w:snapToGrid w:val="0"/>
        <w:spacing w:before="0" w:beforeAutospacing="0" w:after="0" w:afterAutospacing="0" w:line="360" w:lineRule="auto"/>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（一）主任办公会由主任主持召开，副主任参加，必要时可视会议的不同由涉及到的局（办）负责人参加，主任因故不能出席会议时，由主任委托副主任主持。</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（二）参加主任办公会的人员应在会前做好议事的准备工作，凡因故不能出席会议的须会前向主持人请假。各参会人员要严格掌控发言时间，无特殊情况会议时间不得超过3小时。</w:t>
      </w:r>
    </w:p>
    <w:p>
      <w:pPr>
        <w:pStyle w:val="8"/>
        <w:widowControl w:val="0"/>
        <w:shd w:val="clear" w:color="auto" w:fill="FFFFFF"/>
        <w:adjustRightInd w:val="0"/>
        <w:snapToGrid w:val="0"/>
        <w:spacing w:before="0" w:beforeAutospacing="0" w:after="0" w:afterAutospacing="0" w:line="360" w:lineRule="auto"/>
        <w:ind w:firstLine="640" w:firstLineChars="200"/>
        <w:jc w:val="both"/>
        <w:rPr>
          <w:rStyle w:val="13"/>
          <w:rFonts w:hint="eastAsia" w:ascii="仿宋" w:hAnsi="仿宋" w:eastAsia="仿宋" w:cs="仿宋"/>
          <w:b w:val="0"/>
          <w:bCs w:val="0"/>
          <w:color w:val="auto"/>
          <w:sz w:val="32"/>
          <w:szCs w:val="32"/>
        </w:rPr>
      </w:pPr>
      <w:r>
        <w:rPr>
          <w:rStyle w:val="13"/>
          <w:rFonts w:hint="eastAsia" w:ascii="仿宋" w:hAnsi="仿宋" w:eastAsia="仿宋" w:cs="仿宋"/>
          <w:b w:val="0"/>
          <w:color w:val="auto"/>
          <w:sz w:val="32"/>
          <w:szCs w:val="32"/>
        </w:rPr>
        <w:t>（三）</w:t>
      </w:r>
      <w:r>
        <w:rPr>
          <w:rFonts w:hint="eastAsia" w:ascii="仿宋" w:hAnsi="仿宋" w:eastAsia="仿宋" w:cs="仿宋"/>
          <w:color w:val="auto"/>
          <w:sz w:val="32"/>
          <w:szCs w:val="32"/>
        </w:rPr>
        <w:t>主任办公会每月召开1次，召开时间为每月月初举行。如遇特殊或紧急情况可随时召开。</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hint="eastAsia" w:ascii="仿宋" w:hAnsi="仿宋" w:eastAsia="仿宋" w:cs="仿宋"/>
          <w:color w:val="auto"/>
          <w:sz w:val="32"/>
          <w:szCs w:val="32"/>
        </w:rPr>
      </w:pPr>
      <w:r>
        <w:rPr>
          <w:rStyle w:val="13"/>
          <w:rFonts w:hint="eastAsia" w:ascii="仿宋" w:hAnsi="仿宋" w:eastAsia="仿宋" w:cs="仿宋"/>
          <w:b w:val="0"/>
          <w:color w:val="auto"/>
          <w:sz w:val="32"/>
          <w:szCs w:val="32"/>
        </w:rPr>
        <w:t>（四）主任办公会议事范围和内容包括：</w:t>
      </w:r>
      <w:r>
        <w:rPr>
          <w:rFonts w:hint="eastAsia" w:ascii="仿宋" w:hAnsi="仿宋" w:eastAsia="仿宋" w:cs="仿宋"/>
          <w:color w:val="auto"/>
          <w:sz w:val="32"/>
          <w:szCs w:val="32"/>
        </w:rPr>
        <w:t>贯彻学习党和国家的方针政策及上级主管部门重要指示、工作部署和决定；讨论制定新区工作安排、</w:t>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"http://www.gwyoo.com/article/shuzhibaogao/"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工作</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"http://www.gwyoo.com/article/shuzhibaogao/"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总结</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及临时性的</w:t>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"http://www.gwyoo.com/lunwen/xingzhenglunwen/"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行政</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管理工作任务；研究新区招商引资、工程</w:t>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"http://www.gwyoo.com/lunwen/jsztlw/"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建设</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、安全生产、项目争取、征地拆迁、城市管理、规划审批、社区建设管理等工作；讨论、决定涉及新区需要协调的重要事宜及日常工作中的突出问题；听取</w:t>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"http://www.gwyoo.com/lunwen/jjgl/caiwu/"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财务</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收支状况汇报，研究较大财务开支等问题。</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五）每月由行政办公室负责向各分管领导收集议题，并整理后报主任或受委托副主任审定；主任或受委托副主任应在开会前一个工作日内确定上会议题；上会议题由提议的分管领导和提议局办以书面形式列出议事提纲并提出初步意见上会议定。</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（六）无论上会议题被议定或否定，都应记录在册。重大事项或需要上报下发的决定，形成会议纪要报主任审签后行文。</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hint="eastAsia" w:ascii="仿宋_GB2312" w:hAnsi="仿宋" w:eastAsia="仿宋_GB2312"/>
          <w:color w:val="auto"/>
          <w:sz w:val="32"/>
          <w:szCs w:val="32"/>
        </w:rPr>
      </w:pPr>
      <w:r>
        <w:rPr>
          <w:rFonts w:hint="eastAsia" w:ascii="仿宋" w:hAnsi="仿宋" w:eastAsia="仿宋" w:cs="仿宋"/>
          <w:color w:val="auto"/>
          <w:sz w:val="32"/>
          <w:szCs w:val="32"/>
        </w:rPr>
        <w:t>（七）主任办公会形成的决定决议事项由行政办公室负责督办，并将督办情况及时向领导成员反馈,并在下次主任办公会上进行通报，对未完成决定和决议的局办则由主任办公会提出批评，承办局办作出说明。</w:t>
      </w:r>
    </w:p>
    <w:p>
      <w:pPr>
        <w:adjustRightInd w:val="0"/>
        <w:snapToGrid w:val="0"/>
        <w:spacing w:line="360" w:lineRule="auto"/>
        <w:ind w:firstLine="630"/>
        <w:rPr>
          <w:rFonts w:hint="eastAsia" w:ascii="仿宋" w:hAnsi="仿宋" w:eastAsia="仿宋" w:cs="仿宋"/>
          <w:color w:val="auto"/>
          <w:sz w:val="32"/>
          <w:szCs w:val="32"/>
        </w:rPr>
      </w:pPr>
      <w:r>
        <w:rPr>
          <w:rFonts w:hint="eastAsia" w:ascii="仿宋" w:hAnsi="仿宋" w:eastAsia="仿宋" w:cs="仿宋"/>
          <w:color w:val="auto"/>
          <w:sz w:val="32"/>
          <w:szCs w:val="32"/>
        </w:rPr>
        <w:t>本规则自发布之日起实施。</w:t>
      </w:r>
    </w:p>
    <w:p>
      <w:pPr>
        <w:adjustRightInd w:val="0"/>
        <w:snapToGrid w:val="0"/>
        <w:spacing w:line="360" w:lineRule="auto"/>
        <w:ind w:firstLine="630"/>
        <w:rPr>
          <w:rFonts w:hint="eastAsia" w:ascii="仿宋" w:hAnsi="仿宋" w:eastAsia="仿宋" w:cs="仿宋"/>
          <w:color w:val="auto"/>
          <w:sz w:val="32"/>
          <w:szCs w:val="32"/>
        </w:rPr>
      </w:pPr>
    </w:p>
    <w:p>
      <w:pPr>
        <w:adjustRightInd w:val="0"/>
        <w:snapToGrid w:val="0"/>
        <w:spacing w:line="360" w:lineRule="auto"/>
        <w:ind w:firstLine="630"/>
        <w:rPr>
          <w:rFonts w:hint="eastAsia" w:ascii="仿宋" w:hAnsi="仿宋" w:eastAsia="仿宋" w:cs="仿宋"/>
          <w:color w:val="auto"/>
          <w:sz w:val="32"/>
          <w:szCs w:val="32"/>
        </w:rPr>
      </w:pPr>
    </w:p>
    <w:p>
      <w:pPr>
        <w:adjustRightInd w:val="0"/>
        <w:snapToGrid w:val="0"/>
        <w:spacing w:line="360" w:lineRule="auto"/>
        <w:ind w:firstLine="63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270500" cy="7440930"/>
            <wp:effectExtent l="0" t="0" r="6350" b="7620"/>
            <wp:docPr id="106" name="图片 106" descr="主任办公会议事规则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主任办公会议事规则流程"/>
                    <pic:cNvPicPr>
                      <a:picLocks noChangeAspect="1"/>
                    </pic:cNvPicPr>
                  </pic:nvPicPr>
                  <pic:blipFill>
                    <a:blip r:embed="rId13"/>
                    <a:stretch>
                      <a:fillRect/>
                    </a:stretch>
                  </pic:blipFill>
                  <pic:spPr>
                    <a:xfrm>
                      <a:off x="0" y="0"/>
                      <a:ext cx="5270500" cy="7440930"/>
                    </a:xfrm>
                    <a:prstGeom prst="rect">
                      <a:avLst/>
                    </a:prstGeom>
                  </pic:spPr>
                </pic:pic>
              </a:graphicData>
            </a:graphic>
          </wp:inline>
        </w:drawing>
      </w:r>
    </w:p>
    <w:p>
      <w:pPr>
        <w:adjustRightInd w:val="0"/>
        <w:snapToGrid w:val="0"/>
        <w:spacing w:line="360" w:lineRule="auto"/>
        <w:ind w:firstLine="630"/>
        <w:rPr>
          <w:rFonts w:hint="eastAsia" w:ascii="仿宋" w:hAnsi="仿宋" w:eastAsia="仿宋" w:cs="仿宋"/>
          <w:color w:val="auto"/>
          <w:sz w:val="32"/>
          <w:szCs w:val="32"/>
        </w:rPr>
      </w:pPr>
    </w:p>
    <w:p>
      <w:pPr>
        <w:pStyle w:val="2"/>
        <w:bidi w:val="0"/>
        <w:jc w:val="center"/>
        <w:rPr>
          <w:rFonts w:hint="eastAsia" w:ascii="仿宋" w:hAnsi="仿宋" w:eastAsia="仿宋"/>
          <w:color w:val="auto"/>
          <w:sz w:val="32"/>
          <w:szCs w:val="32"/>
          <w:lang w:val="en-US" w:eastAsia="zh-CN"/>
        </w:rPr>
      </w:pPr>
      <w:bookmarkStart w:id="37" w:name="_Toc23099"/>
      <w:r>
        <w:rPr>
          <w:rFonts w:hint="eastAsia"/>
          <w:color w:val="auto"/>
          <w:lang w:val="en-US" w:eastAsia="zh-CN"/>
        </w:rPr>
        <w:t>3、</w:t>
      </w:r>
      <w:r>
        <w:rPr>
          <w:rFonts w:hint="eastAsia"/>
          <w:color w:val="auto"/>
        </w:rPr>
        <w:t>“一把手”“五个不直接分管”和末位表态工作制度</w:t>
      </w:r>
      <w:bookmarkEnd w:id="37"/>
    </w:p>
    <w:p>
      <w:pPr>
        <w:adjustRightInd w:val="0"/>
        <w:snapToGrid w:val="0"/>
        <w:spacing w:line="360" w:lineRule="auto"/>
        <w:ind w:firstLine="640" w:firstLineChars="200"/>
        <w:rPr>
          <w:rFonts w:ascii="仿宋" w:hAnsi="仿宋" w:eastAsia="仿宋"/>
          <w:color w:val="auto"/>
          <w:sz w:val="32"/>
          <w:szCs w:val="32"/>
        </w:rPr>
      </w:pPr>
      <w:r>
        <w:rPr>
          <w:rFonts w:hint="eastAsia" w:ascii="仿宋" w:hAnsi="仿宋" w:eastAsia="仿宋"/>
          <w:color w:val="auto"/>
          <w:sz w:val="32"/>
          <w:szCs w:val="32"/>
        </w:rPr>
        <w:t>为进一步规范新区的权力公开透明运行机制，强化对“一把手”权力的监督制约，加大源头预防和治理腐败工作的力度，根据《中国共产党党内监督条例（试行）》等有关党纪法规等文件精神，实行新区“一把手”“五个不直接分管”和末位表态工作制度</w:t>
      </w:r>
    </w:p>
    <w:p>
      <w:pPr>
        <w:adjustRightInd w:val="0"/>
        <w:snapToGrid w:val="0"/>
        <w:spacing w:line="360" w:lineRule="auto"/>
        <w:outlineLvl w:val="0"/>
        <w:rPr>
          <w:rFonts w:ascii="黑体" w:hAnsi="黑体" w:eastAsia="黑体"/>
          <w:b/>
          <w:color w:val="auto"/>
          <w:sz w:val="32"/>
          <w:szCs w:val="32"/>
        </w:rPr>
      </w:pPr>
      <w:r>
        <w:rPr>
          <w:rFonts w:hint="eastAsia" w:ascii="黑体" w:hAnsi="黑体" w:eastAsia="黑体"/>
          <w:b/>
          <w:color w:val="auto"/>
          <w:sz w:val="32"/>
          <w:szCs w:val="32"/>
        </w:rPr>
        <w:t>　　</w:t>
      </w:r>
      <w:bookmarkStart w:id="38" w:name="_Toc495"/>
      <w:bookmarkStart w:id="39" w:name="_Toc11784"/>
      <w:bookmarkStart w:id="40" w:name="_Toc32740"/>
      <w:bookmarkStart w:id="41" w:name="_Toc19237"/>
      <w:bookmarkStart w:id="42" w:name="_Toc1014"/>
      <w:r>
        <w:rPr>
          <w:rFonts w:hint="eastAsia" w:ascii="黑体" w:hAnsi="黑体" w:eastAsia="黑体"/>
          <w:b w:val="0"/>
          <w:bCs/>
          <w:color w:val="auto"/>
          <w:sz w:val="32"/>
          <w:szCs w:val="32"/>
        </w:rPr>
        <w:t>一、指导思想</w:t>
      </w:r>
      <w:bookmarkEnd w:id="38"/>
      <w:bookmarkEnd w:id="39"/>
      <w:bookmarkEnd w:id="40"/>
      <w:bookmarkEnd w:id="41"/>
      <w:bookmarkEnd w:id="42"/>
    </w:p>
    <w:p>
      <w:pPr>
        <w:adjustRightInd w:val="0"/>
        <w:snapToGrid w:val="0"/>
        <w:spacing w:line="360" w:lineRule="auto"/>
        <w:rPr>
          <w:rFonts w:ascii="仿宋" w:hAnsi="仿宋" w:eastAsia="仿宋"/>
          <w:color w:val="auto"/>
          <w:sz w:val="32"/>
          <w:szCs w:val="32"/>
        </w:rPr>
      </w:pPr>
      <w:r>
        <w:rPr>
          <w:rFonts w:hint="eastAsia" w:ascii="仿宋" w:hAnsi="仿宋" w:eastAsia="仿宋"/>
          <w:color w:val="auto"/>
          <w:sz w:val="32"/>
          <w:szCs w:val="32"/>
        </w:rPr>
        <w:t>　　以推进惩治和预防腐败体系建设为主线，以强化腐败风险防范机制为重点，按照决策、执行、监督既相互制约又相互协调的原则，建立健全“结构合理、配置科学、程序严密、制约有效”的权力运行机制，从制度上、机制上防止腐败现象的发生。</w:t>
      </w:r>
    </w:p>
    <w:p>
      <w:pPr>
        <w:adjustRightInd w:val="0"/>
        <w:snapToGrid w:val="0"/>
        <w:spacing w:line="360" w:lineRule="auto"/>
        <w:ind w:firstLine="630"/>
        <w:outlineLvl w:val="0"/>
        <w:rPr>
          <w:rFonts w:hint="eastAsia" w:ascii="黑体" w:hAnsi="黑体" w:eastAsia="黑体"/>
          <w:b w:val="0"/>
          <w:bCs/>
          <w:color w:val="auto"/>
          <w:sz w:val="32"/>
          <w:szCs w:val="32"/>
        </w:rPr>
      </w:pPr>
      <w:bookmarkStart w:id="43" w:name="_Toc19661"/>
      <w:bookmarkStart w:id="44" w:name="_Toc30349"/>
      <w:bookmarkStart w:id="45" w:name="_Toc24492"/>
      <w:bookmarkStart w:id="46" w:name="_Toc17509"/>
      <w:bookmarkStart w:id="47" w:name="_Toc1748"/>
      <w:r>
        <w:rPr>
          <w:rFonts w:hint="eastAsia" w:ascii="黑体" w:hAnsi="黑体" w:eastAsia="黑体"/>
          <w:b w:val="0"/>
          <w:bCs/>
          <w:color w:val="auto"/>
          <w:sz w:val="32"/>
          <w:szCs w:val="32"/>
        </w:rPr>
        <w:t>二、主要内容</w:t>
      </w:r>
      <w:bookmarkEnd w:id="43"/>
      <w:bookmarkEnd w:id="44"/>
      <w:bookmarkEnd w:id="45"/>
      <w:bookmarkEnd w:id="46"/>
      <w:bookmarkEnd w:id="47"/>
    </w:p>
    <w:p>
      <w:pPr>
        <w:adjustRightInd w:val="0"/>
        <w:snapToGrid w:val="0"/>
        <w:spacing w:line="360" w:lineRule="auto"/>
        <w:ind w:firstLine="630"/>
        <w:rPr>
          <w:rFonts w:hint="eastAsia" w:ascii="楷体" w:hAnsi="楷体" w:eastAsia="楷体"/>
          <w:b/>
          <w:color w:val="auto"/>
          <w:sz w:val="32"/>
          <w:szCs w:val="32"/>
        </w:rPr>
      </w:pPr>
      <w:r>
        <w:rPr>
          <w:rFonts w:hint="eastAsia" w:ascii="楷体" w:hAnsi="楷体" w:eastAsia="楷体"/>
          <w:b/>
          <w:color w:val="auto"/>
          <w:sz w:val="32"/>
          <w:szCs w:val="32"/>
        </w:rPr>
        <w:t xml:space="preserve">末位表态制度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 xml:space="preserve">为保证决策正确、科学，避免盲目决策、临时动议，特制定该末位表态制度。 </w:t>
      </w:r>
    </w:p>
    <w:p>
      <w:pPr>
        <w:adjustRightInd w:val="0"/>
        <w:snapToGrid w:val="0"/>
        <w:spacing w:line="360" w:lineRule="auto"/>
        <w:ind w:firstLine="480" w:firstLineChars="150"/>
        <w:rPr>
          <w:rFonts w:hint="eastAsia" w:ascii="仿宋" w:hAnsi="仿宋" w:eastAsia="仿宋"/>
          <w:color w:val="auto"/>
          <w:sz w:val="32"/>
          <w:szCs w:val="32"/>
        </w:rPr>
      </w:pPr>
      <w:r>
        <w:rPr>
          <w:rFonts w:hint="eastAsia" w:ascii="仿宋" w:hAnsi="仿宋" w:eastAsia="仿宋"/>
          <w:color w:val="auto"/>
          <w:sz w:val="32"/>
          <w:szCs w:val="32"/>
        </w:rPr>
        <w:t xml:space="preserve"> 一、“党委议事制度、民主集中、个别酝酿、会议决定”的原则。 </w:t>
      </w:r>
    </w:p>
    <w:p>
      <w:pPr>
        <w:adjustRightInd w:val="0"/>
        <w:snapToGrid w:val="0"/>
        <w:spacing w:line="360" w:lineRule="auto"/>
        <w:ind w:firstLine="480" w:firstLineChars="150"/>
        <w:rPr>
          <w:rFonts w:hint="eastAsia" w:ascii="仿宋" w:hAnsi="仿宋" w:eastAsia="仿宋"/>
          <w:color w:val="auto"/>
          <w:sz w:val="32"/>
          <w:szCs w:val="32"/>
        </w:rPr>
      </w:pPr>
      <w:r>
        <w:rPr>
          <w:rFonts w:hint="eastAsia" w:ascii="仿宋" w:hAnsi="仿宋" w:eastAsia="仿宋"/>
          <w:color w:val="auto"/>
          <w:sz w:val="32"/>
          <w:szCs w:val="32"/>
        </w:rPr>
        <w:t xml:space="preserve">二、党委议事程序按照“事前告发、充分讨论、末位定论、如实记录”程序进行。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1、事前告知：召开党委会议前，实现必须将议题告知班子成员，做到议事时心中有数，凡事前未告知的事项一律不上会，</w:t>
      </w:r>
      <w:r>
        <w:rPr>
          <w:rFonts w:hint="eastAsia" w:ascii="仿宋" w:hAnsi="仿宋"/>
          <w:color w:val="auto"/>
          <w:sz w:val="32"/>
          <w:szCs w:val="32"/>
          <w:lang w:eastAsia="zh-CN"/>
        </w:rPr>
        <w:t>任何人</w:t>
      </w:r>
      <w:r>
        <w:rPr>
          <w:rFonts w:hint="eastAsia" w:ascii="仿宋" w:hAnsi="仿宋" w:eastAsia="仿宋"/>
          <w:color w:val="auto"/>
          <w:sz w:val="32"/>
          <w:szCs w:val="32"/>
        </w:rPr>
        <w:t xml:space="preserve">不得临时动议。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2、充分讨论：凡集体研究</w:t>
      </w:r>
      <w:r>
        <w:rPr>
          <w:rFonts w:hint="eastAsia" w:ascii="仿宋" w:hAnsi="仿宋"/>
          <w:color w:val="auto"/>
          <w:sz w:val="32"/>
          <w:szCs w:val="32"/>
          <w:lang w:eastAsia="zh-CN"/>
        </w:rPr>
        <w:t>重要</w:t>
      </w:r>
      <w:r>
        <w:rPr>
          <w:rFonts w:hint="eastAsia" w:ascii="仿宋" w:hAnsi="仿宋" w:eastAsia="仿宋"/>
          <w:color w:val="auto"/>
          <w:sz w:val="32"/>
          <w:szCs w:val="32"/>
        </w:rPr>
        <w:t xml:space="preserve">事项，必须充分发扬民主。“一把手”不得先定调子，划定框架，班子成员就事论事，畅所欲言，各抒己见，认真磋商，人和人不得压制民主，思谋串通。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3、末位定</w:t>
      </w:r>
      <w:r>
        <w:rPr>
          <w:rFonts w:hint="eastAsia" w:ascii="仿宋" w:hAnsi="仿宋"/>
          <w:color w:val="auto"/>
          <w:sz w:val="32"/>
          <w:szCs w:val="32"/>
          <w:lang w:eastAsia="zh-CN"/>
        </w:rPr>
        <w:t>义</w:t>
      </w:r>
      <w:r>
        <w:rPr>
          <w:rFonts w:hint="eastAsia" w:ascii="仿宋" w:hAnsi="仿宋" w:eastAsia="仿宋"/>
          <w:color w:val="auto"/>
          <w:sz w:val="32"/>
          <w:szCs w:val="32"/>
        </w:rPr>
        <w:t xml:space="preserve">：班子集体研究重大事项，重大问题时，在充分发扬民主的基础上，最后由“一把手”综合集体意见作最后陈述表态，当意见不一，出现明显分歧时，按照少数服从多数原则，实行班子成员集体表决，但仍由“一把手”按照集体表决意见作最终表态。      </w:t>
      </w:r>
    </w:p>
    <w:p>
      <w:pPr>
        <w:adjustRightInd w:val="0"/>
        <w:snapToGrid w:val="0"/>
        <w:spacing w:line="360" w:lineRule="auto"/>
        <w:ind w:firstLine="640" w:firstLineChars="200"/>
        <w:rPr>
          <w:rFonts w:ascii="仿宋" w:hAnsi="仿宋" w:eastAsia="仿宋"/>
          <w:color w:val="auto"/>
          <w:sz w:val="32"/>
          <w:szCs w:val="32"/>
        </w:rPr>
      </w:pPr>
      <w:r>
        <w:rPr>
          <w:rFonts w:hint="eastAsia" w:ascii="仿宋" w:hAnsi="仿宋" w:eastAsia="仿宋"/>
          <w:color w:val="auto"/>
          <w:sz w:val="32"/>
          <w:szCs w:val="32"/>
        </w:rPr>
        <w:t>4、如实记录：对集体研究重大问题和事项，必须</w:t>
      </w:r>
      <w:r>
        <w:rPr>
          <w:rFonts w:hint="eastAsia" w:ascii="仿宋" w:hAnsi="仿宋"/>
          <w:color w:val="auto"/>
          <w:sz w:val="32"/>
          <w:szCs w:val="32"/>
          <w:lang w:eastAsia="zh-CN"/>
        </w:rPr>
        <w:t>指</w:t>
      </w:r>
      <w:r>
        <w:rPr>
          <w:rFonts w:hint="eastAsia" w:ascii="仿宋" w:hAnsi="仿宋" w:eastAsia="仿宋"/>
          <w:color w:val="auto"/>
          <w:sz w:val="32"/>
          <w:szCs w:val="32"/>
        </w:rPr>
        <w:t>定专人进行会议记录，对每位班子成员的陈述意见，特别是对最终决策内容必须详细，如实记录在案，作为决策责任的依据。</w:t>
      </w:r>
    </w:p>
    <w:p>
      <w:pPr>
        <w:adjustRightInd w:val="0"/>
        <w:snapToGrid w:val="0"/>
        <w:spacing w:line="360" w:lineRule="auto"/>
        <w:rPr>
          <w:rFonts w:hint="eastAsia" w:ascii="楷体" w:hAnsi="楷体" w:eastAsia="楷体"/>
          <w:b/>
          <w:color w:val="auto"/>
          <w:sz w:val="32"/>
          <w:szCs w:val="32"/>
        </w:rPr>
      </w:pPr>
      <w:r>
        <w:rPr>
          <w:rFonts w:hint="eastAsia" w:ascii="仿宋" w:hAnsi="仿宋" w:eastAsia="仿宋"/>
          <w:color w:val="auto"/>
          <w:sz w:val="32"/>
          <w:szCs w:val="32"/>
        </w:rPr>
        <w:t xml:space="preserve">    </w:t>
      </w:r>
      <w:r>
        <w:rPr>
          <w:rFonts w:hint="eastAsia" w:ascii="楷体" w:hAnsi="楷体" w:eastAsia="楷体"/>
          <w:b/>
          <w:color w:val="auto"/>
          <w:sz w:val="32"/>
          <w:szCs w:val="32"/>
        </w:rPr>
        <w:t xml:space="preserve">“五个不直接分管”制度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 xml:space="preserve">1、“一把手”不直接分管财务工作。“一把手”不直接分管、审批财务工作，由分管领导具体负责，完善财务管理制度，明确审批程序，实行分级负责制度，数额较小的由分管财务领导的审批，数额较大的开支须经领导班子集体审批。定期向全体班子成员报告单位财务运行情况，及时进行财务公开，接受民主监督。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2、“一把手”不直接分管组织人事工作。组织人事工作由分管领导具体负责，中层干部</w:t>
      </w:r>
      <w:r>
        <w:rPr>
          <w:rFonts w:hint="eastAsia" w:ascii="仿宋" w:hAnsi="仿宋"/>
          <w:color w:val="auto"/>
          <w:sz w:val="32"/>
          <w:szCs w:val="32"/>
          <w:lang w:eastAsia="zh-CN"/>
        </w:rPr>
        <w:t>提拔</w:t>
      </w:r>
      <w:r>
        <w:rPr>
          <w:rFonts w:hint="eastAsia" w:ascii="仿宋" w:hAnsi="仿宋" w:eastAsia="仿宋"/>
          <w:color w:val="auto"/>
          <w:sz w:val="32"/>
          <w:szCs w:val="32"/>
        </w:rPr>
        <w:t>任用、干部人事调动及重要岗位人员变动等，要经班子集体讨论决定。中层干部</w:t>
      </w:r>
      <w:r>
        <w:rPr>
          <w:rFonts w:hint="eastAsia" w:ascii="仿宋" w:hAnsi="仿宋"/>
          <w:color w:val="auto"/>
          <w:sz w:val="32"/>
          <w:szCs w:val="32"/>
          <w:lang w:eastAsia="zh-CN"/>
        </w:rPr>
        <w:t>提拔</w:t>
      </w:r>
      <w:r>
        <w:rPr>
          <w:rFonts w:hint="eastAsia" w:ascii="仿宋" w:hAnsi="仿宋" w:eastAsia="仿宋"/>
          <w:color w:val="auto"/>
          <w:sz w:val="32"/>
          <w:szCs w:val="32"/>
        </w:rPr>
        <w:t xml:space="preserve">任用要根据干部管理权限，严格按照干部选拔任用工作规定的原则、标准、程序进行。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 xml:space="preserve">3、“一把手”不直接分管建设工程招投标工作。按规定应进行招投标的工程建设项目，依法进入有形建筑市场，按照国家、省和市有关规定进行招投标，实行公开、公平竞争，任何人不得插手和干预招投标活动。不需要进行招投标的工程，要经领导班子集体研究决定，不允许个人内定施工单位。工程建设、招投标及竞价承包等一些重大问题要经班子集体讨论决定。招投标及竞价承包的方法、程序、结果要及时向班子和干部职工公开，接受干部群众的监督。工程建设及招标组织工作要确定一名分管领导具体负责，“一把手”要对组织实施情况进行监督检查。   </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 xml:space="preserve">4、“一把手”不直接分管行政审批工作。确定由分管领导具体负责，“一把手”要加强对行政审批工作的领导和监督，但不干涉行政审批的具体业务工作。   </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lang w:val="en-US" w:eastAsia="zh-CN"/>
        </w:rPr>
        <w:t>5</w:t>
      </w:r>
      <w:r>
        <w:rPr>
          <w:rFonts w:hint="eastAsia" w:ascii="仿宋" w:hAnsi="仿宋" w:eastAsia="仿宋"/>
          <w:color w:val="auto"/>
          <w:sz w:val="32"/>
          <w:szCs w:val="32"/>
        </w:rPr>
        <w:t>、“一把手”不直接分管物资采购工作。小额度的物资采购，由各局、办提出计划，经分管领导批准后，由各局、办负责采购。较大额度的物资采购，分管领导应请示主要领导同意后执行。凡采购列入政府采购目录的物资，要经班子集体研究后，由采购中心实行集中采购。“一把手”不得直接决定和从事任何大宗物资采购事宜。</w:t>
      </w: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pPr>
    </w:p>
    <w:p>
      <w:pPr>
        <w:ind w:firstLine="640" w:firstLineChars="200"/>
        <w:rPr>
          <w:rFonts w:hint="eastAsia" w:ascii="仿宋" w:hAnsi="仿宋" w:eastAsia="仿宋"/>
          <w:color w:val="auto"/>
          <w:sz w:val="32"/>
          <w:szCs w:val="32"/>
        </w:rPr>
        <w:sectPr>
          <w:footerReference r:id="rId6" w:type="default"/>
          <w:pgSz w:w="11906" w:h="16838"/>
          <w:pgMar w:top="1440" w:right="1800" w:bottom="1440" w:left="1800" w:header="851" w:footer="992" w:gutter="0"/>
          <w:pgNumType w:fmt="numberInDash" w:start="1"/>
          <w:cols w:space="720" w:num="1"/>
          <w:docGrid w:type="lines" w:linePitch="312" w:charSpace="0"/>
        </w:sectPr>
      </w:pPr>
    </w:p>
    <w:p>
      <w:pPr>
        <w:ind w:firstLine="640" w:firstLineChars="200"/>
        <w:rPr>
          <w:rFonts w:hint="eastAsia" w:ascii="仿宋" w:hAnsi="仿宋" w:eastAsia="仿宋"/>
          <w:color w:val="auto"/>
          <w:sz w:val="32"/>
          <w:szCs w:val="32"/>
          <w:lang w:eastAsia="zh-CN"/>
        </w:rPr>
        <w:sectPr>
          <w:pgSz w:w="11906" w:h="16838"/>
          <w:pgMar w:top="1440" w:right="1800" w:bottom="1440" w:left="1800" w:header="851" w:footer="992" w:gutter="0"/>
          <w:pgNumType w:fmt="numberInDash"/>
          <w:cols w:space="720" w:num="1"/>
          <w:docGrid w:type="lines" w:linePitch="312" w:charSpace="0"/>
        </w:sectPr>
      </w:pPr>
      <w:r>
        <w:rPr>
          <w:rFonts w:hint="eastAsia" w:ascii="仿宋" w:hAnsi="仿宋" w:eastAsia="仿宋"/>
          <w:color w:val="auto"/>
          <w:sz w:val="32"/>
          <w:szCs w:val="32"/>
          <w:lang w:eastAsia="zh-CN"/>
        </w:rPr>
        <w:drawing>
          <wp:anchor distT="0" distB="0" distL="114300" distR="114300" simplePos="0" relativeHeight="251668480" behindDoc="0" locked="0" layoutInCell="1" allowOverlap="1">
            <wp:simplePos x="0" y="0"/>
            <wp:positionH relativeFrom="column">
              <wp:posOffset>-387350</wp:posOffset>
            </wp:positionH>
            <wp:positionV relativeFrom="paragraph">
              <wp:posOffset>-15240</wp:posOffset>
            </wp:positionV>
            <wp:extent cx="6031230" cy="7974330"/>
            <wp:effectExtent l="0" t="0" r="7620" b="7620"/>
            <wp:wrapNone/>
            <wp:docPr id="34" name="图片 34"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未命名文件(2)"/>
                    <pic:cNvPicPr>
                      <a:picLocks noChangeAspect="1"/>
                    </pic:cNvPicPr>
                  </pic:nvPicPr>
                  <pic:blipFill>
                    <a:blip r:embed="rId14"/>
                    <a:stretch>
                      <a:fillRect/>
                    </a:stretch>
                  </pic:blipFill>
                  <pic:spPr>
                    <a:xfrm>
                      <a:off x="0" y="0"/>
                      <a:ext cx="6031230" cy="7974330"/>
                    </a:xfrm>
                    <a:prstGeom prst="rect">
                      <a:avLst/>
                    </a:prstGeom>
                  </pic:spPr>
                </pic:pic>
              </a:graphicData>
            </a:graphic>
          </wp:anchor>
        </w:drawing>
      </w:r>
    </w:p>
    <w:p>
      <w:pPr>
        <w:pStyle w:val="2"/>
        <w:bidi w:val="0"/>
        <w:rPr>
          <w:rFonts w:hint="eastAsia"/>
          <w:lang w:eastAsia="zh-CN"/>
        </w:rPr>
      </w:pPr>
      <w:bookmarkStart w:id="48" w:name="_Toc15028"/>
      <w:r>
        <w:rPr>
          <w:rFonts w:hint="eastAsia"/>
          <w:lang w:val="en-US" w:eastAsia="zh-CN"/>
        </w:rPr>
        <w:t>4、“三重一大”事项决策制度</w:t>
      </w:r>
      <w:bookmarkEnd w:id="48"/>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依据《中国共产党章程》、《中国共产党党内监督条例》的规定，为进一步提高领导班子民主、规范和科学决策水平，结合工作实际，特制定本规定。</w:t>
      </w:r>
    </w:p>
    <w:p>
      <w:pPr>
        <w:adjustRightInd w:val="0"/>
        <w:snapToGrid w:val="0"/>
        <w:spacing w:line="360" w:lineRule="auto"/>
        <w:ind w:firstLine="640" w:firstLineChars="200"/>
        <w:outlineLvl w:val="0"/>
        <w:rPr>
          <w:rFonts w:hint="eastAsia" w:ascii="黑体" w:hAnsi="黑体" w:eastAsia="黑体" w:cs="黑体"/>
          <w:color w:val="auto"/>
          <w:sz w:val="32"/>
          <w:szCs w:val="32"/>
        </w:rPr>
      </w:pPr>
      <w:bookmarkStart w:id="49" w:name="_Toc4266"/>
      <w:bookmarkStart w:id="50" w:name="_Toc1153"/>
      <w:bookmarkStart w:id="51" w:name="_Toc3726"/>
      <w:bookmarkStart w:id="52" w:name="_Toc2092"/>
      <w:bookmarkStart w:id="53" w:name="_Toc22927"/>
      <w:r>
        <w:rPr>
          <w:rFonts w:hint="eastAsia" w:ascii="黑体" w:hAnsi="黑体" w:eastAsia="黑体" w:cs="黑体"/>
          <w:color w:val="auto"/>
          <w:sz w:val="32"/>
          <w:szCs w:val="32"/>
        </w:rPr>
        <w:t>一、“三重一大”事项的主要内容</w:t>
      </w:r>
      <w:bookmarkEnd w:id="49"/>
      <w:bookmarkEnd w:id="50"/>
      <w:bookmarkEnd w:id="51"/>
      <w:bookmarkEnd w:id="52"/>
      <w:bookmarkEnd w:id="53"/>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（一）重大事项决策</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凡涉及本单位发展和稳定大局，关系干部切身利益的重大问题，均属于重大事项决策的范围，主要内容包括：</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1.党和国家的路线、方针、政策，上级有关会议和文件精神的学习、贯彻和落实；</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2.重大改革措施、重大行政措施及重大政策的制定；</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3.全面从严治党、精神文明建设、政治学习以及各项管理制度的制定和修改等问题；</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4.表彰奖惩以及违规、违纪的处理；</w:t>
      </w:r>
    </w:p>
    <w:p>
      <w:pPr>
        <w:adjustRightInd w:val="0"/>
        <w:snapToGrid w:val="0"/>
        <w:spacing w:line="360" w:lineRule="auto"/>
        <w:ind w:firstLine="640" w:firstLineChars="200"/>
        <w:rPr>
          <w:rFonts w:hint="eastAsia" w:ascii="仿宋" w:hAnsi="仿宋" w:eastAsia="仿宋"/>
          <w:color w:val="auto"/>
          <w:sz w:val="32"/>
          <w:szCs w:val="32"/>
        </w:rPr>
      </w:pPr>
      <w:r>
        <w:rPr>
          <w:rFonts w:hint="eastAsia" w:ascii="仿宋" w:hAnsi="仿宋" w:eastAsia="仿宋"/>
          <w:color w:val="auto"/>
          <w:sz w:val="32"/>
          <w:szCs w:val="32"/>
        </w:rPr>
        <w:t>5.重大责任事故、突发事件的处置；</w:t>
      </w:r>
    </w:p>
    <w:p>
      <w:pPr>
        <w:adjustRightInd w:val="0"/>
        <w:snapToGrid w:val="0"/>
        <w:spacing w:line="360" w:lineRule="auto"/>
        <w:ind w:firstLine="640" w:firstLineChars="200"/>
        <w:rPr>
          <w:rFonts w:hint="eastAsia" w:ascii="仿宋" w:hAnsi="仿宋" w:eastAsia="仿宋"/>
          <w:color w:val="auto"/>
          <w:sz w:val="32"/>
          <w:szCs w:val="32"/>
        </w:rPr>
      </w:pPr>
      <w:r>
        <w:rPr>
          <w:rFonts w:hint="default" w:ascii="仿宋" w:hAnsi="仿宋" w:eastAsia="仿宋"/>
          <w:color w:val="auto"/>
          <w:sz w:val="32"/>
          <w:szCs w:val="32"/>
        </w:rPr>
        <w:t>6.工资、待遇等涉及干部职工切身利益的重大事项；</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7.领导班子成员认为应当集体研究决定的其他重要问题。</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（二）重要人事任免</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1.干部的任免；</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2.干部岗位的调整；</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3.后备干部的推荐和选拔；</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4.工作人员的调入和调出；</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5.需要集体决策的其他干部管理的重要事项。</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（三）重要项目安排</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1.重大建设项目的安排和调整及项目的融资；</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2.项目实施过程中涉及的重大规划调整，重要设计变更（含由于变更增加的工程量）。</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3.大宗物资及设备采购等（10万元以上）；</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4.其他应由集体决策的重大项目安排。</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（四）大额度资金使用</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1.单项经费支出在10万元以上的款项支出；</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2.专项经费拨付在20万元以上的；</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3.其他需要领导班子集体研究决定的资金使用。</w:t>
      </w:r>
    </w:p>
    <w:p>
      <w:pPr>
        <w:adjustRightInd w:val="0"/>
        <w:snapToGrid w:val="0"/>
        <w:spacing w:line="360" w:lineRule="auto"/>
        <w:ind w:firstLine="640" w:firstLineChars="200"/>
        <w:outlineLvl w:val="0"/>
        <w:rPr>
          <w:rFonts w:hint="eastAsia" w:ascii="黑体" w:hAnsi="黑体" w:eastAsia="黑体" w:cs="黑体"/>
          <w:color w:val="auto"/>
          <w:sz w:val="32"/>
          <w:szCs w:val="32"/>
        </w:rPr>
      </w:pPr>
      <w:bookmarkStart w:id="54" w:name="_Toc29313"/>
      <w:bookmarkStart w:id="55" w:name="_Toc19465"/>
      <w:bookmarkStart w:id="56" w:name="_Toc5372"/>
      <w:bookmarkStart w:id="57" w:name="_Toc9400"/>
      <w:bookmarkStart w:id="58" w:name="_Toc4652"/>
      <w:r>
        <w:rPr>
          <w:rFonts w:hint="eastAsia" w:ascii="黑体" w:hAnsi="黑体" w:eastAsia="黑体" w:cs="黑体"/>
          <w:color w:val="auto"/>
          <w:sz w:val="32"/>
          <w:szCs w:val="32"/>
        </w:rPr>
        <w:t>二、集体决策的机制和程序</w:t>
      </w:r>
      <w:bookmarkEnd w:id="54"/>
      <w:bookmarkEnd w:id="55"/>
      <w:bookmarkEnd w:id="56"/>
      <w:bookmarkEnd w:id="57"/>
      <w:bookmarkEnd w:id="58"/>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（一）集体决策机制和分工</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实行书记负责制，对重大问题通过</w:t>
      </w:r>
      <w:r>
        <w:rPr>
          <w:rFonts w:hint="eastAsia" w:ascii="仿宋" w:hAnsi="仿宋"/>
          <w:color w:val="auto"/>
          <w:sz w:val="32"/>
          <w:szCs w:val="32"/>
          <w:lang w:eastAsia="zh-CN"/>
        </w:rPr>
        <w:t>党委</w:t>
      </w:r>
      <w:r>
        <w:rPr>
          <w:rFonts w:hint="default" w:ascii="仿宋" w:hAnsi="仿宋" w:eastAsia="仿宋"/>
          <w:color w:val="auto"/>
          <w:sz w:val="32"/>
          <w:szCs w:val="32"/>
        </w:rPr>
        <w:t>会议讨论决定。</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（二）参与集体决策的范围</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根据工作需要，在召开</w:t>
      </w:r>
      <w:r>
        <w:rPr>
          <w:rFonts w:hint="eastAsia" w:ascii="仿宋" w:hAnsi="仿宋"/>
          <w:color w:val="auto"/>
          <w:sz w:val="32"/>
          <w:szCs w:val="32"/>
          <w:lang w:eastAsia="zh-CN"/>
        </w:rPr>
        <w:t>党委</w:t>
      </w:r>
      <w:r>
        <w:rPr>
          <w:rFonts w:hint="default" w:ascii="仿宋" w:hAnsi="仿宋" w:eastAsia="仿宋"/>
          <w:color w:val="auto"/>
          <w:sz w:val="32"/>
          <w:szCs w:val="32"/>
        </w:rPr>
        <w:t>会议时，可以邀请有关科室负责同志参加。</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（三）民主决策程序</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依照国家法律、法规，凡属“三重一大”事项，在提交</w:t>
      </w:r>
      <w:r>
        <w:rPr>
          <w:rFonts w:hint="eastAsia" w:ascii="仿宋" w:hAnsi="仿宋"/>
          <w:color w:val="auto"/>
          <w:sz w:val="32"/>
          <w:szCs w:val="32"/>
          <w:lang w:eastAsia="zh-CN"/>
        </w:rPr>
        <w:t>党委</w:t>
      </w:r>
      <w:r>
        <w:rPr>
          <w:rFonts w:hint="default" w:ascii="仿宋" w:hAnsi="仿宋" w:eastAsia="仿宋"/>
          <w:color w:val="auto"/>
          <w:sz w:val="32"/>
          <w:szCs w:val="32"/>
        </w:rPr>
        <w:t>会议决策之前，要经过必要的民主程序认证，做到规范化、制度化、程序化，以保证决策过程的科学民主和结果的公正合理。</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1.酝酿决策</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（1）重大决策问题，应根据具体情况，经主要领导或分管领导酝酿，拿出初步意见，并进行广泛深入的调查研究，在充分听取各方面意见的基础上，提交</w:t>
      </w:r>
      <w:r>
        <w:rPr>
          <w:rFonts w:hint="eastAsia" w:ascii="仿宋" w:hAnsi="仿宋"/>
          <w:color w:val="auto"/>
          <w:sz w:val="32"/>
          <w:szCs w:val="32"/>
          <w:lang w:eastAsia="zh-CN"/>
        </w:rPr>
        <w:t>党委</w:t>
      </w:r>
      <w:r>
        <w:rPr>
          <w:rFonts w:hint="default" w:ascii="仿宋" w:hAnsi="仿宋" w:eastAsia="仿宋"/>
          <w:color w:val="auto"/>
          <w:sz w:val="32"/>
          <w:szCs w:val="32"/>
        </w:rPr>
        <w:t>会议集体讨论。</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（2）重要干部任免，应根据《党政领导干部选拔任用工作条例》及相关规定中确定的程序执行。</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（3）重大项目安排，必须由承办科室在充分调查研究或论证的基础上提出方案和报告，经分管领导审阅同意后，在专题会议讨论通过的基础上，提交党</w:t>
      </w:r>
      <w:r>
        <w:rPr>
          <w:rFonts w:hint="eastAsia" w:ascii="仿宋" w:hAnsi="仿宋"/>
          <w:color w:val="auto"/>
          <w:sz w:val="32"/>
          <w:szCs w:val="32"/>
          <w:lang w:eastAsia="zh-CN"/>
        </w:rPr>
        <w:t>委</w:t>
      </w:r>
      <w:r>
        <w:rPr>
          <w:rFonts w:hint="default" w:ascii="仿宋" w:hAnsi="仿宋" w:eastAsia="仿宋"/>
          <w:color w:val="auto"/>
          <w:sz w:val="32"/>
          <w:szCs w:val="32"/>
        </w:rPr>
        <w:t>会议讨论决定。</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（4）大额度资金使用，必须由使用科室拟定支出计划或报告，报分管领导审阅同意后，在</w:t>
      </w:r>
      <w:r>
        <w:rPr>
          <w:rFonts w:hint="eastAsia" w:ascii="仿宋" w:hAnsi="仿宋"/>
          <w:color w:val="auto"/>
          <w:sz w:val="32"/>
          <w:szCs w:val="32"/>
          <w:lang w:eastAsia="zh-CN"/>
        </w:rPr>
        <w:t>主任</w:t>
      </w:r>
      <w:r>
        <w:rPr>
          <w:rFonts w:hint="default" w:ascii="仿宋" w:hAnsi="仿宋" w:eastAsia="仿宋"/>
          <w:color w:val="auto"/>
          <w:sz w:val="32"/>
          <w:szCs w:val="32"/>
        </w:rPr>
        <w:t>办公会讨论通过的基础上，提交</w:t>
      </w:r>
      <w:r>
        <w:rPr>
          <w:rFonts w:hint="eastAsia" w:ascii="仿宋" w:hAnsi="仿宋"/>
          <w:color w:val="auto"/>
          <w:sz w:val="32"/>
          <w:szCs w:val="32"/>
          <w:lang w:eastAsia="zh-CN"/>
        </w:rPr>
        <w:t>党委</w:t>
      </w:r>
      <w:r>
        <w:rPr>
          <w:rFonts w:hint="default" w:ascii="仿宋" w:hAnsi="仿宋" w:eastAsia="仿宋"/>
          <w:color w:val="auto"/>
          <w:sz w:val="32"/>
          <w:szCs w:val="32"/>
        </w:rPr>
        <w:t>会议讨论决定。</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“三重一大”事项决策前，分管领导可通过适当形式对有关议题进行酝酿，但不得作出决定或影响集体决策。</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2.集体决策</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（1）在党</w:t>
      </w:r>
      <w:r>
        <w:rPr>
          <w:rFonts w:hint="eastAsia" w:ascii="仿宋" w:hAnsi="仿宋"/>
          <w:color w:val="auto"/>
          <w:sz w:val="32"/>
          <w:szCs w:val="32"/>
          <w:lang w:eastAsia="zh-CN"/>
        </w:rPr>
        <w:t>委</w:t>
      </w:r>
      <w:r>
        <w:rPr>
          <w:rFonts w:hint="default" w:ascii="仿宋" w:hAnsi="仿宋" w:eastAsia="仿宋"/>
          <w:color w:val="auto"/>
          <w:sz w:val="32"/>
          <w:szCs w:val="32"/>
        </w:rPr>
        <w:t>决策“三重一大”事项的会议上，党</w:t>
      </w:r>
      <w:r>
        <w:rPr>
          <w:rFonts w:hint="eastAsia" w:ascii="仿宋" w:hAnsi="仿宋"/>
          <w:color w:val="auto"/>
          <w:sz w:val="32"/>
          <w:szCs w:val="32"/>
          <w:lang w:eastAsia="zh-CN"/>
        </w:rPr>
        <w:t>委</w:t>
      </w:r>
      <w:r>
        <w:rPr>
          <w:rFonts w:hint="default" w:ascii="仿宋" w:hAnsi="仿宋" w:eastAsia="仿宋"/>
          <w:color w:val="auto"/>
          <w:sz w:val="32"/>
          <w:szCs w:val="32"/>
        </w:rPr>
        <w:t>会成员应对决策建议逐个明确表示同意、不同意或缓议的意见，要说明理由。</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（2）党</w:t>
      </w:r>
      <w:r>
        <w:rPr>
          <w:rFonts w:hint="eastAsia" w:ascii="仿宋" w:hAnsi="仿宋"/>
          <w:color w:val="auto"/>
          <w:sz w:val="32"/>
          <w:szCs w:val="32"/>
          <w:lang w:eastAsia="zh-CN"/>
        </w:rPr>
        <w:t>委</w:t>
      </w:r>
      <w:r>
        <w:rPr>
          <w:rFonts w:hint="default" w:ascii="仿宋" w:hAnsi="仿宋" w:eastAsia="仿宋"/>
          <w:color w:val="auto"/>
          <w:sz w:val="32"/>
          <w:szCs w:val="32"/>
        </w:rPr>
        <w:t>会议主要负责人或主持会议的其他负责人应在其他成员充分发表意见的基础上，最后发表意见。对讨论中意见分歧较大或发现有重大问题尚不清楚的，除在紧急情况下按多数意见执行外，应暂缓决策，等进一步调查研究后再作决策。</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（3）党</w:t>
      </w:r>
      <w:r>
        <w:rPr>
          <w:rFonts w:hint="eastAsia" w:ascii="仿宋" w:hAnsi="仿宋"/>
          <w:color w:val="auto"/>
          <w:sz w:val="32"/>
          <w:szCs w:val="32"/>
          <w:lang w:eastAsia="zh-CN"/>
        </w:rPr>
        <w:t>委</w:t>
      </w:r>
      <w:r>
        <w:rPr>
          <w:rFonts w:hint="default" w:ascii="仿宋" w:hAnsi="仿宋" w:eastAsia="仿宋"/>
          <w:color w:val="auto"/>
          <w:sz w:val="32"/>
          <w:szCs w:val="32"/>
        </w:rPr>
        <w:t>会成员的表决意见和理由等情况，应形成会议记录。</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3.执行决策</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（1）“三重一大”事项经党</w:t>
      </w:r>
      <w:r>
        <w:rPr>
          <w:rFonts w:hint="eastAsia" w:ascii="仿宋" w:hAnsi="仿宋"/>
          <w:color w:val="auto"/>
          <w:sz w:val="32"/>
          <w:szCs w:val="32"/>
          <w:lang w:eastAsia="zh-CN"/>
        </w:rPr>
        <w:t>委</w:t>
      </w:r>
      <w:r>
        <w:rPr>
          <w:rFonts w:hint="default" w:ascii="仿宋" w:hAnsi="仿宋" w:eastAsia="仿宋"/>
          <w:color w:val="auto"/>
          <w:sz w:val="32"/>
          <w:szCs w:val="32"/>
        </w:rPr>
        <w:t>会决策后，由领导按分工和职责组织实施。遇有分工和职责分叉的，由党</w:t>
      </w:r>
      <w:r>
        <w:rPr>
          <w:rFonts w:hint="eastAsia" w:ascii="仿宋" w:hAnsi="仿宋"/>
          <w:color w:val="auto"/>
          <w:sz w:val="32"/>
          <w:szCs w:val="32"/>
          <w:lang w:eastAsia="zh-CN"/>
        </w:rPr>
        <w:t>委</w:t>
      </w:r>
      <w:r>
        <w:rPr>
          <w:rFonts w:hint="default" w:ascii="仿宋" w:hAnsi="仿宋" w:eastAsia="仿宋"/>
          <w:color w:val="auto"/>
          <w:sz w:val="32"/>
          <w:szCs w:val="32"/>
        </w:rPr>
        <w:t>会明确一名领导牵头。</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（2）个人对集体决策有不同意见，可以保留，但在没有作出新的决策前，应无条件执行。同时，可按组织程序向上级党</w:t>
      </w:r>
      <w:r>
        <w:rPr>
          <w:rFonts w:hint="eastAsia" w:ascii="仿宋" w:hAnsi="仿宋"/>
          <w:color w:val="auto"/>
          <w:sz w:val="32"/>
          <w:szCs w:val="32"/>
          <w:lang w:eastAsia="zh-CN"/>
        </w:rPr>
        <w:t>委</w:t>
      </w:r>
      <w:r>
        <w:rPr>
          <w:rFonts w:hint="default" w:ascii="仿宋" w:hAnsi="仿宋" w:eastAsia="仿宋"/>
          <w:color w:val="auto"/>
          <w:sz w:val="32"/>
          <w:szCs w:val="32"/>
        </w:rPr>
        <w:t>反映。</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（3）个人不得擅自改变集体决策，确需变更，应由党</w:t>
      </w:r>
      <w:r>
        <w:rPr>
          <w:rFonts w:hint="eastAsia" w:ascii="仿宋" w:hAnsi="仿宋"/>
          <w:color w:val="auto"/>
          <w:sz w:val="32"/>
          <w:szCs w:val="32"/>
          <w:lang w:eastAsia="zh-CN"/>
        </w:rPr>
        <w:t>委</w:t>
      </w:r>
      <w:r>
        <w:rPr>
          <w:rFonts w:hint="default" w:ascii="仿宋" w:hAnsi="仿宋" w:eastAsia="仿宋"/>
          <w:color w:val="auto"/>
          <w:sz w:val="32"/>
          <w:szCs w:val="32"/>
        </w:rPr>
        <w:t>会重新作出决策。如遇重大突发事件和紧急情况作出临时处置的，应在事后及时向党</w:t>
      </w:r>
      <w:r>
        <w:rPr>
          <w:rFonts w:hint="eastAsia" w:ascii="仿宋" w:hAnsi="仿宋"/>
          <w:color w:val="auto"/>
          <w:sz w:val="32"/>
          <w:szCs w:val="32"/>
          <w:lang w:eastAsia="zh-CN"/>
        </w:rPr>
        <w:t>委</w:t>
      </w:r>
      <w:r>
        <w:rPr>
          <w:rFonts w:hint="default" w:ascii="仿宋" w:hAnsi="仿宋" w:eastAsia="仿宋"/>
          <w:color w:val="auto"/>
          <w:sz w:val="32"/>
          <w:szCs w:val="32"/>
        </w:rPr>
        <w:t>会报告，未完成事项如需党</w:t>
      </w:r>
      <w:r>
        <w:rPr>
          <w:rFonts w:hint="eastAsia" w:ascii="仿宋" w:hAnsi="仿宋"/>
          <w:color w:val="auto"/>
          <w:sz w:val="32"/>
          <w:szCs w:val="32"/>
          <w:lang w:eastAsia="zh-CN"/>
        </w:rPr>
        <w:t>委</w:t>
      </w:r>
      <w:r>
        <w:rPr>
          <w:rFonts w:hint="default" w:ascii="仿宋" w:hAnsi="仿宋" w:eastAsia="仿宋"/>
          <w:color w:val="auto"/>
          <w:sz w:val="32"/>
          <w:szCs w:val="32"/>
        </w:rPr>
        <w:t>会重新作出决策的，经再次决策后，按新的决策执行。</w:t>
      </w:r>
    </w:p>
    <w:p>
      <w:pPr>
        <w:adjustRightInd w:val="0"/>
        <w:snapToGrid w:val="0"/>
        <w:spacing w:line="360" w:lineRule="auto"/>
        <w:ind w:firstLine="640" w:firstLineChars="200"/>
        <w:outlineLvl w:val="0"/>
        <w:rPr>
          <w:rFonts w:hint="eastAsia" w:ascii="黑体" w:hAnsi="黑体" w:eastAsia="黑体" w:cs="黑体"/>
          <w:color w:val="auto"/>
          <w:sz w:val="32"/>
          <w:szCs w:val="32"/>
        </w:rPr>
      </w:pPr>
      <w:bookmarkStart w:id="59" w:name="_Toc32264"/>
      <w:bookmarkStart w:id="60" w:name="_Toc13603"/>
      <w:bookmarkStart w:id="61" w:name="_Toc21337"/>
      <w:bookmarkStart w:id="62" w:name="_Toc13317"/>
      <w:bookmarkStart w:id="63" w:name="_Toc22558"/>
      <w:r>
        <w:rPr>
          <w:rFonts w:hint="eastAsia" w:ascii="黑体" w:hAnsi="黑体" w:eastAsia="黑体" w:cs="黑体"/>
          <w:color w:val="auto"/>
          <w:sz w:val="32"/>
          <w:szCs w:val="32"/>
        </w:rPr>
        <w:t>三、“三重一大”事项的监督检查</w:t>
      </w:r>
      <w:bookmarkEnd w:id="59"/>
      <w:bookmarkEnd w:id="60"/>
      <w:bookmarkEnd w:id="61"/>
      <w:bookmarkEnd w:id="62"/>
      <w:bookmarkEnd w:id="63"/>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（一）为切实贯彻执行“三重一大”制度，由</w:t>
      </w:r>
      <w:r>
        <w:rPr>
          <w:rFonts w:hint="eastAsia" w:ascii="仿宋" w:hAnsi="仿宋"/>
          <w:color w:val="auto"/>
          <w:sz w:val="32"/>
          <w:szCs w:val="32"/>
          <w:lang w:eastAsia="zh-CN"/>
        </w:rPr>
        <w:t>党办</w:t>
      </w:r>
      <w:r>
        <w:rPr>
          <w:rFonts w:hint="default" w:ascii="仿宋" w:hAnsi="仿宋" w:eastAsia="仿宋"/>
          <w:color w:val="auto"/>
          <w:sz w:val="32"/>
          <w:szCs w:val="32"/>
        </w:rPr>
        <w:t>建立相应的监督检查制度，从工作程序和实际效果等方面切实加强对“三重一大”事项决策、执行情况的监督检查。</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（二）班子成员根据分工和职责及时向领导班子汇报“三重一大”事项的执行情况，并将贯彻本办法的情况列入班子民主生活会和述职述廉的重要内容。</w:t>
      </w:r>
    </w:p>
    <w:p>
      <w:pPr>
        <w:adjustRightInd w:val="0"/>
        <w:snapToGrid w:val="0"/>
        <w:spacing w:line="360" w:lineRule="auto"/>
        <w:ind w:firstLine="640" w:firstLineChars="200"/>
        <w:outlineLvl w:val="0"/>
        <w:rPr>
          <w:rFonts w:hint="eastAsia" w:ascii="黑体" w:hAnsi="黑体" w:eastAsia="黑体" w:cs="黑体"/>
          <w:color w:val="auto"/>
          <w:sz w:val="32"/>
          <w:szCs w:val="32"/>
        </w:rPr>
      </w:pPr>
      <w:bookmarkStart w:id="64" w:name="_Toc248"/>
      <w:bookmarkStart w:id="65" w:name="_Toc30096"/>
      <w:bookmarkStart w:id="66" w:name="_Toc13373"/>
      <w:bookmarkStart w:id="67" w:name="_Toc202"/>
      <w:bookmarkStart w:id="68" w:name="_Toc16311"/>
      <w:r>
        <w:rPr>
          <w:rFonts w:hint="eastAsia" w:ascii="黑体" w:hAnsi="黑体" w:eastAsia="黑体" w:cs="黑体"/>
          <w:color w:val="auto"/>
          <w:sz w:val="32"/>
          <w:szCs w:val="32"/>
        </w:rPr>
        <w:t>四、“三重一大”责任追究</w:t>
      </w:r>
      <w:bookmarkEnd w:id="64"/>
      <w:bookmarkEnd w:id="65"/>
      <w:bookmarkEnd w:id="66"/>
      <w:bookmarkEnd w:id="67"/>
      <w:bookmarkEnd w:id="68"/>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有下列情形之一的，应追究责任：</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（一)未按规定内容、范围、程序报党</w:t>
      </w:r>
      <w:r>
        <w:rPr>
          <w:rFonts w:hint="eastAsia" w:ascii="仿宋" w:hAnsi="仿宋"/>
          <w:color w:val="auto"/>
          <w:sz w:val="32"/>
          <w:szCs w:val="32"/>
          <w:lang w:eastAsia="zh-CN"/>
        </w:rPr>
        <w:t>委</w:t>
      </w:r>
      <w:r>
        <w:rPr>
          <w:rFonts w:hint="default" w:ascii="仿宋" w:hAnsi="仿宋" w:eastAsia="仿宋"/>
          <w:color w:val="auto"/>
          <w:sz w:val="32"/>
          <w:szCs w:val="32"/>
        </w:rPr>
        <w:t>会集体研究决定的；</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（二)擅自泄露党</w:t>
      </w:r>
      <w:r>
        <w:rPr>
          <w:rFonts w:hint="eastAsia" w:ascii="仿宋" w:hAnsi="仿宋"/>
          <w:color w:val="auto"/>
          <w:sz w:val="32"/>
          <w:szCs w:val="32"/>
          <w:lang w:eastAsia="zh-CN"/>
        </w:rPr>
        <w:t>委</w:t>
      </w:r>
      <w:r>
        <w:rPr>
          <w:rFonts w:hint="default" w:ascii="仿宋" w:hAnsi="仿宋" w:eastAsia="仿宋"/>
          <w:color w:val="auto"/>
          <w:sz w:val="32"/>
          <w:szCs w:val="32"/>
        </w:rPr>
        <w:t>会集体研究决定的应保密事项的；</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（三)因上报不实情况或漏报、瞒报影响党</w:t>
      </w:r>
      <w:r>
        <w:rPr>
          <w:rFonts w:hint="eastAsia" w:ascii="仿宋" w:hAnsi="仿宋"/>
          <w:color w:val="auto"/>
          <w:sz w:val="32"/>
          <w:szCs w:val="32"/>
          <w:lang w:eastAsia="zh-CN"/>
        </w:rPr>
        <w:t>委</w:t>
      </w:r>
      <w:r>
        <w:rPr>
          <w:rFonts w:hint="default" w:ascii="仿宋" w:hAnsi="仿宋" w:eastAsia="仿宋"/>
          <w:color w:val="auto"/>
          <w:sz w:val="32"/>
          <w:szCs w:val="32"/>
        </w:rPr>
        <w:t>作出正确决策的；</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（四)个人或少数人决定“三重一大”事项的、拒不执行或擅自改变集体决策的；</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属于个人责任的，按以下形式追究：情节轻微的，对主要责任人给予批评教育、诫勉谈话；情节较重、造成一定损失的，责令主要责任人写出书面检查或通报批评；情节严重、造成恶劣影响和重大损失的，应依据《中国共产党纪律处分条例》和《行政机关公务员处分条例》等规定，上报纪检监察部门给予主要责任人党纪政纪处分。</w:t>
      </w:r>
    </w:p>
    <w:p>
      <w:pPr>
        <w:adjustRightInd w:val="0"/>
        <w:snapToGrid w:val="0"/>
        <w:spacing w:line="360" w:lineRule="auto"/>
        <w:ind w:firstLine="640" w:firstLineChars="200"/>
        <w:rPr>
          <w:rFonts w:hint="default" w:ascii="仿宋" w:hAnsi="仿宋" w:eastAsia="仿宋"/>
          <w:color w:val="auto"/>
          <w:sz w:val="32"/>
          <w:szCs w:val="32"/>
        </w:rPr>
      </w:pPr>
      <w:r>
        <w:rPr>
          <w:rFonts w:hint="default" w:ascii="仿宋" w:hAnsi="仿宋" w:eastAsia="仿宋"/>
          <w:color w:val="auto"/>
          <w:sz w:val="32"/>
          <w:szCs w:val="32"/>
        </w:rPr>
        <w:t>属于领导集体责任的，按以下形式追究：情节轻微的，召开专题会议，开展批评与自我批评，并限期纠正；情节较重、造成一定损失的，领导集体向上级作出书面检讨；情节严重、造成恶劣影响和重大损失的，领导集体请求上级作组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left"/>
        <w:rPr>
          <w:color w:val="auto"/>
        </w:rPr>
      </w:pPr>
    </w:p>
    <w:p>
      <w:pPr>
        <w:rPr>
          <w:rFonts w:hint="eastAsia" w:ascii="仿宋" w:hAnsi="仿宋"/>
          <w:color w:val="auto"/>
          <w:sz w:val="32"/>
          <w:szCs w:val="32"/>
          <w:lang w:val="en-US" w:eastAsia="zh-CN"/>
        </w:rPr>
        <w:sectPr>
          <w:pgSz w:w="11906" w:h="16838"/>
          <w:pgMar w:top="1440" w:right="1800" w:bottom="1440" w:left="1800" w:header="851" w:footer="992" w:gutter="0"/>
          <w:pgNumType w:fmt="numberInDash"/>
          <w:cols w:space="720" w:num="1"/>
          <w:docGrid w:type="lines" w:linePitch="312" w:charSpace="0"/>
        </w:sectPr>
      </w:pPr>
      <w:r>
        <w:rPr>
          <w:color w:val="auto"/>
        </w:rPr>
        <w:br w:type="page"/>
      </w:r>
    </w:p>
    <w:p>
      <w:pPr>
        <w:rPr>
          <w:rFonts w:hint="eastAsia" w:ascii="仿宋" w:hAnsi="仿宋"/>
          <w:color w:val="auto"/>
          <w:sz w:val="32"/>
          <w:szCs w:val="32"/>
          <w:lang w:val="en-US" w:eastAsia="zh-CN"/>
        </w:rPr>
        <w:sectPr>
          <w:pgSz w:w="11906" w:h="16838"/>
          <w:pgMar w:top="1440" w:right="1800" w:bottom="1440" w:left="1800" w:header="851" w:footer="992" w:gutter="0"/>
          <w:pgNumType w:fmt="numberInDash"/>
          <w:cols w:space="720" w:num="1"/>
          <w:docGrid w:type="lines" w:linePitch="312" w:charSpace="0"/>
        </w:sectPr>
      </w:pPr>
      <w:r>
        <w:rPr>
          <w:rFonts w:hint="eastAsia" w:ascii="仿宋" w:hAnsi="仿宋"/>
          <w:color w:val="auto"/>
          <w:sz w:val="32"/>
          <w:szCs w:val="32"/>
          <w:lang w:val="en-US" w:eastAsia="zh-CN"/>
        </w:rPr>
        <w:drawing>
          <wp:anchor distT="0" distB="0" distL="114300" distR="114300" simplePos="0" relativeHeight="251667456" behindDoc="0" locked="0" layoutInCell="1" allowOverlap="1">
            <wp:simplePos x="0" y="0"/>
            <wp:positionH relativeFrom="column">
              <wp:posOffset>-421640</wp:posOffset>
            </wp:positionH>
            <wp:positionV relativeFrom="paragraph">
              <wp:posOffset>-117475</wp:posOffset>
            </wp:positionV>
            <wp:extent cx="6313805" cy="8671560"/>
            <wp:effectExtent l="0" t="0" r="10795" b="15240"/>
            <wp:wrapNone/>
            <wp:docPr id="33" name="图片 33"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未命名文件(1)"/>
                    <pic:cNvPicPr>
                      <a:picLocks noChangeAspect="1"/>
                    </pic:cNvPicPr>
                  </pic:nvPicPr>
                  <pic:blipFill>
                    <a:blip r:embed="rId15"/>
                    <a:stretch>
                      <a:fillRect/>
                    </a:stretch>
                  </pic:blipFill>
                  <pic:spPr>
                    <a:xfrm>
                      <a:off x="0" y="0"/>
                      <a:ext cx="6313805" cy="8671560"/>
                    </a:xfrm>
                    <a:prstGeom prst="rect">
                      <a:avLst/>
                    </a:prstGeom>
                  </pic:spPr>
                </pic:pic>
              </a:graphicData>
            </a:graphic>
          </wp:anchor>
        </w:drawing>
      </w:r>
    </w:p>
    <w:p>
      <w:pPr>
        <w:pStyle w:val="2"/>
        <w:bidi w:val="0"/>
        <w:rPr>
          <w:rFonts w:hint="eastAsia" w:asciiTheme="majorEastAsia" w:hAnsiTheme="majorEastAsia" w:eastAsiaTheme="majorEastAsia" w:cstheme="majorEastAsia"/>
          <w:b/>
          <w:bCs/>
          <w:color w:val="auto"/>
          <w:sz w:val="44"/>
          <w:szCs w:val="44"/>
          <w:lang w:val="en-US" w:eastAsia="zh-CN"/>
        </w:rPr>
      </w:pPr>
      <w:r>
        <w:rPr>
          <w:rFonts w:hint="eastAsia" w:ascii="仿宋" w:hAnsi="仿宋"/>
          <w:color w:val="auto"/>
          <w:sz w:val="32"/>
          <w:szCs w:val="32"/>
          <w:lang w:val="en-US" w:eastAsia="zh-CN"/>
        </w:rPr>
        <w:t xml:space="preserve"> </w:t>
      </w:r>
      <w:bookmarkStart w:id="69" w:name="_Toc23012"/>
      <w:r>
        <w:rPr>
          <w:rFonts w:hint="eastAsia" w:asciiTheme="majorEastAsia" w:hAnsiTheme="majorEastAsia" w:eastAsiaTheme="majorEastAsia" w:cstheme="majorEastAsia"/>
          <w:b/>
          <w:bCs/>
          <w:color w:val="auto"/>
          <w:sz w:val="44"/>
          <w:szCs w:val="44"/>
          <w:lang w:val="en-US" w:eastAsia="zh-CN"/>
        </w:rPr>
        <w:t>5、领导干部不允许插手工程项目和招投标</w:t>
      </w:r>
      <w:bookmarkEnd w:id="69"/>
    </w:p>
    <w:p>
      <w:pPr>
        <w:jc w:val="center"/>
        <w:rPr>
          <w:rFonts w:hint="eastAsia" w:asciiTheme="majorEastAsia" w:hAnsiTheme="majorEastAsia" w:eastAsiaTheme="majorEastAsia" w:cstheme="majorEastAsia"/>
          <w:b/>
          <w:bCs/>
          <w:color w:val="auto"/>
          <w:sz w:val="44"/>
          <w:szCs w:val="44"/>
          <w:lang w:val="en-US" w:eastAsia="zh-CN"/>
        </w:rPr>
      </w:pPr>
      <w:r>
        <w:rPr>
          <w:rFonts w:hint="eastAsia" w:asciiTheme="majorEastAsia" w:hAnsiTheme="majorEastAsia" w:eastAsiaTheme="majorEastAsia" w:cstheme="majorEastAsia"/>
          <w:b/>
          <w:bCs/>
          <w:color w:val="auto"/>
          <w:sz w:val="44"/>
          <w:szCs w:val="44"/>
          <w:lang w:val="en-US" w:eastAsia="zh-CN"/>
        </w:rPr>
        <w:t>制度</w:t>
      </w:r>
    </w:p>
    <w:p>
      <w:pPr>
        <w:jc w:val="center"/>
        <w:rPr>
          <w:rFonts w:hint="eastAsia" w:asciiTheme="majorEastAsia" w:hAnsiTheme="majorEastAsia" w:eastAsiaTheme="majorEastAsia" w:cstheme="majorEastAsia"/>
          <w:b/>
          <w:bCs/>
          <w:color w:val="auto"/>
          <w:sz w:val="44"/>
          <w:szCs w:val="44"/>
          <w:lang w:val="en-US" w:eastAsia="zh-CN"/>
        </w:rPr>
      </w:pPr>
    </w:p>
    <w:p>
      <w:pPr>
        <w:numPr>
          <w:ilvl w:val="0"/>
          <w:numId w:val="1"/>
        </w:numPr>
        <w:ind w:firstLine="640" w:firstLineChars="200"/>
        <w:jc w:val="both"/>
        <w:rPr>
          <w:rFonts w:hint="eastAsia" w:ascii="仿宋" w:hAnsi="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为进一步规范领导干部廉洁从政行为</w:t>
      </w:r>
      <w:r>
        <w:rPr>
          <w:rFonts w:hint="eastAsia" w:ascii="仿宋" w:hAnsi="仿宋" w:cs="仿宋"/>
          <w:b w:val="0"/>
          <w:bCs w:val="0"/>
          <w:color w:val="auto"/>
          <w:sz w:val="32"/>
          <w:szCs w:val="32"/>
          <w:lang w:val="en-US" w:eastAsia="zh-CN"/>
        </w:rPr>
        <w:t>，确保工程建设项目依法依规建设，根据《中国共产党纪律处分条例》、《中国共产党廉洁自律准则》、《中华人民共和国建筑法》、《</w:t>
      </w:r>
      <w:r>
        <w:rPr>
          <w:rFonts w:hint="default" w:ascii="仿宋" w:hAnsi="仿宋" w:cs="仿宋"/>
          <w:b w:val="0"/>
          <w:bCs w:val="0"/>
          <w:color w:val="auto"/>
          <w:sz w:val="32"/>
          <w:szCs w:val="32"/>
          <w:lang w:val="en-US" w:eastAsia="zh-CN"/>
        </w:rPr>
        <w:t>中华人民共和国招标投标法</w:t>
      </w:r>
      <w:r>
        <w:rPr>
          <w:rFonts w:hint="eastAsia" w:ascii="仿宋" w:hAnsi="仿宋" w:cs="仿宋"/>
          <w:b w:val="0"/>
          <w:bCs w:val="0"/>
          <w:color w:val="auto"/>
          <w:sz w:val="32"/>
          <w:szCs w:val="32"/>
          <w:lang w:val="en-US" w:eastAsia="zh-CN"/>
        </w:rPr>
        <w:t>》等法律法规，结合新区工作实际，特制定本制度。</w:t>
      </w:r>
    </w:p>
    <w:p>
      <w:pPr>
        <w:numPr>
          <w:ilvl w:val="0"/>
          <w:numId w:val="1"/>
        </w:numPr>
        <w:ind w:firstLine="640" w:firstLineChars="200"/>
        <w:jc w:val="both"/>
        <w:rPr>
          <w:rFonts w:hint="eastAsia"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 xml:space="preserve">本制度所称领导干部，是指白城市生态新区建设领导小组办公室内副科级以上领导干部（含副科级领导职务和非领导职务）。 </w:t>
      </w:r>
    </w:p>
    <w:p>
      <w:pPr>
        <w:numPr>
          <w:ilvl w:val="0"/>
          <w:numId w:val="1"/>
        </w:numPr>
        <w:ind w:firstLine="640" w:firstLineChars="200"/>
        <w:jc w:val="both"/>
        <w:rPr>
          <w:rFonts w:hint="eastAsia"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 xml:space="preserve">本制度所称工程项目和招投标是指房屋建筑和市政基础设施工程建设项目和招投标活动。   </w:t>
      </w:r>
    </w:p>
    <w:p>
      <w:pPr>
        <w:numPr>
          <w:ilvl w:val="0"/>
          <w:numId w:val="1"/>
        </w:numPr>
        <w:ind w:firstLine="640" w:firstLineChars="200"/>
        <w:jc w:val="both"/>
        <w:rPr>
          <w:rFonts w:hint="eastAsia"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本制度所称插手干预工程项目和招投标，是指领导干部违反法律、法规及其他政策性规定或规则等，利用职权向相关部门和单位及其工作人员采取暗示、授意、打招呼、批条子、指定即以会议纪要、推荐、支持、照顾等方式方法，或者授意、明示、暗示、默许亲友和身边工作人员干预工程建设项目和招投标活动按法定程序正常开展和正常监督执法的行为。</w:t>
      </w:r>
    </w:p>
    <w:p>
      <w:pPr>
        <w:widowControl w:val="0"/>
        <w:numPr>
          <w:ilvl w:val="0"/>
          <w:numId w:val="1"/>
        </w:numPr>
        <w:ind w:left="0" w:leftChars="0"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领导干部应当自觉遵守廉洁自律有关规定，遵守工程建设项目程序，不得有以下插手干预工程建设项目和招投标活动的行为：</w:t>
      </w:r>
    </w:p>
    <w:p>
      <w:pPr>
        <w:widowControl w:val="0"/>
        <w:numPr>
          <w:ilvl w:val="0"/>
          <w:numId w:val="2"/>
        </w:numPr>
        <w:ind w:firstLine="640" w:firstLineChars="200"/>
        <w:jc w:val="both"/>
        <w:rPr>
          <w:rFonts w:hint="eastAsia"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未经批准或违反规定兼任工程建设项目领导职务；或在工程建设项目中开支、报销有关费用；或领取补贴、资金、福利；</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对工程建设项目中的违法违规的请示、报告、文件表示同意；对有关纠正违法违规行为的上级指示、决定拒不执行或不予落实、回复；</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利用职权或职务影响，以指定、打招呼、批条子授意、暗示等方式，插手干预工程建设项目和招投标活动；或为自己亲属、身边人员人员、特定关系人承揽工程或中标项目，谋取不正当利益；</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以工期紧迫等各种借口，明示或暗示相关单位不履行招投标程序，违规建设项目；</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违反规定以会议或集体研究决定方式插手干预工程建设项目和招投标活动；或违规为建设单位制定招投标代理机构；或通过操纵招投标代理机构，以不正当手段使特定投标中标；</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违规改变招标条件和技术参数，增设限制条件，排斥其他投标人，为特定投标人入围、中标提供方便；违规干预招标文件、评标办法、招标控价的制定；</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同意或要求将公开招标的工程建设项目不进入公共资源交易中心进行交易；或将应当公开招标的工程建设项目不进行招标，核准为邀请招标或直接发包；</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同意或要求将应当公开招标的工程建设项目，通过假借涉密工程、抢险就在等特殊工程名义或分批分次、化整为零规避招标；</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串通投标人进行围标、串标，介绍企业出借资质投标等违法行为；</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违反规定担任或指定评标专家，或授意专家评委为“意向”投标单位打高分左右评标结果，干预专家评委评标，或以监督为名干扰依法进行的评标活动；</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将招投标活动中应当保密的投标人的名称、数量或者有关信息泄露给其他投标人；</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违规干预评标委员会推荐的中标候选人顺序确定中标人；或以打招呼、说情、暗示等方式要求中标候选人放弃中标；或要求中标人分包、转包工程项目；或者指定工程建设商品生产商、供应商，要求建设单位使用指定的建筑材料和设备；</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迫使招标人和中标人签订背离招标文件实质性内容的施工合同；或在合同以外，另行签订与合同内容不一致的其他协议；</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违规变更工程项目设计，抬高造价，造成工程建设项目“低价中标高价结算”；</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干扰工作人员在招投标活动中正常监管和执法，通过说情、批示、打招呼、或强令等形式影响干预行政监督部门依法采取整改、诚信记录公示、行政处罚、吊扣证照等处理措施；</w:t>
      </w:r>
    </w:p>
    <w:p>
      <w:pPr>
        <w:widowControl w:val="0"/>
        <w:numPr>
          <w:ilvl w:val="0"/>
          <w:numId w:val="2"/>
        </w:numPr>
        <w:ind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其他违反规定插手干预工程建设项目的行为。</w:t>
      </w:r>
    </w:p>
    <w:p>
      <w:pPr>
        <w:widowControl w:val="0"/>
        <w:numPr>
          <w:ilvl w:val="0"/>
          <w:numId w:val="1"/>
        </w:numPr>
        <w:ind w:left="0" w:leftChars="0"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领导干部违反规定插手干预工程建设项目和招投标活动，或者对本局、办工作人员和亲属违反规定插手干预工程建设项目和招投标活动的行为不制止、不查处，视其情节，依照有关法律法规，给予批评教育、党纪政纪处分；涉嫌犯罪的，移交司法机关追究法律责任。</w:t>
      </w:r>
    </w:p>
    <w:p>
      <w:pPr>
        <w:widowControl w:val="0"/>
        <w:numPr>
          <w:ilvl w:val="0"/>
          <w:numId w:val="1"/>
        </w:numPr>
        <w:ind w:left="0" w:leftChars="0" w:firstLine="640" w:firstLineChars="200"/>
        <w:jc w:val="both"/>
        <w:rPr>
          <w:rFonts w:hint="default" w:ascii="仿宋" w:hAnsi="仿宋" w:cs="仿宋"/>
          <w:b w:val="0"/>
          <w:bCs w:val="0"/>
          <w:color w:val="auto"/>
          <w:sz w:val="32"/>
          <w:szCs w:val="32"/>
          <w:lang w:val="en-US" w:eastAsia="zh-CN"/>
        </w:rPr>
      </w:pPr>
      <w:r>
        <w:rPr>
          <w:rFonts w:hint="eastAsia" w:ascii="仿宋" w:hAnsi="仿宋" w:cs="仿宋"/>
          <w:b w:val="0"/>
          <w:bCs w:val="0"/>
          <w:color w:val="auto"/>
          <w:sz w:val="32"/>
          <w:szCs w:val="32"/>
          <w:lang w:val="en-US" w:eastAsia="zh-CN"/>
        </w:rPr>
        <w:t xml:space="preserve"> 本规定自发布之日起施行。</w:t>
      </w: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jc w:val="center"/>
        <w:rPr>
          <w:rFonts w:hint="eastAsia" w:asciiTheme="majorEastAsia" w:hAnsiTheme="majorEastAsia" w:eastAsiaTheme="majorEastAsia" w:cstheme="majorEastAsia"/>
          <w:b/>
          <w:bCs/>
          <w:color w:val="auto"/>
          <w:sz w:val="44"/>
          <w:szCs w:val="44"/>
          <w:lang w:val="en-US" w:eastAsia="zh-CN"/>
        </w:rPr>
      </w:pPr>
    </w:p>
    <w:p>
      <w:pPr>
        <w:pStyle w:val="2"/>
        <w:bidi w:val="0"/>
        <w:rPr>
          <w:rFonts w:eastAsia="仿宋_GB2312"/>
          <w:b/>
          <w:bCs w:val="0"/>
          <w:color w:val="auto"/>
          <w:sz w:val="32"/>
          <w:szCs w:val="32"/>
        </w:rPr>
      </w:pPr>
      <w:bookmarkStart w:id="70" w:name="_Toc19799"/>
      <w:bookmarkStart w:id="71" w:name="_Toc24142"/>
      <w:r>
        <w:rPr>
          <w:rFonts w:hint="eastAsia"/>
          <w:color w:val="auto"/>
          <w:lang w:val="en-US" w:eastAsia="zh-CN"/>
        </w:rPr>
        <w:t>6、</w:t>
      </w:r>
      <w:r>
        <w:rPr>
          <w:rFonts w:hint="eastAsia"/>
          <w:color w:val="auto"/>
        </w:rPr>
        <w:t>党风廉政建设“一岗双责”制度</w:t>
      </w:r>
      <w:bookmarkEnd w:id="70"/>
      <w:bookmarkEnd w:id="71"/>
    </w:p>
    <w:p>
      <w:pPr>
        <w:adjustRightInd w:val="0"/>
        <w:snapToGrid w:val="0"/>
        <w:spacing w:line="600" w:lineRule="exact"/>
        <w:ind w:firstLine="640" w:firstLineChars="200"/>
        <w:outlineLvl w:val="0"/>
        <w:rPr>
          <w:rFonts w:eastAsia="黑体"/>
          <w:b w:val="0"/>
          <w:bCs/>
          <w:color w:val="auto"/>
          <w:sz w:val="32"/>
          <w:szCs w:val="32"/>
        </w:rPr>
      </w:pPr>
      <w:bookmarkStart w:id="72" w:name="_Toc16366"/>
      <w:bookmarkStart w:id="73" w:name="_Toc16747"/>
      <w:bookmarkStart w:id="74" w:name="_Toc7662"/>
      <w:bookmarkStart w:id="75" w:name="_Toc29750"/>
      <w:bookmarkStart w:id="76" w:name="_Toc27327"/>
      <w:r>
        <w:rPr>
          <w:rFonts w:eastAsia="黑体"/>
          <w:b w:val="0"/>
          <w:bCs/>
          <w:color w:val="auto"/>
          <w:sz w:val="32"/>
          <w:szCs w:val="32"/>
        </w:rPr>
        <w:t>一、党</w:t>
      </w:r>
      <w:r>
        <w:rPr>
          <w:rFonts w:hint="eastAsia" w:eastAsia="黑体"/>
          <w:b w:val="0"/>
          <w:bCs/>
          <w:color w:val="auto"/>
          <w:sz w:val="32"/>
          <w:szCs w:val="32"/>
          <w:lang w:eastAsia="zh-CN"/>
        </w:rPr>
        <w:t>委</w:t>
      </w:r>
      <w:r>
        <w:rPr>
          <w:rFonts w:eastAsia="黑体"/>
          <w:b w:val="0"/>
          <w:bCs/>
          <w:color w:val="auto"/>
          <w:sz w:val="32"/>
          <w:szCs w:val="32"/>
        </w:rPr>
        <w:t>书记、</w:t>
      </w:r>
      <w:r>
        <w:rPr>
          <w:rFonts w:hint="eastAsia" w:eastAsia="黑体"/>
          <w:b w:val="0"/>
          <w:bCs/>
          <w:color w:val="auto"/>
          <w:sz w:val="32"/>
          <w:szCs w:val="32"/>
          <w:lang w:eastAsia="zh-CN"/>
        </w:rPr>
        <w:t>主任</w:t>
      </w:r>
      <w:r>
        <w:rPr>
          <w:rFonts w:eastAsia="黑体"/>
          <w:b w:val="0"/>
          <w:bCs/>
          <w:color w:val="auto"/>
          <w:sz w:val="32"/>
          <w:szCs w:val="32"/>
        </w:rPr>
        <w:t>在党风廉政建设中承担以下领导责任：</w:t>
      </w:r>
      <w:bookmarkEnd w:id="72"/>
      <w:bookmarkEnd w:id="73"/>
      <w:bookmarkEnd w:id="74"/>
      <w:bookmarkEnd w:id="75"/>
      <w:bookmarkEnd w:id="76"/>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（一）对党风廉政建设工作任务进行责任分解，明确领导班子、领导干部在党风廉政建设中的职责和任务分工，并按照分工督促落实。</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（二）定期听取班子成员党风廉政建设情况汇报，研究解决党风廉政建设工作中的问题。主动与班子成员开展谈心谈话，掌握干部思想动态，发现问题及早提醒。</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（三）加大党风廉政建设的宣传教育力度，及时传达上级反腐倡廉的文件和指示，深入进行党性、党风、党纪教育和廉政教育，加强廉政文化建设。</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（四）贯彻落实党风廉政各项制度，强化权力运行监督制约，建立健全民主决策机制，推进各项决策程序化和透明化。严格按照规定选拔任用干部，防止和纠正选人用人上的不正之风。</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（五）负责落实市委关于党风廉政建设的部署和要求，分析研究党风廉政建设工作计划，坚持“两手抓、两手硬”，做到党风廉政建设与业务工作同研究、同部署、同落实、同考核。</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（六）认真贯彻执行《中国共产党廉洁自律准则》和《中国共产党纪律处分条例》等党纪党规，以身作则，清正廉洁，管好班子，带好队伍，管好家属、子女和身边工作人员。</w:t>
      </w:r>
    </w:p>
    <w:p>
      <w:pPr>
        <w:adjustRightInd w:val="0"/>
        <w:snapToGrid w:val="0"/>
        <w:spacing w:line="600" w:lineRule="exact"/>
        <w:ind w:firstLine="640" w:firstLineChars="200"/>
        <w:outlineLvl w:val="0"/>
        <w:rPr>
          <w:rFonts w:eastAsia="黑体"/>
          <w:b w:val="0"/>
          <w:bCs/>
          <w:color w:val="auto"/>
          <w:sz w:val="32"/>
          <w:szCs w:val="32"/>
        </w:rPr>
      </w:pPr>
      <w:bookmarkStart w:id="77" w:name="_Toc4152"/>
      <w:bookmarkStart w:id="78" w:name="_Toc28855"/>
      <w:bookmarkStart w:id="79" w:name="_Toc30153"/>
      <w:bookmarkStart w:id="80" w:name="_Toc31941"/>
      <w:bookmarkStart w:id="81" w:name="_Toc11033"/>
      <w:r>
        <w:rPr>
          <w:rFonts w:eastAsia="黑体"/>
          <w:b w:val="0"/>
          <w:bCs/>
          <w:color w:val="auto"/>
          <w:sz w:val="32"/>
          <w:szCs w:val="32"/>
        </w:rPr>
        <w:t>二、</w:t>
      </w:r>
      <w:r>
        <w:rPr>
          <w:rFonts w:hint="eastAsia" w:eastAsia="黑体"/>
          <w:b w:val="0"/>
          <w:bCs/>
          <w:color w:val="auto"/>
          <w:sz w:val="32"/>
          <w:szCs w:val="32"/>
          <w:lang w:eastAsia="zh-CN"/>
        </w:rPr>
        <w:t>党委</w:t>
      </w:r>
      <w:r>
        <w:rPr>
          <w:rFonts w:eastAsia="黑体"/>
          <w:b w:val="0"/>
          <w:bCs/>
          <w:color w:val="auto"/>
          <w:sz w:val="32"/>
          <w:szCs w:val="32"/>
        </w:rPr>
        <w:t>其他班子成员按照责任分工，在党风廉政建设中承担以下领导责任：</w:t>
      </w:r>
      <w:bookmarkEnd w:id="77"/>
      <w:bookmarkEnd w:id="78"/>
      <w:bookmarkEnd w:id="79"/>
      <w:bookmarkEnd w:id="80"/>
      <w:bookmarkEnd w:id="81"/>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（一）协助</w:t>
      </w:r>
      <w:r>
        <w:rPr>
          <w:rFonts w:hint="eastAsia" w:ascii="仿宋" w:hAnsi="仿宋" w:eastAsia="仿宋" w:cs="仿宋"/>
          <w:color w:val="auto"/>
          <w:sz w:val="32"/>
          <w:szCs w:val="32"/>
          <w:lang w:eastAsia="zh-CN"/>
        </w:rPr>
        <w:t>党委</w:t>
      </w:r>
      <w:r>
        <w:rPr>
          <w:rFonts w:hint="eastAsia" w:ascii="仿宋" w:hAnsi="仿宋" w:eastAsia="仿宋" w:cs="仿宋"/>
          <w:color w:val="auto"/>
          <w:sz w:val="32"/>
          <w:szCs w:val="32"/>
        </w:rPr>
        <w:t>书记、</w:t>
      </w:r>
      <w:r>
        <w:rPr>
          <w:rFonts w:hint="eastAsia" w:ascii="仿宋" w:hAnsi="仿宋" w:eastAsia="仿宋" w:cs="仿宋"/>
          <w:color w:val="auto"/>
          <w:sz w:val="32"/>
          <w:szCs w:val="32"/>
          <w:lang w:eastAsia="zh-CN"/>
        </w:rPr>
        <w:t>主任</w:t>
      </w:r>
      <w:r>
        <w:rPr>
          <w:rFonts w:hint="eastAsia" w:ascii="仿宋" w:hAnsi="仿宋" w:eastAsia="仿宋" w:cs="仿宋"/>
          <w:color w:val="auto"/>
          <w:sz w:val="32"/>
          <w:szCs w:val="32"/>
        </w:rPr>
        <w:t>抓好党风廉政建设，积极参与研究制定党风廉政建设方面的工作计划、制度和措施。 </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（二）以身作则，廉洁自律，管好家属、子女和身边工作人员，认真贯彻执行《中国共产党廉洁自律准则》和《中国共产党纪律处分条例》等党纪、党规。 </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（三）与所分管</w:t>
      </w:r>
      <w:r>
        <w:rPr>
          <w:rFonts w:hint="eastAsia" w:ascii="仿宋" w:hAnsi="仿宋" w:eastAsia="仿宋" w:cs="仿宋"/>
          <w:color w:val="auto"/>
          <w:sz w:val="32"/>
          <w:szCs w:val="32"/>
          <w:lang w:eastAsia="zh-CN"/>
        </w:rPr>
        <w:t>局办</w:t>
      </w:r>
      <w:r>
        <w:rPr>
          <w:rFonts w:hint="eastAsia" w:ascii="仿宋" w:hAnsi="仿宋" w:eastAsia="仿宋" w:cs="仿宋"/>
          <w:color w:val="auto"/>
          <w:sz w:val="32"/>
          <w:szCs w:val="32"/>
        </w:rPr>
        <w:t>共同研究布置党风廉政建设工作，督促分管</w:t>
      </w:r>
      <w:r>
        <w:rPr>
          <w:rFonts w:hint="eastAsia" w:ascii="仿宋" w:hAnsi="仿宋" w:eastAsia="仿宋" w:cs="仿宋"/>
          <w:color w:val="auto"/>
          <w:sz w:val="32"/>
          <w:szCs w:val="32"/>
          <w:lang w:eastAsia="zh-CN"/>
        </w:rPr>
        <w:t>局办</w:t>
      </w:r>
      <w:r>
        <w:rPr>
          <w:rFonts w:hint="eastAsia" w:ascii="仿宋" w:hAnsi="仿宋" w:eastAsia="仿宋" w:cs="仿宋"/>
          <w:color w:val="auto"/>
          <w:sz w:val="32"/>
          <w:szCs w:val="32"/>
        </w:rPr>
        <w:t>认真完成党风廉政建设工作任务。 </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（四）对分管</w:t>
      </w:r>
      <w:r>
        <w:rPr>
          <w:rFonts w:hint="eastAsia" w:ascii="仿宋" w:hAnsi="仿宋" w:eastAsia="仿宋" w:cs="仿宋"/>
          <w:color w:val="auto"/>
          <w:sz w:val="32"/>
          <w:szCs w:val="32"/>
          <w:lang w:eastAsia="zh-CN"/>
        </w:rPr>
        <w:t>局办</w:t>
      </w:r>
      <w:r>
        <w:rPr>
          <w:rFonts w:hint="eastAsia" w:ascii="仿宋" w:hAnsi="仿宋" w:eastAsia="仿宋" w:cs="仿宋"/>
          <w:color w:val="auto"/>
          <w:sz w:val="32"/>
          <w:szCs w:val="32"/>
        </w:rPr>
        <w:t>干部职工进行经常性的党风党纪廉政教育，增强党员干部拒腐防变能力。定期听取分管</w:t>
      </w:r>
      <w:r>
        <w:rPr>
          <w:rFonts w:hint="eastAsia" w:ascii="仿宋" w:hAnsi="仿宋" w:eastAsia="仿宋" w:cs="仿宋"/>
          <w:color w:val="auto"/>
          <w:sz w:val="32"/>
          <w:szCs w:val="32"/>
          <w:lang w:eastAsia="zh-CN"/>
        </w:rPr>
        <w:t>局办</w:t>
      </w:r>
      <w:r>
        <w:rPr>
          <w:rFonts w:hint="eastAsia" w:ascii="仿宋" w:hAnsi="仿宋" w:eastAsia="仿宋" w:cs="仿宋"/>
          <w:color w:val="auto"/>
          <w:sz w:val="32"/>
          <w:szCs w:val="32"/>
        </w:rPr>
        <w:t>党风廉政情况汇报，同时向</w:t>
      </w:r>
      <w:r>
        <w:rPr>
          <w:rFonts w:hint="eastAsia" w:ascii="仿宋" w:hAnsi="仿宋" w:eastAsia="仿宋" w:cs="仿宋"/>
          <w:color w:val="auto"/>
          <w:sz w:val="32"/>
          <w:szCs w:val="32"/>
          <w:lang w:eastAsia="zh-CN"/>
        </w:rPr>
        <w:t>党委</w:t>
      </w:r>
      <w:r>
        <w:rPr>
          <w:rFonts w:hint="eastAsia" w:ascii="仿宋" w:hAnsi="仿宋" w:eastAsia="仿宋" w:cs="仿宋"/>
          <w:color w:val="auto"/>
          <w:sz w:val="32"/>
          <w:szCs w:val="32"/>
        </w:rPr>
        <w:t>汇报分管范围内党风廉政建设落实情况。</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（五）加强分管</w:t>
      </w:r>
      <w:r>
        <w:rPr>
          <w:rFonts w:hint="eastAsia" w:ascii="仿宋" w:hAnsi="仿宋" w:eastAsia="仿宋" w:cs="仿宋"/>
          <w:color w:val="auto"/>
          <w:sz w:val="32"/>
          <w:szCs w:val="32"/>
          <w:lang w:eastAsia="zh-CN"/>
        </w:rPr>
        <w:t>局办</w:t>
      </w:r>
      <w:r>
        <w:rPr>
          <w:rFonts w:hint="eastAsia" w:ascii="仿宋" w:hAnsi="仿宋" w:eastAsia="仿宋" w:cs="仿宋"/>
          <w:color w:val="auto"/>
          <w:sz w:val="32"/>
          <w:szCs w:val="32"/>
        </w:rPr>
        <w:t>干部职工的监督管理，及时发现和解决工作中带有苗头性、倾向性的问题，适时与分管干部职工进行廉政谈话，了解思想动态，及时进行心理和情绪疏导，做到早提醒、早纠正。</w:t>
      </w:r>
    </w:p>
    <w:p>
      <w:pPr>
        <w:adjustRightInd w:val="0"/>
        <w:snapToGrid w:val="0"/>
        <w:spacing w:line="600" w:lineRule="exact"/>
        <w:ind w:firstLine="640" w:firstLineChars="200"/>
        <w:outlineLvl w:val="0"/>
        <w:rPr>
          <w:rFonts w:eastAsia="黑体"/>
          <w:b/>
          <w:bCs w:val="0"/>
          <w:color w:val="auto"/>
          <w:sz w:val="32"/>
          <w:szCs w:val="32"/>
        </w:rPr>
      </w:pPr>
      <w:bookmarkStart w:id="82" w:name="_Toc15315"/>
      <w:bookmarkStart w:id="83" w:name="_Toc29191"/>
      <w:bookmarkStart w:id="84" w:name="_Toc28537"/>
      <w:bookmarkStart w:id="85" w:name="_Toc12021"/>
      <w:bookmarkStart w:id="86" w:name="_Toc8403"/>
      <w:r>
        <w:rPr>
          <w:rFonts w:eastAsia="黑体"/>
          <w:b w:val="0"/>
          <w:bCs/>
          <w:color w:val="auto"/>
          <w:sz w:val="32"/>
          <w:szCs w:val="32"/>
        </w:rPr>
        <w:t>三、各</w:t>
      </w:r>
      <w:r>
        <w:rPr>
          <w:rFonts w:hint="eastAsia" w:eastAsia="黑体"/>
          <w:b w:val="0"/>
          <w:bCs/>
          <w:color w:val="auto"/>
          <w:sz w:val="32"/>
          <w:szCs w:val="32"/>
          <w:lang w:eastAsia="zh-CN"/>
        </w:rPr>
        <w:t>局办</w:t>
      </w:r>
      <w:r>
        <w:rPr>
          <w:rFonts w:eastAsia="黑体"/>
          <w:b w:val="0"/>
          <w:bCs/>
          <w:color w:val="auto"/>
          <w:sz w:val="32"/>
          <w:szCs w:val="32"/>
        </w:rPr>
        <w:t>主要负责人在党风廉政建设工作中的责任：</w:t>
      </w:r>
      <w:bookmarkEnd w:id="82"/>
      <w:bookmarkEnd w:id="83"/>
      <w:bookmarkEnd w:id="84"/>
      <w:bookmarkEnd w:id="85"/>
      <w:bookmarkEnd w:id="86"/>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（一）贯彻落实</w:t>
      </w:r>
      <w:r>
        <w:rPr>
          <w:rFonts w:hint="eastAsia" w:ascii="仿宋" w:hAnsi="仿宋" w:eastAsia="仿宋" w:cs="仿宋"/>
          <w:color w:val="auto"/>
          <w:sz w:val="32"/>
          <w:szCs w:val="32"/>
          <w:lang w:eastAsia="zh-CN"/>
        </w:rPr>
        <w:t>党委</w:t>
      </w:r>
      <w:r>
        <w:rPr>
          <w:rFonts w:hint="eastAsia" w:ascii="仿宋" w:hAnsi="仿宋" w:eastAsia="仿宋" w:cs="仿宋"/>
          <w:color w:val="auto"/>
          <w:sz w:val="32"/>
          <w:szCs w:val="32"/>
        </w:rPr>
        <w:t>关于党风廉政建设的部署要求，认真抓好落实。</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（二）加强本</w:t>
      </w:r>
      <w:r>
        <w:rPr>
          <w:rFonts w:hint="eastAsia" w:ascii="仿宋" w:hAnsi="仿宋" w:eastAsia="仿宋" w:cs="仿宋"/>
          <w:color w:val="auto"/>
          <w:sz w:val="32"/>
          <w:szCs w:val="32"/>
          <w:lang w:eastAsia="zh-CN"/>
        </w:rPr>
        <w:t>局办</w:t>
      </w:r>
      <w:r>
        <w:rPr>
          <w:rFonts w:hint="eastAsia" w:ascii="仿宋" w:hAnsi="仿宋" w:eastAsia="仿宋" w:cs="仿宋"/>
          <w:color w:val="auto"/>
          <w:sz w:val="32"/>
          <w:szCs w:val="32"/>
        </w:rPr>
        <w:t>干部职工的廉政教育，严格管理，严格监督，预防廉政风险。</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（三）加强作风建设，认真对待群众的来信、来访，切实关心、帮助、解决群众提出的合理要求。 </w:t>
      </w:r>
    </w:p>
    <w:p>
      <w:pPr>
        <w:adjustRightInd w:val="0"/>
        <w:snapToGrid w:val="0"/>
        <w:spacing w:line="6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（四）认真遵守党风廉政建设各项规定，对党风廉政建设方面存在的倾向性问题，及时进行整改。</w:t>
      </w:r>
    </w:p>
    <w:p>
      <w:pPr>
        <w:adjustRightInd w:val="0"/>
        <w:snapToGrid w:val="0"/>
        <w:spacing w:line="600" w:lineRule="exact"/>
        <w:ind w:firstLine="640" w:firstLineChars="200"/>
        <w:outlineLvl w:val="0"/>
        <w:rPr>
          <w:rFonts w:hint="eastAsia" w:eastAsia="黑体"/>
          <w:b/>
          <w:bCs w:val="0"/>
          <w:color w:val="auto"/>
          <w:sz w:val="32"/>
          <w:szCs w:val="32"/>
          <w:lang w:eastAsia="zh-CN"/>
        </w:rPr>
      </w:pPr>
      <w:bookmarkStart w:id="87" w:name="_Toc5539"/>
      <w:bookmarkStart w:id="88" w:name="_Toc29982"/>
      <w:bookmarkStart w:id="89" w:name="_Toc5438"/>
      <w:bookmarkStart w:id="90" w:name="_Toc12210"/>
      <w:bookmarkStart w:id="91" w:name="_Toc4048"/>
      <w:r>
        <w:rPr>
          <w:rFonts w:hint="eastAsia" w:eastAsia="黑体"/>
          <w:b w:val="0"/>
          <w:bCs/>
          <w:color w:val="auto"/>
          <w:sz w:val="32"/>
          <w:szCs w:val="32"/>
          <w:lang w:eastAsia="zh-CN"/>
        </w:rPr>
        <w:t>四、本制度自发布之日起执行。</w:t>
      </w:r>
      <w:bookmarkEnd w:id="87"/>
      <w:bookmarkEnd w:id="88"/>
      <w:bookmarkEnd w:id="89"/>
      <w:bookmarkEnd w:id="90"/>
      <w:bookmarkEnd w:id="91"/>
    </w:p>
    <w:p>
      <w:pPr>
        <w:ind w:firstLine="640" w:firstLineChars="200"/>
        <w:rPr>
          <w:rFonts w:hint="eastAsia" w:eastAsia="仿宋_GB2312"/>
          <w:color w:val="auto"/>
          <w:sz w:val="32"/>
          <w:szCs w:val="32"/>
          <w:lang w:eastAsia="zh-CN"/>
        </w:rPr>
      </w:pPr>
    </w:p>
    <w:p>
      <w:pPr>
        <w:ind w:firstLine="640" w:firstLineChars="200"/>
        <w:rPr>
          <w:rFonts w:eastAsia="仿宋_GB2312"/>
          <w:color w:val="auto"/>
          <w:sz w:val="32"/>
          <w:szCs w:val="32"/>
        </w:rPr>
      </w:pPr>
    </w:p>
    <w:p>
      <w:pPr>
        <w:ind w:firstLine="640" w:firstLineChars="200"/>
        <w:rPr>
          <w:rFonts w:eastAsia="仿宋_GB2312"/>
          <w:color w:val="auto"/>
          <w:sz w:val="32"/>
          <w:szCs w:val="32"/>
        </w:rPr>
      </w:pPr>
    </w:p>
    <w:p>
      <w:pPr>
        <w:ind w:firstLine="640" w:firstLineChars="200"/>
        <w:rPr>
          <w:rFonts w:eastAsia="仿宋_GB2312"/>
          <w:color w:val="auto"/>
          <w:sz w:val="32"/>
          <w:szCs w:val="32"/>
        </w:rPr>
      </w:pPr>
    </w:p>
    <w:p>
      <w:pPr>
        <w:ind w:firstLine="640" w:firstLineChars="200"/>
        <w:rPr>
          <w:rFonts w:eastAsia="仿宋_GB2312"/>
          <w:color w:val="auto"/>
          <w:sz w:val="32"/>
          <w:szCs w:val="32"/>
        </w:rPr>
      </w:pPr>
    </w:p>
    <w:p>
      <w:pPr>
        <w:ind w:firstLine="640" w:firstLineChars="200"/>
        <w:rPr>
          <w:rFonts w:eastAsia="仿宋_GB2312"/>
          <w:color w:val="auto"/>
          <w:sz w:val="32"/>
          <w:szCs w:val="32"/>
        </w:rPr>
      </w:pPr>
    </w:p>
    <w:p>
      <w:pPr>
        <w:ind w:firstLine="640" w:firstLineChars="200"/>
        <w:rPr>
          <w:rFonts w:eastAsia="仿宋_GB2312"/>
          <w:color w:val="auto"/>
          <w:sz w:val="32"/>
          <w:szCs w:val="32"/>
        </w:rPr>
      </w:pPr>
    </w:p>
    <w:p>
      <w:pPr>
        <w:ind w:firstLine="640" w:firstLineChars="200"/>
        <w:rPr>
          <w:rFonts w:eastAsia="仿宋_GB2312"/>
          <w:color w:val="auto"/>
          <w:sz w:val="32"/>
          <w:szCs w:val="32"/>
        </w:rPr>
      </w:pPr>
    </w:p>
    <w:p>
      <w:pPr>
        <w:ind w:firstLine="640" w:firstLineChars="200"/>
        <w:rPr>
          <w:rFonts w:eastAsia="仿宋_GB2312"/>
          <w:color w:val="auto"/>
          <w:sz w:val="32"/>
          <w:szCs w:val="32"/>
        </w:rPr>
        <w:sectPr>
          <w:pgSz w:w="11906" w:h="16838"/>
          <w:pgMar w:top="1440" w:right="1800" w:bottom="1440" w:left="1800" w:header="851" w:footer="992" w:gutter="0"/>
          <w:pgNumType w:fmt="numberInDash"/>
          <w:cols w:space="720" w:num="1"/>
          <w:docGrid w:type="lines" w:linePitch="312" w:charSpace="0"/>
        </w:sectPr>
      </w:pPr>
    </w:p>
    <w:p>
      <w:pPr>
        <w:jc w:val="both"/>
        <w:rPr>
          <w:rStyle w:val="21"/>
          <w:rFonts w:hint="eastAsia" w:eastAsia="宋体"/>
          <w:color w:val="auto"/>
          <w:lang w:eastAsia="zh-CN"/>
        </w:rPr>
      </w:pPr>
      <w:bookmarkStart w:id="92" w:name="_Toc25882"/>
      <w:bookmarkStart w:id="93" w:name="_Toc29684"/>
      <w:r>
        <w:rPr>
          <w:rStyle w:val="21"/>
          <w:rFonts w:hint="eastAsia" w:eastAsia="宋体"/>
          <w:color w:val="auto"/>
          <w:lang w:eastAsia="zh-CN"/>
        </w:rPr>
        <w:drawing>
          <wp:inline distT="0" distB="0" distL="114300" distR="114300">
            <wp:extent cx="6205855" cy="8170545"/>
            <wp:effectExtent l="0" t="0" r="4445" b="1905"/>
            <wp:docPr id="117" name="图片 117" descr="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党风"/>
                    <pic:cNvPicPr>
                      <a:picLocks noChangeAspect="1"/>
                    </pic:cNvPicPr>
                  </pic:nvPicPr>
                  <pic:blipFill>
                    <a:blip r:embed="rId16"/>
                    <a:stretch>
                      <a:fillRect/>
                    </a:stretch>
                  </pic:blipFill>
                  <pic:spPr>
                    <a:xfrm>
                      <a:off x="0" y="0"/>
                      <a:ext cx="6205855" cy="8170545"/>
                    </a:xfrm>
                    <a:prstGeom prst="rect">
                      <a:avLst/>
                    </a:prstGeom>
                  </pic:spPr>
                </pic:pic>
              </a:graphicData>
            </a:graphic>
          </wp:inline>
        </w:drawing>
      </w:r>
    </w:p>
    <w:bookmarkEnd w:id="92"/>
    <w:p>
      <w:pPr>
        <w:jc w:val="both"/>
        <w:rPr>
          <w:rStyle w:val="21"/>
          <w:rFonts w:hint="eastAsia"/>
          <w:color w:val="auto"/>
        </w:rPr>
      </w:pPr>
    </w:p>
    <w:p>
      <w:pPr>
        <w:ind w:firstLine="1325" w:firstLineChars="300"/>
        <w:jc w:val="both"/>
        <w:rPr>
          <w:rFonts w:hint="eastAsia" w:ascii="仿宋" w:hAnsi="仿宋" w:eastAsia="仿宋"/>
          <w:color w:val="auto"/>
          <w:sz w:val="32"/>
          <w:szCs w:val="32"/>
        </w:rPr>
      </w:pPr>
      <w:bookmarkStart w:id="94" w:name="_Toc26301"/>
      <w:r>
        <w:rPr>
          <w:rStyle w:val="21"/>
          <w:rFonts w:hint="eastAsia" w:eastAsia="宋体"/>
          <w:color w:val="auto"/>
          <w:lang w:val="en-US" w:eastAsia="zh-CN"/>
        </w:rPr>
        <w:t>7、</w:t>
      </w:r>
      <w:r>
        <w:rPr>
          <w:rStyle w:val="21"/>
          <w:rFonts w:hint="eastAsia"/>
          <w:color w:val="auto"/>
        </w:rPr>
        <w:t>选人用人</w:t>
      </w:r>
      <w:r>
        <w:rPr>
          <w:rStyle w:val="21"/>
          <w:color w:val="auto"/>
        </w:rPr>
        <w:t>监督</w:t>
      </w:r>
      <w:r>
        <w:rPr>
          <w:rStyle w:val="21"/>
          <w:rFonts w:hint="eastAsia"/>
          <w:color w:val="auto"/>
        </w:rPr>
        <w:t>管理制度</w:t>
      </w:r>
      <w:r>
        <w:rPr>
          <w:rStyle w:val="21"/>
          <w:color w:val="auto"/>
        </w:rPr>
        <w:t>(试行)</w:t>
      </w:r>
      <w:bookmarkEnd w:id="93"/>
      <w:bookmarkEnd w:id="94"/>
      <w:r>
        <w:rPr>
          <w:color w:val="auto"/>
        </w:rPr>
        <w:br w:type="textWrapping"/>
      </w:r>
      <w:r>
        <w:rPr>
          <w:rFonts w:hint="eastAsia" w:ascii="黑体" w:hAnsi="黑体" w:eastAsia="黑体"/>
          <w:color w:val="auto"/>
          <w:sz w:val="32"/>
          <w:szCs w:val="32"/>
        </w:rPr>
        <w:t xml:space="preserve">                     </w:t>
      </w:r>
      <w:r>
        <w:rPr>
          <w:rFonts w:ascii="黑体" w:hAnsi="黑体" w:eastAsia="黑体"/>
          <w:color w:val="auto"/>
          <w:sz w:val="32"/>
          <w:szCs w:val="32"/>
        </w:rPr>
        <w:t>第一</w:t>
      </w:r>
      <w:r>
        <w:rPr>
          <w:rFonts w:hint="eastAsia" w:ascii="黑体" w:hAnsi="黑体" w:eastAsia="黑体"/>
          <w:color w:val="auto"/>
          <w:sz w:val="32"/>
          <w:szCs w:val="32"/>
        </w:rPr>
        <w:t xml:space="preserve">   </w:t>
      </w:r>
      <w:r>
        <w:rPr>
          <w:rFonts w:ascii="黑体" w:hAnsi="黑体" w:eastAsia="黑体"/>
          <w:color w:val="auto"/>
          <w:sz w:val="32"/>
          <w:szCs w:val="32"/>
        </w:rPr>
        <w:t>总则</w:t>
      </w:r>
      <w:r>
        <w:rPr>
          <w:color w:val="auto"/>
          <w:sz w:val="32"/>
          <w:szCs w:val="32"/>
        </w:rPr>
        <w:br w:type="textWrapping"/>
      </w:r>
      <w:r>
        <w:rPr>
          <w:rFonts w:hint="eastAsia" w:ascii="仿宋" w:hAnsi="仿宋" w:eastAsia="仿宋"/>
          <w:color w:val="auto"/>
          <w:sz w:val="32"/>
          <w:szCs w:val="32"/>
        </w:rPr>
        <w:t xml:space="preserve">   </w:t>
      </w:r>
      <w:r>
        <w:rPr>
          <w:rFonts w:hint="eastAsia" w:ascii="仿宋" w:hAnsi="仿宋"/>
          <w:color w:val="auto"/>
          <w:sz w:val="32"/>
          <w:szCs w:val="32"/>
          <w:lang w:val="en-US" w:eastAsia="zh-CN"/>
        </w:rPr>
        <w:t xml:space="preserve"> </w:t>
      </w:r>
      <w:r>
        <w:rPr>
          <w:rFonts w:ascii="仿宋" w:hAnsi="仿宋" w:eastAsia="仿宋"/>
          <w:color w:val="auto"/>
          <w:sz w:val="32"/>
          <w:szCs w:val="32"/>
        </w:rPr>
        <w:t>第一条为规范党</w:t>
      </w:r>
      <w:r>
        <w:rPr>
          <w:rFonts w:hint="eastAsia" w:ascii="仿宋" w:hAnsi="仿宋" w:eastAsia="仿宋"/>
          <w:color w:val="auto"/>
          <w:sz w:val="32"/>
          <w:szCs w:val="32"/>
        </w:rPr>
        <w:t>员</w:t>
      </w:r>
      <w:r>
        <w:rPr>
          <w:rFonts w:ascii="仿宋" w:hAnsi="仿宋" w:eastAsia="仿宋"/>
          <w:color w:val="auto"/>
          <w:sz w:val="32"/>
          <w:szCs w:val="32"/>
        </w:rPr>
        <w:t>领导干部选拔任用工作，努力建设高素质的领导干部队伍，根据《党政领导干部</w:t>
      </w:r>
      <w:r>
        <w:rPr>
          <w:rFonts w:hint="eastAsia" w:ascii="仿宋" w:hAnsi="仿宋" w:eastAsia="仿宋"/>
          <w:color w:val="auto"/>
          <w:sz w:val="32"/>
          <w:szCs w:val="32"/>
        </w:rPr>
        <w:t>选</w:t>
      </w:r>
      <w:r>
        <w:rPr>
          <w:rFonts w:ascii="仿宋" w:hAnsi="仿宋" w:eastAsia="仿宋"/>
          <w:color w:val="auto"/>
          <w:sz w:val="32"/>
          <w:szCs w:val="32"/>
        </w:rPr>
        <w:t>拔任用工作条例》(以下简称《干部任用条例》)和中央关于《党政领导干部</w:t>
      </w:r>
      <w:r>
        <w:rPr>
          <w:rFonts w:hint="eastAsia" w:ascii="仿宋" w:hAnsi="仿宋"/>
          <w:color w:val="auto"/>
          <w:sz w:val="32"/>
          <w:szCs w:val="32"/>
          <w:lang w:eastAsia="zh-CN"/>
        </w:rPr>
        <w:t>选拔</w:t>
      </w:r>
      <w:r>
        <w:rPr>
          <w:rFonts w:ascii="仿宋" w:hAnsi="仿宋" w:eastAsia="仿宋"/>
          <w:color w:val="auto"/>
          <w:sz w:val="32"/>
          <w:szCs w:val="32"/>
        </w:rPr>
        <w:t>任用工作监督检办法(试行)》的有关期定，制定本</w:t>
      </w:r>
      <w:r>
        <w:rPr>
          <w:rFonts w:hint="eastAsia" w:ascii="仿宋" w:hAnsi="仿宋" w:eastAsia="仿宋"/>
          <w:color w:val="auto"/>
          <w:sz w:val="32"/>
          <w:szCs w:val="32"/>
        </w:rPr>
        <w:t>制度。</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第二条党政领导干部选拔任用的监督，以</w:t>
      </w:r>
      <w:r>
        <w:rPr>
          <w:rFonts w:hint="eastAsia" w:ascii="仿宋" w:hAnsi="仿宋"/>
          <w:color w:val="auto"/>
          <w:sz w:val="32"/>
          <w:szCs w:val="32"/>
          <w:lang w:eastAsia="zh-CN"/>
        </w:rPr>
        <w:t>习近平新时代中国特色社会主义</w:t>
      </w:r>
      <w:r>
        <w:rPr>
          <w:rFonts w:ascii="仿宋" w:hAnsi="仿宋" w:eastAsia="仿宋"/>
          <w:color w:val="auto"/>
          <w:sz w:val="32"/>
          <w:szCs w:val="32"/>
        </w:rPr>
        <w:t>思想为指导，坚持党要管党、从严治党的方针加强对党政导干部选拔任用工作的全过程监督，坚决防止和纠正选人用人上的不正之风，保证党的干部路线、方针、政策全面正确地</w:t>
      </w:r>
      <w:r>
        <w:rPr>
          <w:rFonts w:hint="eastAsia" w:ascii="仿宋" w:hAnsi="仿宋" w:eastAsia="仿宋"/>
          <w:color w:val="auto"/>
          <w:sz w:val="32"/>
          <w:szCs w:val="32"/>
        </w:rPr>
        <w:t>贯彻落实。</w:t>
      </w:r>
    </w:p>
    <w:p>
      <w:pPr>
        <w:ind w:firstLine="640" w:firstLineChars="200"/>
        <w:jc w:val="both"/>
        <w:rPr>
          <w:rFonts w:hint="eastAsia" w:ascii="仿宋" w:hAnsi="仿宋" w:eastAsia="仿宋"/>
          <w:color w:val="auto"/>
          <w:sz w:val="32"/>
          <w:szCs w:val="32"/>
        </w:rPr>
      </w:pPr>
      <w:r>
        <w:rPr>
          <w:rFonts w:ascii="仿宋" w:hAnsi="仿宋" w:eastAsia="仿宋"/>
          <w:color w:val="auto"/>
          <w:sz w:val="32"/>
          <w:szCs w:val="32"/>
        </w:rPr>
        <w:t>第三条党政领导干部</w:t>
      </w:r>
      <w:r>
        <w:rPr>
          <w:rFonts w:hint="eastAsia" w:ascii="仿宋" w:hAnsi="仿宋"/>
          <w:color w:val="auto"/>
          <w:sz w:val="32"/>
          <w:szCs w:val="32"/>
          <w:lang w:eastAsia="zh-CN"/>
        </w:rPr>
        <w:t>选拔</w:t>
      </w:r>
      <w:r>
        <w:rPr>
          <w:rFonts w:ascii="仿宋" w:hAnsi="仿宋" w:eastAsia="仿宋"/>
          <w:color w:val="auto"/>
          <w:sz w:val="32"/>
          <w:szCs w:val="32"/>
        </w:rPr>
        <w:t>任用工作的监督遵循下列原则:</w:t>
      </w:r>
      <w:r>
        <w:rPr>
          <w:rFonts w:ascii="仿宋" w:hAnsi="仿宋" w:eastAsia="仿宋"/>
          <w:color w:val="auto"/>
          <w:sz w:val="32"/>
          <w:szCs w:val="32"/>
        </w:rPr>
        <w:br w:type="textWrapping"/>
      </w:r>
      <w:r>
        <w:rPr>
          <w:rFonts w:hint="eastAsia" w:ascii="仿宋" w:hAnsi="仿宋"/>
          <w:color w:val="auto"/>
          <w:sz w:val="32"/>
          <w:szCs w:val="32"/>
          <w:lang w:val="en-US" w:eastAsia="zh-CN"/>
        </w:rPr>
        <w:t xml:space="preserve">    </w:t>
      </w:r>
      <w:r>
        <w:rPr>
          <w:rFonts w:ascii="仿宋" w:hAnsi="仿宋" w:eastAsia="仿宋"/>
          <w:color w:val="auto"/>
          <w:sz w:val="32"/>
          <w:szCs w:val="32"/>
        </w:rPr>
        <w:t>(</w:t>
      </w:r>
      <w:r>
        <w:rPr>
          <w:rFonts w:hint="eastAsia" w:ascii="仿宋" w:hAnsi="仿宋"/>
          <w:color w:val="auto"/>
          <w:sz w:val="32"/>
          <w:szCs w:val="32"/>
          <w:lang w:eastAsia="zh-CN"/>
        </w:rPr>
        <w:t>一</w:t>
      </w:r>
      <w:r>
        <w:rPr>
          <w:rFonts w:ascii="仿宋" w:hAnsi="仿宋" w:eastAsia="仿宋"/>
          <w:color w:val="auto"/>
          <w:sz w:val="32"/>
          <w:szCs w:val="32"/>
        </w:rPr>
        <w:t>)党委领导、分级负责原则</w:t>
      </w:r>
      <w:r>
        <w:rPr>
          <w:rFonts w:ascii="仿宋" w:hAnsi="仿宋" w:eastAsia="仿宋"/>
          <w:color w:val="auto"/>
          <w:sz w:val="32"/>
          <w:szCs w:val="32"/>
        </w:rPr>
        <w:br w:type="textWrapping"/>
      </w:r>
      <w:r>
        <w:rPr>
          <w:rFonts w:hint="eastAsia" w:ascii="仿宋" w:hAnsi="仿宋"/>
          <w:color w:val="auto"/>
          <w:sz w:val="32"/>
          <w:szCs w:val="32"/>
          <w:lang w:val="en-US" w:eastAsia="zh-CN"/>
        </w:rPr>
        <w:t xml:space="preserve">    </w:t>
      </w:r>
      <w:r>
        <w:rPr>
          <w:rFonts w:ascii="仿宋" w:hAnsi="仿宋" w:eastAsia="仿宋"/>
          <w:color w:val="auto"/>
          <w:sz w:val="32"/>
          <w:szCs w:val="32"/>
        </w:rPr>
        <w:t>(二)实事求是、客观公正原</w:t>
      </w:r>
      <w:r>
        <w:rPr>
          <w:rFonts w:hint="eastAsia" w:ascii="仿宋" w:hAnsi="仿宋"/>
          <w:color w:val="auto"/>
          <w:sz w:val="32"/>
          <w:szCs w:val="32"/>
          <w:lang w:eastAsia="zh-CN"/>
        </w:rPr>
        <w:t>则</w:t>
      </w:r>
      <w:r>
        <w:rPr>
          <w:rFonts w:ascii="仿宋" w:hAnsi="仿宋" w:eastAsia="仿宋"/>
          <w:color w:val="auto"/>
          <w:sz w:val="32"/>
          <w:szCs w:val="32"/>
        </w:rPr>
        <w:t>;</w:t>
      </w:r>
    </w:p>
    <w:p>
      <w:pPr>
        <w:ind w:left="640" w:leftChars="200" w:firstLine="0" w:firstLineChars="0"/>
        <w:jc w:val="both"/>
        <w:rPr>
          <w:rFonts w:hint="eastAsia" w:ascii="仿宋" w:hAnsi="仿宋" w:eastAsia="仿宋"/>
          <w:color w:val="auto"/>
          <w:sz w:val="32"/>
          <w:szCs w:val="32"/>
        </w:rPr>
      </w:pPr>
      <w:r>
        <w:rPr>
          <w:rFonts w:ascii="仿宋" w:hAnsi="仿宋" w:eastAsia="仿宋"/>
          <w:color w:val="auto"/>
          <w:sz w:val="32"/>
          <w:szCs w:val="32"/>
        </w:rPr>
        <w:t>(三</w:t>
      </w:r>
      <w:r>
        <w:rPr>
          <w:rFonts w:hint="eastAsia" w:ascii="仿宋" w:hAnsi="仿宋" w:eastAsia="仿宋"/>
          <w:color w:val="auto"/>
          <w:sz w:val="32"/>
          <w:szCs w:val="32"/>
        </w:rPr>
        <w:t>）</w:t>
      </w:r>
      <w:r>
        <w:rPr>
          <w:rFonts w:ascii="仿宋" w:hAnsi="仿宋" w:eastAsia="仿宋"/>
          <w:color w:val="auto"/>
          <w:sz w:val="32"/>
          <w:szCs w:val="32"/>
        </w:rPr>
        <w:t>扩大民主、群众参与原则</w:t>
      </w:r>
      <w:r>
        <w:rPr>
          <w:rFonts w:ascii="仿宋" w:hAnsi="仿宋" w:eastAsia="仿宋"/>
          <w:color w:val="auto"/>
          <w:sz w:val="32"/>
          <w:szCs w:val="32"/>
        </w:rPr>
        <w:br w:type="textWrapping"/>
      </w:r>
      <w:r>
        <w:rPr>
          <w:rFonts w:ascii="仿宋" w:hAnsi="仿宋" w:eastAsia="仿宋"/>
          <w:color w:val="auto"/>
          <w:sz w:val="32"/>
          <w:szCs w:val="32"/>
        </w:rPr>
        <w:t>(四)全程监督、预防为主原则;</w:t>
      </w:r>
      <w:r>
        <w:rPr>
          <w:rFonts w:ascii="仿宋" w:hAnsi="仿宋" w:eastAsia="仿宋"/>
          <w:color w:val="auto"/>
          <w:sz w:val="32"/>
          <w:szCs w:val="32"/>
        </w:rPr>
        <w:br w:type="textWrapping"/>
      </w:r>
      <w:r>
        <w:rPr>
          <w:rFonts w:ascii="仿宋" w:hAnsi="仿宋" w:eastAsia="仿宋"/>
          <w:color w:val="auto"/>
          <w:sz w:val="32"/>
          <w:szCs w:val="32"/>
        </w:rPr>
        <w:t>(五)依法依纪监督、</w:t>
      </w:r>
      <w:r>
        <w:rPr>
          <w:rFonts w:hint="eastAsia" w:ascii="仿宋" w:hAnsi="仿宋"/>
          <w:color w:val="auto"/>
          <w:sz w:val="32"/>
          <w:szCs w:val="32"/>
          <w:lang w:eastAsia="zh-CN"/>
        </w:rPr>
        <w:t>违</w:t>
      </w:r>
      <w:r>
        <w:rPr>
          <w:rFonts w:ascii="仿宋" w:hAnsi="仿宋" w:eastAsia="仿宋"/>
          <w:color w:val="auto"/>
          <w:sz w:val="32"/>
          <w:szCs w:val="32"/>
        </w:rPr>
        <w:t>法违纪必纠原则</w:t>
      </w:r>
    </w:p>
    <w:p>
      <w:pPr>
        <w:ind w:firstLine="640" w:firstLineChars="200"/>
        <w:jc w:val="both"/>
        <w:rPr>
          <w:rFonts w:hint="eastAsia" w:ascii="仿宋" w:hAnsi="仿宋"/>
          <w:color w:val="auto"/>
          <w:sz w:val="32"/>
          <w:szCs w:val="32"/>
          <w:lang w:eastAsia="zh-CN"/>
        </w:rPr>
      </w:pPr>
      <w:r>
        <w:rPr>
          <w:rFonts w:ascii="仿宋" w:hAnsi="仿宋" w:eastAsia="仿宋"/>
          <w:color w:val="auto"/>
          <w:sz w:val="32"/>
          <w:szCs w:val="32"/>
        </w:rPr>
        <w:t>第四条本办法规定的监督对象是《干部任用条例》适用和参照范国内的党委(党组);党政领导干部特别是主要领导成员。</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第五条党委及其组织人事部门，按照干部管理权限行对党政领导干部选拔任用工作监督的职责。组织(人事)部干部监督机构具体负责本办法的组织实施</w:t>
      </w:r>
      <w:r>
        <w:rPr>
          <w:rFonts w:hint="eastAsia" w:ascii="仿宋" w:hAnsi="仿宋"/>
          <w:color w:val="auto"/>
          <w:sz w:val="32"/>
          <w:szCs w:val="32"/>
          <w:lang w:eastAsia="zh-CN"/>
        </w:rPr>
        <w:t>。</w:t>
      </w:r>
    </w:p>
    <w:p>
      <w:pPr>
        <w:ind w:firstLine="640" w:firstLineChars="200"/>
        <w:jc w:val="both"/>
        <w:rPr>
          <w:rFonts w:hint="eastAsia" w:ascii="仿宋" w:hAnsi="仿宋" w:eastAsia="仿宋"/>
          <w:color w:val="auto"/>
          <w:sz w:val="32"/>
          <w:szCs w:val="32"/>
        </w:rPr>
      </w:pPr>
      <w:r>
        <w:rPr>
          <w:rFonts w:hint="eastAsia" w:ascii="仿宋" w:hAnsi="仿宋"/>
          <w:color w:val="auto"/>
          <w:sz w:val="32"/>
          <w:szCs w:val="32"/>
          <w:lang w:eastAsia="zh-CN"/>
        </w:rPr>
        <w:t>第六条将个人信用状况纳入考核体系。</w:t>
      </w:r>
      <w:r>
        <w:rPr>
          <w:rFonts w:ascii="仿宋" w:hAnsi="仿宋" w:eastAsia="仿宋"/>
          <w:color w:val="auto"/>
          <w:sz w:val="32"/>
          <w:szCs w:val="32"/>
        </w:rPr>
        <w:br w:type="textWrapping"/>
      </w:r>
      <w:r>
        <w:rPr>
          <w:rFonts w:hint="eastAsia" w:ascii="黑体" w:hAnsi="黑体" w:eastAsia="黑体"/>
          <w:color w:val="auto"/>
          <w:sz w:val="32"/>
          <w:szCs w:val="32"/>
        </w:rPr>
        <w:t xml:space="preserve">                  </w:t>
      </w:r>
      <w:r>
        <w:rPr>
          <w:rFonts w:ascii="黑体" w:hAnsi="黑体" w:eastAsia="黑体"/>
          <w:color w:val="auto"/>
          <w:sz w:val="32"/>
          <w:szCs w:val="32"/>
        </w:rPr>
        <w:t>第二</w:t>
      </w:r>
      <w:r>
        <w:rPr>
          <w:rFonts w:hint="eastAsia" w:ascii="黑体" w:hAnsi="黑体" w:eastAsia="黑体"/>
          <w:color w:val="auto"/>
          <w:sz w:val="32"/>
          <w:szCs w:val="32"/>
        </w:rPr>
        <w:t xml:space="preserve">   </w:t>
      </w:r>
      <w:r>
        <w:rPr>
          <w:rFonts w:ascii="黑体" w:hAnsi="黑体" w:eastAsia="黑体"/>
          <w:color w:val="auto"/>
          <w:sz w:val="32"/>
          <w:szCs w:val="32"/>
        </w:rPr>
        <w:t>监督内容</w:t>
      </w:r>
      <w:r>
        <w:rPr>
          <w:rFonts w:ascii="黑体" w:hAnsi="黑体" w:eastAsia="黑体"/>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w:t>
      </w:r>
      <w:r>
        <w:rPr>
          <w:rFonts w:hint="eastAsia" w:ascii="仿宋" w:hAnsi="仿宋"/>
          <w:color w:val="auto"/>
          <w:sz w:val="32"/>
          <w:szCs w:val="32"/>
          <w:lang w:eastAsia="zh-CN"/>
        </w:rPr>
        <w:t>七</w:t>
      </w:r>
      <w:r>
        <w:rPr>
          <w:rFonts w:ascii="仿宋" w:hAnsi="仿宋" w:eastAsia="仿宋"/>
          <w:color w:val="auto"/>
          <w:sz w:val="32"/>
          <w:szCs w:val="32"/>
        </w:rPr>
        <w:t>条监督党政领导干部选拔任用工作原则的贯彻落实。督查《干部任用条例》规定的党管干部原则，任人为</w:t>
      </w:r>
      <w:r>
        <w:rPr>
          <w:rFonts w:hint="eastAsia" w:ascii="仿宋" w:hAnsi="仿宋" w:eastAsia="仿宋"/>
          <w:color w:val="auto"/>
          <w:sz w:val="32"/>
          <w:szCs w:val="32"/>
        </w:rPr>
        <w:t>贤</w:t>
      </w:r>
      <w:r>
        <w:rPr>
          <w:rFonts w:ascii="仿宋" w:hAnsi="仿宋" w:eastAsia="仿宋"/>
          <w:color w:val="auto"/>
          <w:sz w:val="32"/>
          <w:szCs w:val="32"/>
        </w:rPr>
        <w:t>、才</w:t>
      </w:r>
      <w:r>
        <w:rPr>
          <w:rFonts w:hint="eastAsia" w:ascii="仿宋" w:hAnsi="仿宋" w:eastAsia="仿宋"/>
          <w:color w:val="auto"/>
          <w:sz w:val="32"/>
          <w:szCs w:val="32"/>
        </w:rPr>
        <w:t>德</w:t>
      </w:r>
      <w:r>
        <w:rPr>
          <w:rFonts w:ascii="仿宋" w:hAnsi="仿宋" w:eastAsia="仿宋"/>
          <w:color w:val="auto"/>
          <w:sz w:val="32"/>
          <w:szCs w:val="32"/>
        </w:rPr>
        <w:t>兼备原则，群众公认、注重实绩原则，公开、平等、竟争、择优原则，民主集中制原则，依法办事原则的贯仞执行情况。</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w:t>
      </w:r>
      <w:r>
        <w:rPr>
          <w:rFonts w:hint="eastAsia" w:ascii="仿宋" w:hAnsi="仿宋"/>
          <w:color w:val="auto"/>
          <w:sz w:val="32"/>
          <w:szCs w:val="32"/>
          <w:lang w:eastAsia="zh-CN"/>
        </w:rPr>
        <w:t>八</w:t>
      </w:r>
      <w:r>
        <w:rPr>
          <w:rFonts w:hint="eastAsia" w:ascii="仿宋" w:hAnsi="仿宋" w:eastAsia="仿宋"/>
          <w:color w:val="auto"/>
          <w:sz w:val="32"/>
          <w:szCs w:val="32"/>
        </w:rPr>
        <w:t>条</w:t>
      </w:r>
      <w:r>
        <w:rPr>
          <w:rFonts w:ascii="仿宋" w:hAnsi="仿宋" w:eastAsia="仿宋"/>
          <w:color w:val="auto"/>
          <w:sz w:val="32"/>
          <w:szCs w:val="32"/>
        </w:rPr>
        <w:t>监督党</w:t>
      </w:r>
      <w:r>
        <w:rPr>
          <w:rFonts w:hint="eastAsia" w:ascii="仿宋" w:hAnsi="仿宋"/>
          <w:color w:val="auto"/>
          <w:sz w:val="32"/>
          <w:szCs w:val="32"/>
          <w:lang w:eastAsia="zh-CN"/>
        </w:rPr>
        <w:t>领</w:t>
      </w:r>
      <w:r>
        <w:rPr>
          <w:rFonts w:ascii="仿宋" w:hAnsi="仿宋" w:eastAsia="仿宋"/>
          <w:color w:val="auto"/>
          <w:sz w:val="32"/>
          <w:szCs w:val="32"/>
        </w:rPr>
        <w:t>导干部</w:t>
      </w:r>
      <w:r>
        <w:rPr>
          <w:rFonts w:hint="eastAsia" w:ascii="仿宋" w:hAnsi="仿宋"/>
          <w:color w:val="auto"/>
          <w:sz w:val="32"/>
          <w:szCs w:val="32"/>
          <w:lang w:eastAsia="zh-CN"/>
        </w:rPr>
        <w:t>选拔</w:t>
      </w:r>
      <w:r>
        <w:rPr>
          <w:rFonts w:ascii="仿宋" w:hAnsi="仿宋" w:eastAsia="仿宋"/>
          <w:color w:val="auto"/>
          <w:sz w:val="32"/>
          <w:szCs w:val="32"/>
        </w:rPr>
        <w:t>任用条件的执行。督查《干部任用条例》规定的党</w:t>
      </w:r>
      <w:r>
        <w:rPr>
          <w:rFonts w:hint="eastAsia" w:ascii="仿宋" w:hAnsi="仿宋" w:eastAsia="仿宋"/>
          <w:color w:val="auto"/>
          <w:sz w:val="32"/>
          <w:szCs w:val="32"/>
        </w:rPr>
        <w:t>员</w:t>
      </w:r>
      <w:r>
        <w:rPr>
          <w:rFonts w:ascii="仿宋" w:hAnsi="仿宋" w:eastAsia="仿宋"/>
          <w:color w:val="auto"/>
          <w:sz w:val="32"/>
          <w:szCs w:val="32"/>
        </w:rPr>
        <w:t>干部任职条件、任职</w:t>
      </w:r>
      <w:r>
        <w:rPr>
          <w:rFonts w:hint="eastAsia" w:ascii="仿宋" w:hAnsi="仿宋"/>
          <w:color w:val="auto"/>
          <w:sz w:val="32"/>
          <w:szCs w:val="32"/>
          <w:lang w:eastAsia="zh-CN"/>
        </w:rPr>
        <w:t>资</w:t>
      </w:r>
      <w:r>
        <w:rPr>
          <w:rFonts w:ascii="仿宋" w:hAnsi="仿宋" w:eastAsia="仿宋"/>
          <w:color w:val="auto"/>
          <w:sz w:val="32"/>
          <w:szCs w:val="32"/>
        </w:rPr>
        <w:t>格的执行情况，以及破格</w:t>
      </w:r>
      <w:r>
        <w:rPr>
          <w:rFonts w:hint="eastAsia" w:ascii="仿宋" w:hAnsi="仿宋"/>
          <w:color w:val="auto"/>
          <w:sz w:val="32"/>
          <w:szCs w:val="32"/>
          <w:lang w:eastAsia="zh-CN"/>
        </w:rPr>
        <w:t>提拔</w:t>
      </w:r>
      <w:r>
        <w:rPr>
          <w:rFonts w:ascii="仿宋" w:hAnsi="仿宋" w:eastAsia="仿宋"/>
          <w:color w:val="auto"/>
          <w:sz w:val="32"/>
          <w:szCs w:val="32"/>
        </w:rPr>
        <w:t>、越级</w:t>
      </w:r>
      <w:r>
        <w:rPr>
          <w:rFonts w:hint="eastAsia" w:ascii="仿宋" w:hAnsi="仿宋"/>
          <w:color w:val="auto"/>
          <w:sz w:val="32"/>
          <w:szCs w:val="32"/>
          <w:lang w:eastAsia="zh-CN"/>
        </w:rPr>
        <w:t>提拔</w:t>
      </w:r>
      <w:r>
        <w:rPr>
          <w:rFonts w:ascii="仿宋" w:hAnsi="仿宋" w:eastAsia="仿宋"/>
          <w:color w:val="auto"/>
          <w:sz w:val="32"/>
          <w:szCs w:val="32"/>
        </w:rPr>
        <w:t>干部的过程与结果。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w:t>
      </w:r>
      <w:r>
        <w:rPr>
          <w:rFonts w:hint="eastAsia" w:ascii="仿宋" w:hAnsi="仿宋"/>
          <w:color w:val="auto"/>
          <w:sz w:val="32"/>
          <w:szCs w:val="32"/>
          <w:lang w:eastAsia="zh-CN"/>
        </w:rPr>
        <w:t>九</w:t>
      </w:r>
      <w:r>
        <w:rPr>
          <w:rFonts w:ascii="仿宋" w:hAnsi="仿宋" w:eastAsia="仿宋"/>
          <w:color w:val="auto"/>
          <w:sz w:val="32"/>
          <w:szCs w:val="32"/>
        </w:rPr>
        <w:t>条监督党政领导干部选拔任用工作基本程序的履</w:t>
      </w:r>
      <w:r>
        <w:rPr>
          <w:rFonts w:hint="eastAsia" w:ascii="仿宋" w:hAnsi="仿宋"/>
          <w:color w:val="auto"/>
          <w:sz w:val="32"/>
          <w:szCs w:val="32"/>
          <w:lang w:eastAsia="zh-CN"/>
        </w:rPr>
        <w:t>行。</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(一)监督履行民主推荐程序。督查民主推荐方式的采用、范围的选定、程序的履行，以及运用民主推荐结果、确定考察对象人选、执行民主推荐责任制的过程与结果</w:t>
      </w:r>
      <w:r>
        <w:rPr>
          <w:rFonts w:hint="eastAsia" w:ascii="仿宋" w:hAnsi="仿宋" w:eastAsia="仿宋"/>
          <w:color w:val="auto"/>
          <w:sz w:val="32"/>
          <w:szCs w:val="32"/>
        </w:rPr>
        <w:t>。</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(二)监督履行考察程序。督查考察标准的制定、工作程序的履行、谈话和征求</w:t>
      </w:r>
      <w:r>
        <w:rPr>
          <w:rFonts w:hint="eastAsia" w:ascii="仿宋" w:hAnsi="仿宋"/>
          <w:color w:val="auto"/>
          <w:sz w:val="32"/>
          <w:szCs w:val="32"/>
          <w:lang w:eastAsia="zh-CN"/>
        </w:rPr>
        <w:t>范围</w:t>
      </w:r>
      <w:r>
        <w:rPr>
          <w:rFonts w:ascii="仿宋" w:hAnsi="仿宋" w:eastAsia="仿宋"/>
          <w:color w:val="auto"/>
          <w:sz w:val="32"/>
          <w:szCs w:val="32"/>
        </w:rPr>
        <w:t>的</w:t>
      </w:r>
      <w:r>
        <w:rPr>
          <w:rFonts w:hint="eastAsia" w:ascii="仿宋" w:hAnsi="仿宋"/>
          <w:color w:val="auto"/>
          <w:sz w:val="32"/>
          <w:szCs w:val="32"/>
          <w:lang w:eastAsia="zh-CN"/>
        </w:rPr>
        <w:t>选定</w:t>
      </w:r>
      <w:r>
        <w:rPr>
          <w:rFonts w:ascii="仿宋" w:hAnsi="仿宋" w:eastAsia="仿宋"/>
          <w:color w:val="auto"/>
          <w:sz w:val="32"/>
          <w:szCs w:val="32"/>
        </w:rPr>
        <w:t>，以及发布考察预告、按规定进行审计、建立考察文书档案、执行考察工作任制的过程与结果</w:t>
      </w:r>
      <w:r>
        <w:rPr>
          <w:rFonts w:hint="eastAsia" w:ascii="仿宋" w:hAnsi="仿宋" w:eastAsia="仿宋"/>
          <w:color w:val="auto"/>
          <w:sz w:val="32"/>
          <w:szCs w:val="32"/>
        </w:rPr>
        <w:t>。</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(三)监督履行酝酿程序。督查按照《干部任用条例》规定的范围进行</w:t>
      </w:r>
      <w:r>
        <w:rPr>
          <w:rFonts w:hint="eastAsia" w:ascii="仿宋" w:hAnsi="仿宋"/>
          <w:color w:val="auto"/>
          <w:sz w:val="32"/>
          <w:szCs w:val="32"/>
          <w:lang w:eastAsia="zh-CN"/>
        </w:rPr>
        <w:t>酝酿</w:t>
      </w:r>
      <w:r>
        <w:rPr>
          <w:rFonts w:ascii="仿宋" w:hAnsi="仿宋" w:eastAsia="仿宋"/>
          <w:color w:val="auto"/>
          <w:sz w:val="32"/>
          <w:szCs w:val="32"/>
        </w:rPr>
        <w:t>以及在提交党</w:t>
      </w:r>
      <w:r>
        <w:rPr>
          <w:rFonts w:hint="eastAsia" w:ascii="仿宋" w:hAnsi="仿宋"/>
          <w:color w:val="auto"/>
          <w:sz w:val="32"/>
          <w:szCs w:val="32"/>
          <w:lang w:eastAsia="zh-CN"/>
        </w:rPr>
        <w:t>委会议</w:t>
      </w:r>
      <w:r>
        <w:rPr>
          <w:rFonts w:ascii="仿宋" w:hAnsi="仿宋" w:eastAsia="仿宋"/>
          <w:color w:val="auto"/>
          <w:sz w:val="32"/>
          <w:szCs w:val="32"/>
        </w:rPr>
        <w:t>讨论</w:t>
      </w:r>
      <w:r>
        <w:rPr>
          <w:rFonts w:hint="eastAsia" w:ascii="仿宋" w:hAnsi="仿宋"/>
          <w:color w:val="auto"/>
          <w:sz w:val="32"/>
          <w:szCs w:val="32"/>
          <w:lang w:eastAsia="zh-CN"/>
        </w:rPr>
        <w:t>决定</w:t>
      </w:r>
      <w:r>
        <w:rPr>
          <w:rFonts w:ascii="仿宋" w:hAnsi="仿宋" w:eastAsia="仿宋"/>
          <w:color w:val="auto"/>
          <w:sz w:val="32"/>
          <w:szCs w:val="32"/>
        </w:rPr>
        <w:t>前征求纪检机关意见的过程与结果。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(四)监督履行讨论决定程序。督查讨论</w:t>
      </w:r>
      <w:r>
        <w:rPr>
          <w:rFonts w:hint="eastAsia" w:ascii="仿宋" w:hAnsi="仿宋"/>
          <w:color w:val="auto"/>
          <w:sz w:val="32"/>
          <w:szCs w:val="32"/>
          <w:lang w:eastAsia="zh-CN"/>
        </w:rPr>
        <w:t>决定</w:t>
      </w:r>
      <w:r>
        <w:rPr>
          <w:rFonts w:ascii="仿宋" w:hAnsi="仿宋" w:eastAsia="仿宋"/>
          <w:color w:val="auto"/>
          <w:sz w:val="32"/>
          <w:szCs w:val="32"/>
        </w:rPr>
        <w:t>程序的</w:t>
      </w:r>
      <w:r>
        <w:rPr>
          <w:rFonts w:hint="eastAsia" w:ascii="仿宋" w:hAnsi="仿宋"/>
          <w:color w:val="auto"/>
          <w:sz w:val="32"/>
          <w:szCs w:val="32"/>
          <w:lang w:eastAsia="zh-CN"/>
        </w:rPr>
        <w:t>履行</w:t>
      </w:r>
      <w:r>
        <w:rPr>
          <w:rFonts w:ascii="仿宋" w:hAnsi="仿宋" w:eastAsia="仿宋"/>
          <w:color w:val="auto"/>
          <w:sz w:val="32"/>
          <w:szCs w:val="32"/>
        </w:rPr>
        <w:t>、投票表决制度的执行，以及按照规定报告审查与备案、执行讨论</w:t>
      </w:r>
      <w:r>
        <w:rPr>
          <w:rFonts w:hint="eastAsia" w:ascii="仿宋" w:hAnsi="仿宋"/>
          <w:color w:val="auto"/>
          <w:sz w:val="32"/>
          <w:szCs w:val="32"/>
          <w:lang w:eastAsia="zh-CN"/>
        </w:rPr>
        <w:t>决策</w:t>
      </w:r>
      <w:r>
        <w:rPr>
          <w:rFonts w:ascii="仿宋" w:hAnsi="仿宋" w:eastAsia="仿宋"/>
          <w:color w:val="auto"/>
          <w:sz w:val="32"/>
          <w:szCs w:val="32"/>
        </w:rPr>
        <w:t>责任制的过程与结果。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(五)监督履行任职程序。督查履行有关法律、章程、规定，以及执行任职前公示制度、任职试用期制度、任</w:t>
      </w:r>
      <w:r>
        <w:rPr>
          <w:rFonts w:hint="eastAsia" w:ascii="仿宋" w:hAnsi="仿宋"/>
          <w:color w:val="auto"/>
          <w:sz w:val="32"/>
          <w:szCs w:val="32"/>
          <w:lang w:eastAsia="zh-CN"/>
        </w:rPr>
        <w:t>职</w:t>
      </w:r>
      <w:r>
        <w:rPr>
          <w:rFonts w:ascii="仿宋" w:hAnsi="仿宋" w:eastAsia="仿宋"/>
          <w:color w:val="auto"/>
          <w:sz w:val="32"/>
          <w:szCs w:val="32"/>
        </w:rPr>
        <w:t>制度的过程与结</w:t>
      </w:r>
      <w:r>
        <w:rPr>
          <w:rFonts w:hint="eastAsia" w:ascii="仿宋" w:hAnsi="仿宋" w:eastAsia="仿宋"/>
          <w:color w:val="auto"/>
          <w:sz w:val="32"/>
          <w:szCs w:val="32"/>
        </w:rPr>
        <w:t>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(六)监督履行依法推荐、提名和协商程序的过程与结果</w:t>
      </w:r>
      <w:r>
        <w:rPr>
          <w:rFonts w:hint="eastAsia" w:ascii="仿宋" w:hAnsi="仿宋" w:eastAsia="仿宋"/>
          <w:color w:val="auto"/>
          <w:sz w:val="32"/>
          <w:szCs w:val="32"/>
        </w:rPr>
        <w:t>。</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w:t>
      </w:r>
      <w:r>
        <w:rPr>
          <w:rFonts w:hint="eastAsia" w:ascii="仿宋" w:hAnsi="仿宋"/>
          <w:color w:val="auto"/>
          <w:sz w:val="32"/>
          <w:szCs w:val="32"/>
          <w:lang w:eastAsia="zh-CN"/>
        </w:rPr>
        <w:t>十</w:t>
      </w:r>
      <w:r>
        <w:rPr>
          <w:rFonts w:ascii="仿宋" w:hAnsi="仿宋" w:eastAsia="仿宋"/>
          <w:color w:val="auto"/>
          <w:sz w:val="32"/>
          <w:szCs w:val="32"/>
        </w:rPr>
        <w:t>条</w:t>
      </w:r>
      <w:r>
        <w:rPr>
          <w:rFonts w:hint="eastAsia" w:ascii="仿宋" w:hAnsi="仿宋"/>
          <w:color w:val="auto"/>
          <w:sz w:val="32"/>
          <w:szCs w:val="32"/>
          <w:lang w:eastAsia="zh-CN"/>
        </w:rPr>
        <w:t>监督</w:t>
      </w:r>
      <w:r>
        <w:rPr>
          <w:rFonts w:ascii="仿宋" w:hAnsi="仿宋" w:eastAsia="仿宋"/>
          <w:color w:val="auto"/>
          <w:sz w:val="32"/>
          <w:szCs w:val="32"/>
        </w:rPr>
        <w:t>检查执行</w:t>
      </w:r>
      <w:r>
        <w:rPr>
          <w:rFonts w:hint="eastAsia" w:ascii="仿宋" w:hAnsi="仿宋" w:eastAsia="仿宋"/>
          <w:color w:val="auto"/>
          <w:sz w:val="32"/>
          <w:szCs w:val="32"/>
        </w:rPr>
        <w:t>民主推荐</w:t>
      </w:r>
      <w:r>
        <w:rPr>
          <w:rFonts w:ascii="仿宋" w:hAnsi="仿宋" w:eastAsia="仿宋"/>
          <w:color w:val="auto"/>
          <w:sz w:val="32"/>
          <w:szCs w:val="32"/>
        </w:rPr>
        <w:t>和党争上岗制度的过程与结果。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第十</w:t>
      </w:r>
      <w:r>
        <w:rPr>
          <w:rFonts w:hint="eastAsia" w:ascii="仿宋" w:hAnsi="仿宋"/>
          <w:color w:val="auto"/>
          <w:sz w:val="32"/>
          <w:szCs w:val="32"/>
          <w:lang w:eastAsia="zh-CN"/>
        </w:rPr>
        <w:t>一</w:t>
      </w:r>
      <w:r>
        <w:rPr>
          <w:rFonts w:ascii="仿宋" w:hAnsi="仿宋" w:eastAsia="仿宋"/>
          <w:color w:val="auto"/>
          <w:sz w:val="32"/>
          <w:szCs w:val="32"/>
        </w:rPr>
        <w:t>条监督检查执行干部交流、回避和免职、辞职、降职制度的过程与结</w:t>
      </w:r>
      <w:r>
        <w:rPr>
          <w:rFonts w:hint="eastAsia" w:ascii="仿宋" w:hAnsi="仿宋" w:eastAsia="仿宋"/>
          <w:color w:val="auto"/>
          <w:sz w:val="32"/>
          <w:szCs w:val="32"/>
        </w:rPr>
        <w:t>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第十</w:t>
      </w:r>
      <w:r>
        <w:rPr>
          <w:rFonts w:hint="eastAsia" w:ascii="仿宋" w:hAnsi="仿宋"/>
          <w:color w:val="auto"/>
          <w:sz w:val="32"/>
          <w:szCs w:val="32"/>
          <w:lang w:eastAsia="zh-CN"/>
        </w:rPr>
        <w:t>二</w:t>
      </w:r>
      <w:r>
        <w:rPr>
          <w:rFonts w:ascii="仿宋" w:hAnsi="仿宋" w:eastAsia="仿宋"/>
          <w:color w:val="auto"/>
          <w:sz w:val="32"/>
          <w:szCs w:val="32"/>
        </w:rPr>
        <w:t>条监督检查遵守《干部任用条例》规定的＂十不准＂纪律的过程与结果。</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hint="eastAsia" w:ascii="黑体" w:hAnsi="黑体" w:eastAsia="黑体"/>
          <w:color w:val="auto"/>
          <w:sz w:val="32"/>
          <w:szCs w:val="32"/>
        </w:rPr>
        <w:t xml:space="preserve"> </w:t>
      </w:r>
      <w:r>
        <w:rPr>
          <w:rFonts w:ascii="黑体" w:hAnsi="黑体" w:eastAsia="黑体"/>
          <w:color w:val="auto"/>
          <w:sz w:val="32"/>
          <w:szCs w:val="32"/>
        </w:rPr>
        <w:t>第三</w:t>
      </w:r>
      <w:r>
        <w:rPr>
          <w:rFonts w:hint="eastAsia" w:ascii="黑体" w:hAnsi="黑体" w:eastAsia="黑体"/>
          <w:color w:val="auto"/>
          <w:sz w:val="32"/>
          <w:szCs w:val="32"/>
        </w:rPr>
        <w:t xml:space="preserve">  </w:t>
      </w:r>
      <w:r>
        <w:rPr>
          <w:rFonts w:ascii="黑体" w:hAnsi="黑体" w:eastAsia="黑体"/>
          <w:color w:val="auto"/>
          <w:sz w:val="32"/>
          <w:szCs w:val="32"/>
        </w:rPr>
        <w:t>监督办法</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第十</w:t>
      </w:r>
      <w:r>
        <w:rPr>
          <w:rFonts w:hint="eastAsia" w:ascii="仿宋" w:hAnsi="仿宋"/>
          <w:color w:val="auto"/>
          <w:sz w:val="32"/>
          <w:szCs w:val="32"/>
          <w:lang w:eastAsia="zh-CN"/>
        </w:rPr>
        <w:t>三</w:t>
      </w:r>
      <w:r>
        <w:rPr>
          <w:rFonts w:ascii="仿宋" w:hAnsi="仿宋" w:eastAsia="仿宋"/>
          <w:color w:val="auto"/>
          <w:sz w:val="32"/>
          <w:szCs w:val="32"/>
        </w:rPr>
        <w:t>条加强组织人事部门干部选拔任用工作的内部监督，对提拔</w:t>
      </w:r>
      <w:r>
        <w:rPr>
          <w:rFonts w:hint="eastAsia" w:ascii="仿宋" w:hAnsi="仿宋" w:eastAsia="仿宋"/>
          <w:color w:val="auto"/>
          <w:sz w:val="32"/>
          <w:szCs w:val="32"/>
        </w:rPr>
        <w:t>的</w:t>
      </w:r>
      <w:r>
        <w:rPr>
          <w:rFonts w:ascii="仿宋" w:hAnsi="仿宋" w:eastAsia="仿宋"/>
          <w:color w:val="auto"/>
          <w:sz w:val="32"/>
          <w:szCs w:val="32"/>
        </w:rPr>
        <w:t>领导干部，在考察对象确定后发布考察预告过程中，由党委组织部干部监督机构根</w:t>
      </w:r>
      <w:r>
        <w:rPr>
          <w:rFonts w:hint="eastAsia" w:ascii="仿宋" w:hAnsi="仿宋" w:eastAsia="仿宋"/>
          <w:color w:val="auto"/>
          <w:sz w:val="32"/>
          <w:szCs w:val="32"/>
        </w:rPr>
        <w:t>据</w:t>
      </w:r>
      <w:r>
        <w:rPr>
          <w:rFonts w:ascii="仿宋" w:hAnsi="仿宋" w:eastAsia="仿宋"/>
          <w:color w:val="auto"/>
          <w:sz w:val="32"/>
          <w:szCs w:val="32"/>
        </w:rPr>
        <w:t>掌握的情况，对考察对象是否存在影响任职的问题进行</w:t>
      </w:r>
      <w:r>
        <w:rPr>
          <w:rFonts w:hint="eastAsia" w:ascii="仿宋" w:hAnsi="仿宋"/>
          <w:color w:val="auto"/>
          <w:sz w:val="32"/>
          <w:szCs w:val="32"/>
          <w:lang w:eastAsia="zh-CN"/>
        </w:rPr>
        <w:t>审查</w:t>
      </w:r>
      <w:r>
        <w:rPr>
          <w:rFonts w:ascii="仿宋" w:hAnsi="仿宋" w:eastAsia="仿宋"/>
          <w:color w:val="auto"/>
          <w:sz w:val="32"/>
          <w:szCs w:val="32"/>
        </w:rPr>
        <w:t>，提出审查意</w:t>
      </w:r>
      <w:r>
        <w:rPr>
          <w:rFonts w:hint="eastAsia" w:ascii="仿宋" w:hAnsi="仿宋" w:eastAsia="仿宋"/>
          <w:color w:val="auto"/>
          <w:sz w:val="32"/>
          <w:szCs w:val="32"/>
        </w:rPr>
        <w:t>见。</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第十</w:t>
      </w:r>
      <w:r>
        <w:rPr>
          <w:rFonts w:hint="eastAsia" w:ascii="仿宋" w:hAnsi="仿宋"/>
          <w:color w:val="auto"/>
          <w:sz w:val="32"/>
          <w:szCs w:val="32"/>
          <w:lang w:eastAsia="zh-CN"/>
        </w:rPr>
        <w:t>四</w:t>
      </w:r>
      <w:r>
        <w:rPr>
          <w:rFonts w:ascii="仿宋" w:hAnsi="仿宋" w:eastAsia="仿宋"/>
          <w:color w:val="auto"/>
          <w:sz w:val="32"/>
          <w:szCs w:val="32"/>
        </w:rPr>
        <w:t>条认真核查考察预告期间群众反映的问题，并进行考察核实，形成调查结论。必要时可与干部监督机构共同调查核实，确实存在影响任职</w:t>
      </w:r>
      <w:r>
        <w:rPr>
          <w:rFonts w:hint="eastAsia" w:ascii="仿宋" w:hAnsi="仿宋"/>
          <w:color w:val="auto"/>
          <w:sz w:val="32"/>
          <w:szCs w:val="32"/>
          <w:lang w:eastAsia="zh-CN"/>
        </w:rPr>
        <w:t>问题</w:t>
      </w:r>
      <w:r>
        <w:rPr>
          <w:rFonts w:ascii="仿宋" w:hAnsi="仿宋" w:eastAsia="仿宋"/>
          <w:color w:val="auto"/>
          <w:sz w:val="32"/>
          <w:szCs w:val="32"/>
        </w:rPr>
        <w:t>的，不得作为</w:t>
      </w:r>
      <w:r>
        <w:rPr>
          <w:rFonts w:hint="eastAsia" w:ascii="仿宋" w:hAnsi="仿宋"/>
          <w:color w:val="auto"/>
          <w:sz w:val="32"/>
          <w:szCs w:val="32"/>
          <w:lang w:eastAsia="zh-CN"/>
        </w:rPr>
        <w:t>拟任</w:t>
      </w:r>
      <w:r>
        <w:rPr>
          <w:rFonts w:ascii="仿宋" w:hAnsi="仿宋" w:eastAsia="仿宋"/>
          <w:color w:val="auto"/>
          <w:sz w:val="32"/>
          <w:szCs w:val="32"/>
        </w:rPr>
        <w:t>人选</w:t>
      </w:r>
      <w:r>
        <w:rPr>
          <w:rFonts w:hint="eastAsia" w:ascii="仿宋" w:hAnsi="仿宋" w:eastAsia="仿宋"/>
          <w:color w:val="auto"/>
          <w:sz w:val="32"/>
          <w:szCs w:val="32"/>
        </w:rPr>
        <w:t>。</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第十</w:t>
      </w:r>
      <w:r>
        <w:rPr>
          <w:rFonts w:hint="eastAsia" w:ascii="仿宋" w:hAnsi="仿宋"/>
          <w:color w:val="auto"/>
          <w:sz w:val="32"/>
          <w:szCs w:val="32"/>
          <w:lang w:eastAsia="zh-CN"/>
        </w:rPr>
        <w:t>五</w:t>
      </w:r>
      <w:r>
        <w:rPr>
          <w:rFonts w:ascii="仿宋" w:hAnsi="仿宋" w:eastAsia="仿宋"/>
          <w:color w:val="auto"/>
          <w:sz w:val="32"/>
          <w:szCs w:val="32"/>
        </w:rPr>
        <w:t>条实行讨论决定干部任免会议制度。党委讨论决定干部任免工作的会议，发现</w:t>
      </w:r>
      <w:r>
        <w:rPr>
          <w:rFonts w:hint="eastAsia" w:ascii="仿宋" w:hAnsi="仿宋" w:eastAsia="仿宋"/>
          <w:color w:val="auto"/>
          <w:sz w:val="32"/>
          <w:szCs w:val="32"/>
        </w:rPr>
        <w:t>问题</w:t>
      </w:r>
      <w:r>
        <w:rPr>
          <w:rFonts w:ascii="仿宋" w:hAnsi="仿宋" w:eastAsia="仿宋"/>
          <w:color w:val="auto"/>
          <w:sz w:val="32"/>
          <w:szCs w:val="32"/>
        </w:rPr>
        <w:t>，及时纠正或暂缓讨论</w:t>
      </w:r>
      <w:r>
        <w:rPr>
          <w:rFonts w:hint="eastAsia" w:ascii="仿宋" w:hAnsi="仿宋" w:eastAsia="仿宋"/>
          <w:color w:val="auto"/>
          <w:sz w:val="32"/>
          <w:szCs w:val="32"/>
        </w:rPr>
        <w:t>；</w:t>
      </w:r>
      <w:r>
        <w:rPr>
          <w:rFonts w:ascii="仿宋" w:hAnsi="仿宋" w:eastAsia="仿宋"/>
          <w:color w:val="auto"/>
          <w:sz w:val="32"/>
          <w:szCs w:val="32"/>
        </w:rPr>
        <w:t>到会人数未超过应到会人数三分之二的应报审查;意见分歧较大或有重大问题不清楚未暂缓表决的</w:t>
      </w:r>
      <w:r>
        <w:rPr>
          <w:rFonts w:hint="eastAsia" w:ascii="仿宋" w:hAnsi="仿宋" w:eastAsia="仿宋"/>
          <w:color w:val="auto"/>
          <w:sz w:val="32"/>
          <w:szCs w:val="32"/>
        </w:rPr>
        <w:t>。</w:t>
      </w:r>
    </w:p>
    <w:p>
      <w:pPr>
        <w:ind w:firstLine="640" w:firstLineChars="200"/>
        <w:jc w:val="both"/>
        <w:outlineLvl w:val="0"/>
        <w:rPr>
          <w:rFonts w:hint="eastAsia" w:ascii="仿宋" w:hAnsi="仿宋" w:eastAsia="仿宋"/>
          <w:color w:val="auto"/>
          <w:sz w:val="32"/>
          <w:szCs w:val="32"/>
        </w:rPr>
      </w:pPr>
      <w:bookmarkStart w:id="95" w:name="_Toc23926"/>
      <w:bookmarkStart w:id="96" w:name="_Toc29949"/>
      <w:bookmarkStart w:id="97" w:name="_Toc31679"/>
      <w:bookmarkStart w:id="98" w:name="_Toc10687"/>
      <w:bookmarkStart w:id="99" w:name="_Toc5659"/>
      <w:r>
        <w:rPr>
          <w:rFonts w:ascii="仿宋" w:hAnsi="仿宋" w:eastAsia="仿宋"/>
          <w:color w:val="auto"/>
          <w:sz w:val="32"/>
          <w:szCs w:val="32"/>
        </w:rPr>
        <w:t>第十</w:t>
      </w:r>
      <w:r>
        <w:rPr>
          <w:rFonts w:hint="eastAsia" w:ascii="仿宋" w:hAnsi="仿宋"/>
          <w:color w:val="auto"/>
          <w:sz w:val="32"/>
          <w:szCs w:val="32"/>
          <w:lang w:eastAsia="zh-CN"/>
        </w:rPr>
        <w:t>六</w:t>
      </w:r>
      <w:r>
        <w:rPr>
          <w:rFonts w:ascii="仿宋" w:hAnsi="仿宋" w:eastAsia="仿宋"/>
          <w:color w:val="auto"/>
          <w:sz w:val="32"/>
          <w:szCs w:val="32"/>
        </w:rPr>
        <w:t>条坚持和完善党政领导干部任职前公示制度</w:t>
      </w:r>
      <w:r>
        <w:rPr>
          <w:rFonts w:hint="eastAsia" w:ascii="仿宋" w:hAnsi="仿宋" w:eastAsia="仿宋"/>
          <w:color w:val="auto"/>
          <w:sz w:val="32"/>
          <w:szCs w:val="32"/>
        </w:rPr>
        <w:t>。</w:t>
      </w:r>
      <w:bookmarkEnd w:id="95"/>
      <w:bookmarkEnd w:id="96"/>
      <w:bookmarkEnd w:id="97"/>
      <w:bookmarkEnd w:id="98"/>
      <w:bookmarkEnd w:id="99"/>
    </w:p>
    <w:p>
      <w:pPr>
        <w:ind w:firstLine="640" w:firstLineChars="200"/>
        <w:jc w:val="both"/>
        <w:rPr>
          <w:rFonts w:ascii="仿宋" w:hAnsi="仿宋" w:eastAsia="仿宋"/>
          <w:color w:val="auto"/>
          <w:sz w:val="32"/>
          <w:szCs w:val="32"/>
        </w:rPr>
      </w:pPr>
      <w:r>
        <w:rPr>
          <w:rFonts w:ascii="仿宋" w:hAnsi="仿宋" w:eastAsia="仿宋"/>
          <w:color w:val="auto"/>
          <w:sz w:val="32"/>
          <w:szCs w:val="32"/>
        </w:rPr>
        <w:t>(一)提拔任用党政领导干部的，除特殊岗位的人选外，在党委讨论</w:t>
      </w:r>
      <w:r>
        <w:rPr>
          <w:rFonts w:hint="eastAsia" w:ascii="仿宋" w:hAnsi="仿宋"/>
          <w:color w:val="auto"/>
          <w:sz w:val="32"/>
          <w:szCs w:val="32"/>
          <w:lang w:eastAsia="zh-CN"/>
        </w:rPr>
        <w:t>决定</w:t>
      </w:r>
      <w:r>
        <w:rPr>
          <w:rFonts w:ascii="仿宋" w:hAnsi="仿宋" w:eastAsia="仿宋"/>
          <w:color w:val="auto"/>
          <w:sz w:val="32"/>
          <w:szCs w:val="32"/>
        </w:rPr>
        <w:t>后、下发任职通知前进行公示。</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(二)组织人事部门按照干部管理权限受理公示举报。遇有特殊情况或重大问题时，上级组织人事部门可直接调查处理</w:t>
      </w:r>
      <w:r>
        <w:rPr>
          <w:rFonts w:hint="eastAsia" w:ascii="仿宋" w:hAnsi="仿宋" w:eastAsia="仿宋"/>
          <w:color w:val="auto"/>
          <w:sz w:val="32"/>
          <w:szCs w:val="32"/>
        </w:rPr>
        <w:t>。</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(三)对公示中反映的问题，应当区别不同情况分类处理</w:t>
      </w:r>
      <w:r>
        <w:rPr>
          <w:rFonts w:hint="eastAsia" w:ascii="仿宋" w:hAnsi="仿宋" w:eastAsia="仿宋"/>
          <w:color w:val="auto"/>
          <w:sz w:val="32"/>
          <w:szCs w:val="32"/>
        </w:rPr>
        <w:t>。</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1、组织上已经掌握的，或问题不具体、</w:t>
      </w:r>
      <w:r>
        <w:rPr>
          <w:rFonts w:hint="eastAsia" w:ascii="仿宋" w:hAnsi="仿宋"/>
          <w:color w:val="auto"/>
          <w:sz w:val="32"/>
          <w:szCs w:val="32"/>
          <w:lang w:eastAsia="zh-CN"/>
        </w:rPr>
        <w:t>线索</w:t>
      </w:r>
      <w:r>
        <w:rPr>
          <w:rFonts w:ascii="仿宋" w:hAnsi="仿宋" w:eastAsia="仿宋"/>
          <w:color w:val="auto"/>
          <w:sz w:val="32"/>
          <w:szCs w:val="32"/>
        </w:rPr>
        <w:t>不清、不足以影响任职的，可不做调查。</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2、属于工作态度、工作方法等方面的一般性问题可责成公示对象作出负责任的书面说明。</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3、属于干部政治素质、道徳品质、廉政建设等方面的严重</w:t>
      </w:r>
      <w:r>
        <w:rPr>
          <w:rFonts w:hint="eastAsia" w:ascii="仿宋" w:hAnsi="仿宋"/>
          <w:color w:val="auto"/>
          <w:sz w:val="32"/>
          <w:szCs w:val="32"/>
          <w:lang w:eastAsia="zh-CN"/>
        </w:rPr>
        <w:t>问题</w:t>
      </w:r>
      <w:r>
        <w:rPr>
          <w:rFonts w:ascii="仿宋" w:hAnsi="仿宋" w:eastAsia="仿宋"/>
          <w:color w:val="auto"/>
          <w:sz w:val="32"/>
          <w:szCs w:val="32"/>
        </w:rPr>
        <w:t>，或</w:t>
      </w:r>
      <w:r>
        <w:rPr>
          <w:rFonts w:hint="eastAsia" w:ascii="仿宋" w:hAnsi="仿宋"/>
          <w:color w:val="auto"/>
          <w:sz w:val="32"/>
          <w:szCs w:val="32"/>
          <w:lang w:eastAsia="zh-CN"/>
        </w:rPr>
        <w:t>问题</w:t>
      </w:r>
      <w:r>
        <w:rPr>
          <w:rFonts w:ascii="仿宋" w:hAnsi="仿宋" w:eastAsia="仿宋"/>
          <w:color w:val="auto"/>
          <w:sz w:val="32"/>
          <w:szCs w:val="32"/>
        </w:rPr>
        <w:t>虽不够具体、线索不清，但性质严重、查清后足以影响任职的，应当进行专项调查;涉及违反党纪政纪的，可与纪检机关(</w:t>
      </w:r>
      <w:r>
        <w:rPr>
          <w:rFonts w:hint="eastAsia" w:ascii="仿宋" w:hAnsi="仿宋" w:eastAsia="仿宋"/>
          <w:color w:val="auto"/>
          <w:sz w:val="32"/>
          <w:szCs w:val="32"/>
        </w:rPr>
        <w:t>检</w:t>
      </w:r>
      <w:r>
        <w:rPr>
          <w:rFonts w:ascii="仿宋" w:hAnsi="仿宋" w:eastAsia="仿宋"/>
          <w:color w:val="auto"/>
          <w:sz w:val="32"/>
          <w:szCs w:val="32"/>
        </w:rPr>
        <w:t>察部门)联合调查。</w:t>
      </w:r>
      <w:r>
        <w:rPr>
          <w:rFonts w:ascii="仿宋" w:hAnsi="仿宋" w:eastAsia="仿宋"/>
          <w:color w:val="auto"/>
          <w:sz w:val="32"/>
          <w:szCs w:val="32"/>
        </w:rPr>
        <w:br w:type="textWrapping"/>
      </w:r>
      <w:r>
        <w:rPr>
          <w:rFonts w:hint="eastAsia" w:ascii="仿宋" w:hAnsi="仿宋" w:eastAsia="仿宋"/>
          <w:color w:val="auto"/>
          <w:sz w:val="32"/>
          <w:szCs w:val="32"/>
        </w:rPr>
        <w:t xml:space="preserve">                </w:t>
      </w:r>
      <w:r>
        <w:rPr>
          <w:rFonts w:hint="eastAsia" w:ascii="黑体" w:hAnsi="黑体" w:eastAsia="黑体"/>
          <w:color w:val="auto"/>
          <w:sz w:val="32"/>
          <w:szCs w:val="32"/>
        </w:rPr>
        <w:t xml:space="preserve"> </w:t>
      </w:r>
      <w:r>
        <w:rPr>
          <w:rFonts w:ascii="黑体" w:hAnsi="黑体" w:eastAsia="黑体"/>
          <w:color w:val="auto"/>
          <w:sz w:val="32"/>
          <w:szCs w:val="32"/>
        </w:rPr>
        <w:t>第</w:t>
      </w:r>
      <w:r>
        <w:rPr>
          <w:rFonts w:hint="eastAsia" w:ascii="黑体" w:hAnsi="黑体" w:eastAsia="黑体"/>
          <w:color w:val="auto"/>
          <w:sz w:val="32"/>
          <w:szCs w:val="32"/>
          <w:lang w:eastAsia="zh-CN"/>
        </w:rPr>
        <w:t>四</w:t>
      </w:r>
      <w:r>
        <w:rPr>
          <w:rFonts w:hint="eastAsia" w:ascii="黑体" w:hAnsi="黑体" w:eastAsia="黑体"/>
          <w:color w:val="auto"/>
          <w:sz w:val="32"/>
          <w:szCs w:val="32"/>
        </w:rPr>
        <w:t xml:space="preserve">   </w:t>
      </w:r>
      <w:r>
        <w:rPr>
          <w:rFonts w:ascii="黑体" w:hAnsi="黑体" w:eastAsia="黑体"/>
          <w:color w:val="auto"/>
          <w:sz w:val="32"/>
          <w:szCs w:val="32"/>
        </w:rPr>
        <w:t>附则</w:t>
      </w:r>
      <w:r>
        <w:rPr>
          <w:rFonts w:ascii="黑体" w:hAnsi="黑体" w:eastAsia="黑体"/>
          <w:color w:val="auto"/>
          <w:sz w:val="32"/>
          <w:szCs w:val="32"/>
        </w:rPr>
        <w:br w:type="textWrapping"/>
      </w:r>
      <w:r>
        <w:rPr>
          <w:rFonts w:hint="eastAsia" w:ascii="仿宋" w:hAnsi="仿宋" w:eastAsia="仿宋"/>
          <w:color w:val="auto"/>
          <w:sz w:val="32"/>
          <w:szCs w:val="32"/>
        </w:rPr>
        <w:t xml:space="preserve">    </w:t>
      </w:r>
      <w:r>
        <w:rPr>
          <w:rFonts w:ascii="仿宋" w:hAnsi="仿宋" w:eastAsia="仿宋"/>
          <w:color w:val="auto"/>
          <w:sz w:val="32"/>
          <w:szCs w:val="32"/>
        </w:rPr>
        <w:t>第</w:t>
      </w:r>
      <w:r>
        <w:rPr>
          <w:rFonts w:hint="eastAsia" w:ascii="仿宋" w:hAnsi="仿宋"/>
          <w:color w:val="auto"/>
          <w:sz w:val="32"/>
          <w:szCs w:val="32"/>
          <w:lang w:eastAsia="zh-CN"/>
        </w:rPr>
        <w:t>十七</w:t>
      </w:r>
      <w:r>
        <w:rPr>
          <w:rFonts w:ascii="仿宋" w:hAnsi="仿宋" w:eastAsia="仿宋"/>
          <w:color w:val="auto"/>
          <w:sz w:val="32"/>
          <w:szCs w:val="32"/>
        </w:rPr>
        <w:t>条本办法由</w:t>
      </w:r>
      <w:r>
        <w:rPr>
          <w:rFonts w:hint="eastAsia" w:ascii="仿宋" w:hAnsi="仿宋" w:eastAsia="仿宋"/>
          <w:color w:val="auto"/>
          <w:sz w:val="32"/>
          <w:szCs w:val="32"/>
        </w:rPr>
        <w:t>白城市生态新区建设领导小组</w:t>
      </w:r>
      <w:r>
        <w:rPr>
          <w:rFonts w:hint="eastAsia" w:ascii="仿宋" w:hAnsi="仿宋"/>
          <w:color w:val="auto"/>
          <w:sz w:val="32"/>
          <w:szCs w:val="32"/>
          <w:lang w:eastAsia="zh-CN"/>
        </w:rPr>
        <w:t>办</w:t>
      </w:r>
      <w:r>
        <w:rPr>
          <w:rFonts w:hint="eastAsia" w:ascii="仿宋" w:hAnsi="仿宋" w:eastAsia="仿宋"/>
          <w:color w:val="auto"/>
          <w:sz w:val="32"/>
          <w:szCs w:val="32"/>
        </w:rPr>
        <w:t>公室</w:t>
      </w:r>
      <w:r>
        <w:rPr>
          <w:rFonts w:ascii="仿宋" w:hAnsi="仿宋" w:eastAsia="仿宋"/>
          <w:color w:val="auto"/>
          <w:sz w:val="32"/>
          <w:szCs w:val="32"/>
        </w:rPr>
        <w:t>负责解释。</w:t>
      </w:r>
    </w:p>
    <w:p>
      <w:pPr>
        <w:ind w:firstLine="640" w:firstLineChars="200"/>
        <w:jc w:val="both"/>
        <w:outlineLvl w:val="0"/>
        <w:rPr>
          <w:rFonts w:eastAsia="仿宋_GB2312"/>
          <w:color w:val="auto"/>
          <w:sz w:val="32"/>
          <w:szCs w:val="32"/>
        </w:rPr>
        <w:sectPr>
          <w:pgSz w:w="11906" w:h="16838"/>
          <w:pgMar w:top="1440" w:right="1800" w:bottom="1440" w:left="1800" w:header="851" w:footer="992" w:gutter="0"/>
          <w:pgNumType w:fmt="numberInDash"/>
          <w:cols w:space="720" w:num="1"/>
          <w:docGrid w:type="lines" w:linePitch="312" w:charSpace="0"/>
        </w:sectPr>
      </w:pPr>
      <w:bookmarkStart w:id="100" w:name="_Toc17716"/>
      <w:bookmarkStart w:id="101" w:name="_Toc2482"/>
      <w:bookmarkStart w:id="102" w:name="_Toc23022"/>
      <w:bookmarkStart w:id="103" w:name="_Toc20141"/>
      <w:bookmarkStart w:id="104" w:name="_Toc2584"/>
      <w:r>
        <w:rPr>
          <w:rFonts w:ascii="仿宋" w:hAnsi="仿宋" w:eastAsia="仿宋"/>
          <w:color w:val="auto"/>
          <w:sz w:val="32"/>
          <w:szCs w:val="32"/>
        </w:rPr>
        <w:t>第</w:t>
      </w:r>
      <w:r>
        <w:rPr>
          <w:rFonts w:hint="eastAsia" w:ascii="仿宋" w:hAnsi="仿宋"/>
          <w:color w:val="auto"/>
          <w:sz w:val="32"/>
          <w:szCs w:val="32"/>
          <w:lang w:eastAsia="zh-CN"/>
        </w:rPr>
        <w:t>十八</w:t>
      </w:r>
      <w:r>
        <w:rPr>
          <w:rFonts w:ascii="仿宋" w:hAnsi="仿宋" w:eastAsia="仿宋"/>
          <w:color w:val="auto"/>
          <w:sz w:val="32"/>
          <w:szCs w:val="32"/>
        </w:rPr>
        <w:t>条本办法自发布之日起施行。如与本办法不符，以本办法为准。</w:t>
      </w:r>
      <w:bookmarkEnd w:id="100"/>
      <w:bookmarkEnd w:id="101"/>
      <w:bookmarkEnd w:id="102"/>
      <w:bookmarkEnd w:id="103"/>
      <w:bookmarkEnd w:id="104"/>
    </w:p>
    <w:p>
      <w:pPr>
        <w:pStyle w:val="2"/>
        <w:bidi w:val="0"/>
        <w:jc w:val="center"/>
        <w:rPr>
          <w:rFonts w:hint="eastAsia" w:cs="Arial"/>
          <w:b w:val="0"/>
          <w:color w:val="auto"/>
          <w:szCs w:val="44"/>
        </w:rPr>
      </w:pPr>
      <w:bookmarkStart w:id="105" w:name="_Toc17296"/>
      <w:bookmarkStart w:id="106" w:name="_Toc25191"/>
      <w:bookmarkStart w:id="107" w:name="_Toc9055"/>
      <w:r>
        <w:rPr>
          <w:rFonts w:hint="eastAsia"/>
          <w:color w:val="auto"/>
          <w:lang w:val="en-US" w:eastAsia="zh-CN"/>
        </w:rPr>
        <w:t>8、</w:t>
      </w:r>
      <w:r>
        <w:rPr>
          <w:rFonts w:hint="eastAsia"/>
          <w:color w:val="auto"/>
        </w:rPr>
        <w:t>聘用人员管理制度</w:t>
      </w:r>
      <w:bookmarkEnd w:id="105"/>
      <w:bookmarkEnd w:id="106"/>
      <w:bookmarkEnd w:id="107"/>
    </w:p>
    <w:p>
      <w:pPr>
        <w:pStyle w:val="8"/>
        <w:spacing w:before="0" w:beforeAutospacing="0" w:after="0" w:afterAutospacing="0" w:line="560" w:lineRule="atLeast"/>
        <w:jc w:val="center"/>
        <w:outlineLvl w:val="0"/>
        <w:rPr>
          <w:rFonts w:hint="eastAsia" w:cs="Arial"/>
          <w:b/>
          <w:bCs/>
          <w:color w:val="auto"/>
          <w:sz w:val="32"/>
          <w:szCs w:val="32"/>
        </w:rPr>
      </w:pPr>
      <w:bookmarkStart w:id="108" w:name="_Toc21052"/>
      <w:bookmarkStart w:id="109" w:name="_Toc10383"/>
      <w:bookmarkStart w:id="110" w:name="_Toc21561"/>
      <w:bookmarkStart w:id="111" w:name="_Toc29832"/>
      <w:r>
        <w:rPr>
          <w:rFonts w:hint="eastAsia" w:ascii="黑体" w:eastAsia="黑体" w:cs="Arial"/>
          <w:b w:val="0"/>
          <w:bCs/>
          <w:color w:val="auto"/>
          <w:sz w:val="32"/>
          <w:szCs w:val="32"/>
        </w:rPr>
        <w:t>第一章　总则</w:t>
      </w:r>
      <w:bookmarkEnd w:id="108"/>
      <w:bookmarkEnd w:id="109"/>
      <w:bookmarkEnd w:id="110"/>
      <w:bookmarkEnd w:id="111"/>
    </w:p>
    <w:p>
      <w:pPr>
        <w:pStyle w:val="8"/>
        <w:spacing w:before="0" w:beforeAutospacing="0" w:after="0" w:afterAutospacing="0" w:line="576" w:lineRule="exact"/>
        <w:jc w:val="both"/>
        <w:rPr>
          <w:rFonts w:hint="eastAsia" w:ascii="仿宋" w:hAnsi="仿宋" w:eastAsia="仿宋" w:cs="仿宋"/>
          <w:color w:val="auto"/>
          <w:sz w:val="32"/>
          <w:szCs w:val="32"/>
        </w:rPr>
      </w:pPr>
      <w:r>
        <w:rPr>
          <w:rFonts w:hint="eastAsia" w:cs="Arial"/>
          <w:b/>
          <w:color w:val="auto"/>
          <w:sz w:val="32"/>
          <w:szCs w:val="32"/>
        </w:rPr>
        <w:t>　</w:t>
      </w:r>
      <w:r>
        <w:rPr>
          <w:rFonts w:hint="eastAsia" w:ascii="仿宋" w:hAnsi="仿宋" w:eastAsia="仿宋" w:cs="仿宋"/>
          <w:b/>
          <w:color w:val="auto"/>
          <w:sz w:val="32"/>
          <w:szCs w:val="32"/>
        </w:rPr>
        <w:t>　第一条</w:t>
      </w:r>
      <w:r>
        <w:rPr>
          <w:rFonts w:hint="eastAsia" w:ascii="仿宋" w:hAnsi="仿宋" w:eastAsia="仿宋" w:cs="仿宋"/>
          <w:color w:val="auto"/>
          <w:sz w:val="32"/>
          <w:szCs w:val="32"/>
        </w:rPr>
        <w:t>　为了进一步加强对生态新区劳动合同制工作人员(以下简称聘用人员)的规范化管理，充分调动聘用人员的工作积极性和创造性，根据《中华人民共和国劳动法》和《中华人民共和国劳动合同法》有关规定，结合生态新区实际，特制定本制度。</w:t>
      </w:r>
    </w:p>
    <w:p>
      <w:pPr>
        <w:pStyle w:val="8"/>
        <w:spacing w:before="0" w:beforeAutospacing="0" w:after="0" w:afterAutospacing="0" w:line="576" w:lineRule="exact"/>
        <w:jc w:val="both"/>
        <w:rPr>
          <w:rFonts w:hint="eastAsia" w:ascii="仿宋" w:hAnsi="仿宋" w:eastAsia="仿宋" w:cs="仿宋"/>
          <w:color w:val="auto"/>
          <w:sz w:val="32"/>
          <w:szCs w:val="32"/>
        </w:rPr>
      </w:pPr>
      <w:r>
        <w:rPr>
          <w:rFonts w:hint="eastAsia" w:ascii="仿宋" w:hAnsi="仿宋" w:eastAsia="仿宋" w:cs="仿宋"/>
          <w:color w:val="auto"/>
          <w:sz w:val="32"/>
          <w:szCs w:val="32"/>
        </w:rPr>
        <w:t>　</w:t>
      </w:r>
      <w:r>
        <w:rPr>
          <w:rFonts w:hint="eastAsia" w:ascii="仿宋" w:hAnsi="仿宋" w:eastAsia="仿宋" w:cs="仿宋"/>
          <w:b/>
          <w:color w:val="auto"/>
          <w:sz w:val="32"/>
          <w:szCs w:val="32"/>
        </w:rPr>
        <w:t>　第二条</w:t>
      </w:r>
      <w:r>
        <w:rPr>
          <w:rFonts w:hint="eastAsia" w:ascii="仿宋" w:hAnsi="仿宋" w:eastAsia="仿宋" w:cs="仿宋"/>
          <w:color w:val="auto"/>
          <w:sz w:val="32"/>
          <w:szCs w:val="32"/>
        </w:rPr>
        <w:t>　本制度中聘用人员，是指与新区办及生态新区直属企业签订劳动合同，并在市人力资源和社会保障局劳动备案的工作人员。</w:t>
      </w:r>
    </w:p>
    <w:p>
      <w:pPr>
        <w:pStyle w:val="8"/>
        <w:spacing w:before="0" w:beforeAutospacing="0" w:after="0" w:afterAutospacing="0" w:line="560" w:lineRule="atLeast"/>
        <w:jc w:val="center"/>
        <w:outlineLvl w:val="0"/>
        <w:rPr>
          <w:rFonts w:hint="eastAsia" w:ascii="黑体" w:eastAsia="黑体" w:cs="Arial"/>
          <w:b w:val="0"/>
          <w:bCs/>
          <w:color w:val="auto"/>
          <w:sz w:val="32"/>
          <w:szCs w:val="32"/>
        </w:rPr>
      </w:pPr>
      <w:bookmarkStart w:id="112" w:name="_Toc18574"/>
      <w:bookmarkStart w:id="113" w:name="_Toc2466"/>
      <w:bookmarkStart w:id="114" w:name="_Toc4187"/>
      <w:bookmarkStart w:id="115" w:name="_Toc1598"/>
      <w:r>
        <w:rPr>
          <w:rFonts w:hint="eastAsia" w:ascii="黑体" w:eastAsia="黑体" w:cs="Arial"/>
          <w:b w:val="0"/>
          <w:bCs/>
          <w:color w:val="auto"/>
          <w:sz w:val="32"/>
          <w:szCs w:val="32"/>
          <w:lang w:eastAsia="zh-CN"/>
        </w:rPr>
        <w:t>第二章</w:t>
      </w:r>
      <w:r>
        <w:rPr>
          <w:rFonts w:hint="eastAsia" w:ascii="黑体" w:eastAsia="黑体" w:cs="Arial"/>
          <w:b w:val="0"/>
          <w:bCs/>
          <w:color w:val="auto"/>
          <w:sz w:val="32"/>
          <w:szCs w:val="32"/>
          <w:lang w:val="en-US" w:eastAsia="zh-CN"/>
        </w:rPr>
        <w:t xml:space="preserve">  </w:t>
      </w:r>
      <w:r>
        <w:rPr>
          <w:rFonts w:hint="eastAsia" w:ascii="黑体" w:eastAsia="黑体" w:cs="Arial"/>
          <w:b w:val="0"/>
          <w:bCs/>
          <w:color w:val="auto"/>
          <w:sz w:val="32"/>
          <w:szCs w:val="32"/>
        </w:rPr>
        <w:t>聘用程序</w:t>
      </w:r>
      <w:bookmarkEnd w:id="112"/>
      <w:bookmarkEnd w:id="113"/>
      <w:bookmarkEnd w:id="114"/>
      <w:bookmarkEnd w:id="115"/>
    </w:p>
    <w:p>
      <w:pPr>
        <w:pStyle w:val="8"/>
        <w:spacing w:before="0" w:beforeAutospacing="0" w:after="0" w:afterAutospacing="0"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sz w:val="32"/>
          <w:szCs w:val="32"/>
        </w:rPr>
        <w:t>第三条</w:t>
      </w:r>
      <w:r>
        <w:rPr>
          <w:rFonts w:hint="eastAsia" w:ascii="仿宋" w:hAnsi="仿宋" w:eastAsia="仿宋" w:cs="仿宋"/>
          <w:color w:val="auto"/>
          <w:sz w:val="32"/>
          <w:szCs w:val="32"/>
        </w:rPr>
        <w:t>　申请。用人单位将人选报分管领导同意后将申请提交至综合办公室，由综合办公室汇总提交新区办党委会审议。申请内容包括：聘用理由、人数、条件、专业要求、所聘岗位。</w:t>
      </w:r>
    </w:p>
    <w:p>
      <w:pPr>
        <w:pStyle w:val="8"/>
        <w:spacing w:before="0" w:beforeAutospacing="0" w:after="0" w:afterAutospacing="0"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 xml:space="preserve">第四条  </w:t>
      </w:r>
      <w:r>
        <w:rPr>
          <w:rFonts w:hint="eastAsia" w:ascii="仿宋" w:hAnsi="仿宋" w:eastAsia="仿宋" w:cs="仿宋"/>
          <w:color w:val="auto"/>
          <w:sz w:val="32"/>
          <w:szCs w:val="32"/>
        </w:rPr>
        <w:t>批复。新区办党委会审核研究，作出是否准予聘用的决定。</w:t>
      </w:r>
    </w:p>
    <w:p>
      <w:pPr>
        <w:pStyle w:val="8"/>
        <w:spacing w:before="0" w:beforeAutospacing="0" w:after="0" w:afterAutospacing="0"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sz w:val="32"/>
          <w:szCs w:val="32"/>
        </w:rPr>
        <w:t>第五条</w:t>
      </w:r>
      <w:r>
        <w:rPr>
          <w:rFonts w:hint="eastAsia" w:ascii="仿宋" w:hAnsi="仿宋" w:eastAsia="仿宋" w:cs="仿宋"/>
          <w:color w:val="auto"/>
          <w:sz w:val="32"/>
          <w:szCs w:val="32"/>
        </w:rPr>
        <w:t>　公开招聘。经新区办党委会同意批复聘用的岗位，由用人单位汇同综合办公室按下列程序进行招聘。</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（一）制定推荐方案。由综合办公室按照新区办党委会确定的推荐聘用条件制定方案。</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二）报名和资格审查。严格按照招聘条件要求组织对应聘人员进行资格审查。对全日制本科毕业生、专业技术人才、特殊人才,年龄在35周岁以下等符合条件者优先招聘。资格审查材料包括：居民身份证、户口簿（暂住证）、学历证书（毕业证书、学位证书）、技术资格证书等原件。报名者提交的信息和提供的材料必须真实有效，凡发现应聘者提供的虚假材料立即取消其聘用资格。</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（三）组织考试。由分管人事工作副主任、用人单位分管领导、用人单位组织考试或专业知识测试，综合办公室负责落实并汇总考试结果。</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（四）体检、政审。通过考试的人员需要提供二级以上医院出具的体检报告，并提供所在社区出具的政审证明。特殊岗位需要提供无犯罪记录证明。</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（五）考核确定拟聘人员。由新区办党委会确定考核合格者为拟聘用人员。考核不合格或弃权的，可依次递补。</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（六）公示和聘用。体检考核合格人员确定为拟聘人员，名单在新区办公楼公示板公示3天，公示期满无异议，确定为聘用对象。</w:t>
      </w:r>
    </w:p>
    <w:p>
      <w:pPr>
        <w:pStyle w:val="8"/>
        <w:spacing w:before="0" w:beforeAutospacing="0" w:after="0" w:afterAutospacing="0" w:line="560" w:lineRule="atLeast"/>
        <w:ind w:firstLine="964" w:firstLineChars="300"/>
        <w:jc w:val="both"/>
        <w:rPr>
          <w:rFonts w:hint="eastAsia" w:ascii="仿宋" w:hAnsi="仿宋" w:eastAsia="仿宋" w:cs="仿宋"/>
          <w:color w:val="auto"/>
          <w:sz w:val="32"/>
          <w:szCs w:val="32"/>
          <w:lang w:eastAsia="zh-CN"/>
        </w:rPr>
      </w:pPr>
      <w:r>
        <w:rPr>
          <w:rFonts w:hint="eastAsia" w:ascii="仿宋" w:hAnsi="仿宋" w:eastAsia="仿宋" w:cs="仿宋"/>
          <w:b/>
          <w:color w:val="auto"/>
          <w:sz w:val="32"/>
          <w:szCs w:val="32"/>
          <w:lang w:eastAsia="zh-CN"/>
        </w:rPr>
        <w:t>第六条</w:t>
      </w:r>
      <w:r>
        <w:rPr>
          <w:rFonts w:hint="eastAsia" w:ascii="黑体" w:eastAsia="黑体" w:cs="Arial"/>
          <w:b w:val="0"/>
          <w:bCs/>
          <w:color w:val="auto"/>
          <w:sz w:val="32"/>
          <w:szCs w:val="32"/>
          <w:lang w:eastAsia="zh-CN"/>
        </w:rPr>
        <w:t xml:space="preserve">  </w:t>
      </w:r>
      <w:r>
        <w:rPr>
          <w:rFonts w:hint="eastAsia" w:ascii="仿宋" w:hAnsi="仿宋" w:eastAsia="仿宋" w:cs="仿宋"/>
          <w:color w:val="auto"/>
          <w:sz w:val="32"/>
          <w:szCs w:val="32"/>
          <w:lang w:eastAsia="zh-CN"/>
        </w:rPr>
        <w:t>合同订立及薪酬。</w:t>
      </w:r>
    </w:p>
    <w:p>
      <w:pPr>
        <w:pStyle w:val="8"/>
        <w:numPr>
          <w:ilvl w:val="0"/>
          <w:numId w:val="3"/>
        </w:numPr>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生态新区直属企业与聘用人员签订书面劳动合同，劳动合同期限分为一年期合同、三年期合同和长期合同。一年期合同，试用期二个月。首次签订三年固定期限合同，试用期三个月（仅限特殊人才），试用期不予缴纳五险一金。</w:t>
      </w:r>
    </w:p>
    <w:p>
      <w:pPr>
        <w:pStyle w:val="8"/>
        <w:numPr>
          <w:ilvl w:val="0"/>
          <w:numId w:val="3"/>
        </w:numPr>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聘用人员岗位分为管理岗位和一般工作岗位。</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（三）管理岗位包括直属企业单位正职、副职；一般工作岗位包括在机关从事业务岗位及行政岗位工作的办事员和工勤人员（驾驶员、保洁员、后勤服务员）。</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（四）经用人单位和综合办公室考核称职后，聘用人员可以续签劳动合同。</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聘用人员工作满1年，经新区办党委会考核称职后，可续签3年期合同。</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（五）管理岗位工作人员实行岗位竞聘 </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聘用人员工作满3年以上，具有竞聘直属企业副职领导资格。</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聘用人员工作满3年，工作业绩特别突出的工作人员，提交生态新区党委会研究同意通过后，可特殊竞聘，可享受直属企业副职领导工资待遇。 </w:t>
      </w:r>
    </w:p>
    <w:p>
      <w:pPr>
        <w:spacing w:line="576" w:lineRule="exact"/>
        <w:ind w:firstLine="640"/>
        <w:jc w:val="both"/>
        <w:rPr>
          <w:rFonts w:hint="eastAsia" w:ascii="仿宋" w:hAnsi="仿宋" w:eastAsia="仿宋" w:cs="仿宋"/>
          <w:color w:val="auto"/>
          <w:sz w:val="32"/>
          <w:szCs w:val="32"/>
        </w:rPr>
      </w:pPr>
      <w:r>
        <w:rPr>
          <w:rFonts w:hint="eastAsia" w:ascii="仿宋" w:hAnsi="仿宋" w:eastAsia="仿宋" w:cs="仿宋"/>
          <w:color w:val="auto"/>
          <w:kern w:val="0"/>
          <w:sz w:val="32"/>
          <w:szCs w:val="32"/>
        </w:rPr>
        <w:t>（六）劳动合同终止前30天，用人单位通知当事人，终止或续订劳动合同，当事人应在7个工作日内书面答复。如果续订劳动合同，双方必须在合同到期前续订。</w:t>
      </w:r>
    </w:p>
    <w:p>
      <w:pPr>
        <w:spacing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kern w:val="0"/>
          <w:sz w:val="32"/>
          <w:szCs w:val="32"/>
        </w:rPr>
        <w:t xml:space="preserve">（七）聘用人员提前30日以书面形式通知生态新区综合办公室，可以解除劳动合同。聘用人员在试用期内提前三日通知生态新区综合办公室，可以解除劳动合同。 </w:t>
      </w:r>
    </w:p>
    <w:p>
      <w:pPr>
        <w:pStyle w:val="8"/>
        <w:spacing w:before="0" w:beforeAutospacing="0" w:after="0" w:afterAutospacing="0" w:line="576" w:lineRule="exact"/>
        <w:ind w:firstLine="675"/>
        <w:jc w:val="both"/>
        <w:rPr>
          <w:rFonts w:hint="eastAsia" w:ascii="仿宋" w:hAnsi="仿宋" w:eastAsia="仿宋" w:cs="仿宋"/>
          <w:color w:val="auto"/>
          <w:sz w:val="32"/>
          <w:szCs w:val="32"/>
        </w:rPr>
      </w:pPr>
      <w:r>
        <w:rPr>
          <w:rFonts w:hint="eastAsia" w:ascii="仿宋" w:hAnsi="仿宋" w:eastAsia="仿宋" w:cs="仿宋"/>
          <w:bCs/>
          <w:color w:val="auto"/>
          <w:sz w:val="32"/>
          <w:szCs w:val="32"/>
        </w:rPr>
        <w:t>（</w:t>
      </w:r>
      <w:r>
        <w:rPr>
          <w:rFonts w:hint="eastAsia" w:ascii="仿宋" w:hAnsi="仿宋" w:eastAsia="仿宋" w:cs="仿宋"/>
          <w:color w:val="auto"/>
          <w:sz w:val="32"/>
          <w:szCs w:val="32"/>
        </w:rPr>
        <w:t>八）聘用人员的工资由协议工资和工龄工资构成。（附件一）</w:t>
      </w:r>
    </w:p>
    <w:p>
      <w:pPr>
        <w:pStyle w:val="8"/>
        <w:spacing w:before="0" w:beforeAutospacing="0" w:after="0" w:afterAutospacing="0" w:line="576" w:lineRule="exact"/>
        <w:ind w:firstLine="660"/>
        <w:jc w:val="both"/>
        <w:rPr>
          <w:rFonts w:hint="eastAsia" w:ascii="仿宋" w:hAnsi="仿宋" w:eastAsia="仿宋" w:cs="仿宋"/>
          <w:color w:val="auto"/>
          <w:sz w:val="32"/>
          <w:szCs w:val="32"/>
        </w:rPr>
      </w:pPr>
      <w:r>
        <w:rPr>
          <w:rFonts w:hint="eastAsia" w:ascii="仿宋" w:hAnsi="仿宋" w:eastAsia="仿宋" w:cs="仿宋"/>
          <w:color w:val="auto"/>
          <w:sz w:val="32"/>
          <w:szCs w:val="32"/>
        </w:rPr>
        <w:t>（九）聘用人员的工资如遇政策性调整，由综合办公室根据相关制度规定提出调整方案，经新区办党委会研究后方可执行。　　</w:t>
      </w:r>
    </w:p>
    <w:p>
      <w:pPr>
        <w:pStyle w:val="8"/>
        <w:spacing w:before="0" w:beforeAutospacing="0" w:after="0" w:afterAutospacing="0" w:line="576" w:lineRule="exact"/>
        <w:ind w:firstLine="643" w:firstLineChars="201"/>
        <w:jc w:val="both"/>
        <w:rPr>
          <w:rFonts w:hint="eastAsia" w:ascii="仿宋" w:hAnsi="仿宋" w:eastAsia="仿宋" w:cs="仿宋"/>
          <w:color w:val="auto"/>
          <w:sz w:val="32"/>
          <w:szCs w:val="32"/>
        </w:rPr>
      </w:pPr>
      <w:r>
        <w:rPr>
          <w:rFonts w:hint="eastAsia" w:ascii="仿宋" w:hAnsi="仿宋" w:eastAsia="仿宋" w:cs="仿宋"/>
          <w:color w:val="auto"/>
          <w:sz w:val="32"/>
          <w:szCs w:val="32"/>
        </w:rPr>
        <w:t>（十）聘用人员试用期满后，新区办应根据《劳动法》的规定，为聘用人员缴纳基本养老保险、基本医疗保险、工伤保险、失业保险、生育保险费。续签三年期以上合同的人员可以享受住房公积金待遇，公积金缴纳比例个人8%，单位缴纳8%。</w:t>
      </w:r>
    </w:p>
    <w:p>
      <w:pPr>
        <w:pStyle w:val="8"/>
        <w:spacing w:before="0" w:beforeAutospacing="0" w:after="0" w:afterAutospacing="0" w:line="576" w:lineRule="exact"/>
        <w:jc w:val="both"/>
        <w:rPr>
          <w:rFonts w:hint="eastAsia" w:ascii="仿宋" w:hAnsi="仿宋" w:eastAsia="仿宋" w:cs="仿宋"/>
          <w:color w:val="auto"/>
          <w:sz w:val="32"/>
          <w:szCs w:val="32"/>
        </w:rPr>
      </w:pPr>
      <w:r>
        <w:rPr>
          <w:rFonts w:hint="eastAsia" w:ascii="仿宋" w:hAnsi="仿宋" w:eastAsia="仿宋" w:cs="仿宋"/>
          <w:color w:val="auto"/>
          <w:sz w:val="32"/>
          <w:szCs w:val="32"/>
        </w:rPr>
        <w:t>　　（十一）聘用人员的基本养老保险、基本医疗保险、工伤保险、失业保险、生育保险和住房公积金，按照市社保经办机构核定的缴费基数，单位缴纳的部分，由生态新区综合办公室根据社保经办机构核定的基数按月缴纳社保经办机构。聘用人员个人缴纳的部分，在工资中代扣代缴，工资总额含五险一金。</w:t>
      </w:r>
    </w:p>
    <w:p>
      <w:pPr>
        <w:pStyle w:val="8"/>
        <w:spacing w:before="0" w:beforeAutospacing="0" w:after="0" w:afterAutospacing="0" w:line="576" w:lineRule="exact"/>
        <w:ind w:firstLine="645"/>
        <w:jc w:val="both"/>
        <w:rPr>
          <w:rFonts w:hint="eastAsia" w:ascii="仿宋" w:hAnsi="仿宋" w:eastAsia="仿宋" w:cs="仿宋"/>
          <w:color w:val="auto"/>
          <w:sz w:val="32"/>
          <w:szCs w:val="32"/>
        </w:rPr>
      </w:pPr>
      <w:r>
        <w:rPr>
          <w:rFonts w:hint="eastAsia" w:ascii="仿宋" w:hAnsi="仿宋" w:eastAsia="仿宋" w:cs="仿宋"/>
          <w:color w:val="auto"/>
          <w:sz w:val="32"/>
          <w:szCs w:val="32"/>
        </w:rPr>
        <w:t>（十二）</w:t>
      </w:r>
      <w:r>
        <w:rPr>
          <w:rFonts w:hint="eastAsia" w:ascii="仿宋" w:hAnsi="仿宋" w:eastAsia="仿宋" w:cs="仿宋"/>
          <w:bCs/>
          <w:color w:val="auto"/>
          <w:sz w:val="32"/>
          <w:szCs w:val="32"/>
        </w:rPr>
        <w:t>工伤事故根据国务院《工务保险条例》有关文件规定执行。</w:t>
      </w:r>
    </w:p>
    <w:p>
      <w:pPr>
        <w:pStyle w:val="8"/>
        <w:spacing w:before="0" w:beforeAutospacing="0" w:after="0" w:afterAutospacing="0" w:line="560" w:lineRule="atLeast"/>
        <w:jc w:val="center"/>
        <w:outlineLvl w:val="0"/>
        <w:rPr>
          <w:rFonts w:hint="eastAsia" w:ascii="黑体" w:eastAsia="黑体" w:cs="Arial"/>
          <w:b w:val="0"/>
          <w:bCs/>
          <w:color w:val="auto"/>
          <w:sz w:val="32"/>
          <w:szCs w:val="32"/>
          <w:lang w:eastAsia="zh-CN"/>
        </w:rPr>
      </w:pPr>
      <w:bookmarkStart w:id="116" w:name="_Toc3254"/>
      <w:bookmarkStart w:id="117" w:name="_Toc28941"/>
      <w:bookmarkStart w:id="118" w:name="_Toc12815"/>
      <w:bookmarkStart w:id="119" w:name="_Toc10427"/>
      <w:r>
        <w:rPr>
          <w:rFonts w:hint="eastAsia" w:ascii="黑体" w:eastAsia="黑体" w:cs="Arial"/>
          <w:b w:val="0"/>
          <w:bCs/>
          <w:color w:val="auto"/>
          <w:sz w:val="32"/>
          <w:szCs w:val="32"/>
          <w:lang w:eastAsia="zh-CN"/>
        </w:rPr>
        <w:t>第三章　　人员管理</w:t>
      </w:r>
      <w:bookmarkEnd w:id="116"/>
      <w:bookmarkEnd w:id="117"/>
      <w:bookmarkEnd w:id="118"/>
      <w:bookmarkEnd w:id="119"/>
    </w:p>
    <w:p>
      <w:pPr>
        <w:tabs>
          <w:tab w:val="left" w:pos="1440"/>
          <w:tab w:val="left" w:pos="1800"/>
        </w:tabs>
        <w:spacing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sz w:val="32"/>
          <w:szCs w:val="32"/>
        </w:rPr>
        <w:t>第七条　</w:t>
      </w:r>
      <w:r>
        <w:rPr>
          <w:rFonts w:hint="eastAsia" w:ascii="仿宋" w:hAnsi="仿宋" w:eastAsia="仿宋" w:cs="仿宋"/>
          <w:color w:val="auto"/>
          <w:kern w:val="0"/>
          <w:sz w:val="32"/>
          <w:szCs w:val="32"/>
        </w:rPr>
        <w:t>聘用人员经考核合格后，与生态新区直属企业签订劳动合同。</w:t>
      </w:r>
    </w:p>
    <w:p>
      <w:pPr>
        <w:tabs>
          <w:tab w:val="left" w:pos="1440"/>
          <w:tab w:val="left" w:pos="1800"/>
        </w:tabs>
        <w:spacing w:line="576" w:lineRule="exact"/>
        <w:ind w:firstLine="643" w:firstLineChars="200"/>
        <w:jc w:val="both"/>
        <w:rPr>
          <w:rFonts w:hint="eastAsia" w:ascii="仿宋" w:hAnsi="仿宋" w:eastAsia="仿宋" w:cs="仿宋"/>
          <w:color w:val="auto"/>
          <w:kern w:val="0"/>
          <w:sz w:val="32"/>
          <w:szCs w:val="32"/>
        </w:rPr>
      </w:pPr>
      <w:r>
        <w:rPr>
          <w:rFonts w:hint="eastAsia" w:ascii="仿宋" w:hAnsi="仿宋" w:eastAsia="仿宋" w:cs="仿宋"/>
          <w:b/>
          <w:color w:val="auto"/>
          <w:sz w:val="32"/>
          <w:szCs w:val="32"/>
        </w:rPr>
        <w:t>第八条</w:t>
      </w:r>
      <w:r>
        <w:rPr>
          <w:rFonts w:hint="eastAsia" w:ascii="仿宋" w:hAnsi="仿宋" w:eastAsia="仿宋" w:cs="仿宋"/>
          <w:color w:val="auto"/>
          <w:sz w:val="32"/>
          <w:szCs w:val="32"/>
        </w:rPr>
        <w:t>　</w:t>
      </w:r>
      <w:r>
        <w:rPr>
          <w:rFonts w:hint="eastAsia" w:ascii="仿宋" w:hAnsi="仿宋" w:eastAsia="仿宋" w:cs="仿宋"/>
          <w:color w:val="auto"/>
          <w:kern w:val="0"/>
          <w:sz w:val="32"/>
          <w:szCs w:val="32"/>
        </w:rPr>
        <w:t>聘用人员需填写《劳动合同制工作人员登记表》，并向生态新区综合办公室提交个人身份证复印件及相关学历证书等相关个人资料。</w:t>
      </w:r>
    </w:p>
    <w:p>
      <w:pPr>
        <w:tabs>
          <w:tab w:val="left" w:pos="1440"/>
          <w:tab w:val="left" w:pos="1800"/>
        </w:tabs>
        <w:spacing w:line="576" w:lineRule="exact"/>
        <w:ind w:firstLine="643" w:firstLineChars="200"/>
        <w:jc w:val="both"/>
        <w:rPr>
          <w:rFonts w:hint="eastAsia" w:ascii="仿宋" w:hAnsi="仿宋" w:eastAsia="仿宋" w:cs="仿宋"/>
          <w:color w:val="auto"/>
          <w:kern w:val="0"/>
          <w:sz w:val="32"/>
          <w:szCs w:val="32"/>
        </w:rPr>
      </w:pPr>
      <w:r>
        <w:rPr>
          <w:rFonts w:hint="eastAsia" w:ascii="仿宋" w:hAnsi="仿宋" w:eastAsia="仿宋" w:cs="仿宋"/>
          <w:b/>
          <w:color w:val="auto"/>
          <w:sz w:val="32"/>
          <w:szCs w:val="32"/>
        </w:rPr>
        <w:t>第九条</w:t>
      </w:r>
      <w:r>
        <w:rPr>
          <w:rFonts w:hint="eastAsia" w:ascii="仿宋" w:hAnsi="仿宋" w:eastAsia="仿宋" w:cs="仿宋"/>
          <w:color w:val="auto"/>
          <w:sz w:val="32"/>
          <w:szCs w:val="32"/>
        </w:rPr>
        <w:t>　聘用人员由新区办统一管理，具体工作由用人单位负责考核</w:t>
      </w:r>
      <w:r>
        <w:rPr>
          <w:rFonts w:hint="eastAsia" w:ascii="仿宋" w:hAnsi="仿宋" w:eastAsia="仿宋" w:cs="仿宋"/>
          <w:color w:val="auto"/>
          <w:kern w:val="0"/>
          <w:sz w:val="32"/>
          <w:szCs w:val="32"/>
        </w:rPr>
        <w:t>。</w:t>
      </w:r>
    </w:p>
    <w:p>
      <w:pPr>
        <w:tabs>
          <w:tab w:val="left" w:pos="1440"/>
          <w:tab w:val="left" w:pos="1800"/>
        </w:tabs>
        <w:spacing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sz w:val="32"/>
          <w:szCs w:val="32"/>
        </w:rPr>
        <w:t>第十条</w:t>
      </w:r>
      <w:r>
        <w:rPr>
          <w:rFonts w:hint="eastAsia" w:ascii="仿宋" w:hAnsi="仿宋" w:eastAsia="仿宋" w:cs="仿宋"/>
          <w:color w:val="auto"/>
          <w:sz w:val="32"/>
          <w:szCs w:val="32"/>
        </w:rPr>
        <w:t>　各用人部门应加强对聘用人员的思想教育、业务培训，为其设立岗位目标责任制。综合办公室对岗位责任制执行和落实情况进行不定期的监督检查。</w:t>
      </w:r>
    </w:p>
    <w:p>
      <w:pPr>
        <w:spacing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kern w:val="0"/>
          <w:sz w:val="32"/>
          <w:szCs w:val="32"/>
        </w:rPr>
        <w:t>第十一条</w:t>
      </w:r>
      <w:r>
        <w:rPr>
          <w:rFonts w:hint="eastAsia" w:ascii="仿宋" w:hAnsi="仿宋" w:eastAsia="仿宋" w:cs="仿宋"/>
          <w:color w:val="auto"/>
          <w:kern w:val="0"/>
          <w:sz w:val="32"/>
          <w:szCs w:val="32"/>
        </w:rPr>
        <w:t>　按时上下班，不迟到、不早退，上班时间不得擅自离开工作岗位，外出办事须经所属部门负责人同意。</w:t>
      </w:r>
      <w:r>
        <w:rPr>
          <w:rFonts w:hint="eastAsia" w:ascii="仿宋" w:hAnsi="仿宋" w:eastAsia="仿宋" w:cs="仿宋"/>
          <w:color w:val="auto"/>
          <w:sz w:val="32"/>
          <w:szCs w:val="32"/>
        </w:rPr>
        <w:t> </w:t>
      </w:r>
    </w:p>
    <w:p>
      <w:pPr>
        <w:spacing w:line="576" w:lineRule="exact"/>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b/>
          <w:color w:val="auto"/>
          <w:kern w:val="0"/>
          <w:sz w:val="32"/>
          <w:szCs w:val="32"/>
        </w:rPr>
        <w:t>第十二条</w:t>
      </w:r>
      <w:r>
        <w:rPr>
          <w:rFonts w:hint="eastAsia" w:ascii="仿宋" w:hAnsi="仿宋" w:eastAsia="仿宋" w:cs="仿宋"/>
          <w:b/>
          <w:color w:val="auto"/>
          <w:sz w:val="32"/>
          <w:szCs w:val="32"/>
        </w:rPr>
        <w:t>　</w:t>
      </w:r>
      <w:r>
        <w:rPr>
          <w:rFonts w:hint="eastAsia" w:ascii="仿宋" w:hAnsi="仿宋" w:eastAsia="仿宋" w:cs="仿宋"/>
          <w:color w:val="auto"/>
          <w:kern w:val="0"/>
          <w:sz w:val="32"/>
          <w:szCs w:val="32"/>
        </w:rPr>
        <w:t>请休假严格按照生态新区在编干部职工请休假制度执行，未经批准擅离工作岗位的按旷工处理。</w:t>
      </w:r>
      <w:r>
        <w:rPr>
          <w:rFonts w:hint="eastAsia" w:ascii="仿宋" w:hAnsi="仿宋" w:eastAsia="仿宋" w:cs="仿宋"/>
          <w:color w:val="auto"/>
          <w:sz w:val="32"/>
          <w:szCs w:val="32"/>
        </w:rPr>
        <w:t> </w:t>
      </w:r>
    </w:p>
    <w:p>
      <w:pPr>
        <w:spacing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kern w:val="0"/>
          <w:sz w:val="32"/>
          <w:szCs w:val="32"/>
        </w:rPr>
        <w:t>第十三条</w:t>
      </w:r>
      <w:r>
        <w:rPr>
          <w:rFonts w:hint="eastAsia" w:ascii="仿宋" w:hAnsi="仿宋" w:eastAsia="仿宋" w:cs="仿宋"/>
          <w:color w:val="auto"/>
          <w:sz w:val="32"/>
          <w:szCs w:val="32"/>
        </w:rPr>
        <w:t>　无故</w:t>
      </w:r>
      <w:r>
        <w:rPr>
          <w:rFonts w:hint="eastAsia" w:ascii="仿宋" w:hAnsi="仿宋" w:eastAsia="仿宋" w:cs="仿宋"/>
          <w:color w:val="auto"/>
          <w:kern w:val="0"/>
          <w:sz w:val="32"/>
          <w:szCs w:val="32"/>
        </w:rPr>
        <w:t>旷工累计3天以上解除劳动合同；累计旷工15天以上，解除劳动合同。    </w:t>
      </w:r>
      <w:r>
        <w:rPr>
          <w:rFonts w:hint="eastAsia" w:ascii="仿宋" w:hAnsi="仿宋" w:eastAsia="仿宋" w:cs="仿宋"/>
          <w:color w:val="auto"/>
          <w:sz w:val="32"/>
          <w:szCs w:val="32"/>
        </w:rPr>
        <w:t> </w:t>
      </w:r>
    </w:p>
    <w:p>
      <w:pPr>
        <w:spacing w:line="576" w:lineRule="exact"/>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b/>
          <w:color w:val="auto"/>
          <w:sz w:val="32"/>
          <w:szCs w:val="32"/>
        </w:rPr>
        <w:t xml:space="preserve">  </w:t>
      </w:r>
      <w:r>
        <w:rPr>
          <w:rFonts w:hint="eastAsia" w:ascii="仿宋" w:hAnsi="仿宋" w:eastAsia="仿宋" w:cs="仿宋"/>
          <w:b/>
          <w:color w:val="auto"/>
          <w:kern w:val="0"/>
          <w:sz w:val="32"/>
          <w:szCs w:val="32"/>
        </w:rPr>
        <w:t>第十四条</w:t>
      </w:r>
      <w:r>
        <w:rPr>
          <w:rFonts w:hint="eastAsia" w:ascii="仿宋" w:hAnsi="仿宋" w:eastAsia="仿宋" w:cs="仿宋"/>
          <w:color w:val="auto"/>
          <w:sz w:val="32"/>
          <w:szCs w:val="32"/>
        </w:rPr>
        <w:t>　</w:t>
      </w:r>
      <w:r>
        <w:rPr>
          <w:rFonts w:hint="eastAsia" w:ascii="仿宋" w:hAnsi="仿宋" w:eastAsia="仿宋" w:cs="仿宋"/>
          <w:color w:val="auto"/>
          <w:kern w:val="0"/>
          <w:sz w:val="32"/>
          <w:szCs w:val="32"/>
        </w:rPr>
        <w:t>迟到、早退按月累计，每达3次按旷工1天处理。</w:t>
      </w:r>
      <w:r>
        <w:rPr>
          <w:rFonts w:hint="eastAsia" w:ascii="仿宋" w:hAnsi="仿宋" w:eastAsia="仿宋" w:cs="仿宋"/>
          <w:color w:val="auto"/>
          <w:sz w:val="32"/>
          <w:szCs w:val="32"/>
        </w:rPr>
        <w:t> </w:t>
      </w:r>
    </w:p>
    <w:p>
      <w:pPr>
        <w:spacing w:line="576" w:lineRule="exact"/>
        <w:jc w:val="both"/>
        <w:rPr>
          <w:rFonts w:hint="eastAsia" w:ascii="仿宋" w:hAnsi="仿宋" w:eastAsia="仿宋" w:cs="仿宋"/>
          <w:color w:val="auto"/>
          <w:kern w:val="0"/>
          <w:sz w:val="32"/>
          <w:szCs w:val="32"/>
        </w:rPr>
      </w:pPr>
      <w:r>
        <w:rPr>
          <w:rFonts w:hint="eastAsia" w:ascii="仿宋" w:hAnsi="仿宋" w:eastAsia="仿宋" w:cs="仿宋"/>
          <w:color w:val="auto"/>
          <w:sz w:val="32"/>
          <w:szCs w:val="32"/>
        </w:rPr>
        <w:t xml:space="preserve">    </w:t>
      </w:r>
      <w:r>
        <w:rPr>
          <w:rFonts w:hint="eastAsia" w:ascii="仿宋" w:hAnsi="仿宋" w:eastAsia="仿宋" w:cs="仿宋"/>
          <w:b/>
          <w:color w:val="auto"/>
          <w:kern w:val="0"/>
          <w:sz w:val="32"/>
          <w:szCs w:val="32"/>
        </w:rPr>
        <w:t>第十五条</w:t>
      </w:r>
      <w:r>
        <w:rPr>
          <w:rFonts w:hint="eastAsia" w:ascii="仿宋" w:hAnsi="仿宋" w:eastAsia="仿宋" w:cs="仿宋"/>
          <w:color w:val="auto"/>
          <w:sz w:val="32"/>
          <w:szCs w:val="32"/>
        </w:rPr>
        <w:t>　</w:t>
      </w:r>
      <w:r>
        <w:rPr>
          <w:rFonts w:hint="eastAsia" w:ascii="仿宋" w:hAnsi="仿宋" w:eastAsia="仿宋" w:cs="仿宋"/>
          <w:color w:val="auto"/>
          <w:kern w:val="0"/>
          <w:sz w:val="32"/>
          <w:szCs w:val="32"/>
        </w:rPr>
        <w:t>聘用人员病假期间工资按《劳动法》相关规定执行。 </w:t>
      </w:r>
    </w:p>
    <w:p>
      <w:pPr>
        <w:pStyle w:val="8"/>
        <w:spacing w:before="0" w:beforeAutospacing="0" w:after="0" w:afterAutospacing="0"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sz w:val="32"/>
          <w:szCs w:val="32"/>
        </w:rPr>
        <w:t>第十六条</w:t>
      </w:r>
      <w:r>
        <w:rPr>
          <w:rFonts w:hint="eastAsia" w:ascii="仿宋" w:hAnsi="仿宋" w:eastAsia="仿宋" w:cs="仿宋"/>
          <w:color w:val="auto"/>
          <w:sz w:val="32"/>
          <w:szCs w:val="32"/>
        </w:rPr>
        <w:t>　以日常考核、年终考核结果为依据，按照《劳动合同法》第39条、40条，解除劳动合同。</w:t>
      </w:r>
    </w:p>
    <w:p>
      <w:pPr>
        <w:pStyle w:val="8"/>
        <w:spacing w:before="0" w:beforeAutospacing="0" w:after="0" w:afterAutospacing="0"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第十七条</w:t>
      </w:r>
      <w:r>
        <w:rPr>
          <w:rFonts w:hint="eastAsia" w:ascii="仿宋" w:hAnsi="仿宋" w:eastAsia="仿宋" w:cs="仿宋"/>
          <w:color w:val="auto"/>
          <w:sz w:val="32"/>
          <w:szCs w:val="32"/>
        </w:rPr>
        <w:t xml:space="preserve">  聘用制人员岗位考核分值为100分。</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（一）各局办负责对本局使用聘用制人员的个性工作进行考核，目标分值30分。需制定不少于3项有量化指标的个性工作目标，并按照工作目标的重要性、工作量的多少，分别赋予相应分值。</w:t>
      </w:r>
    </w:p>
    <w:p>
      <w:pPr>
        <w:spacing w:line="600" w:lineRule="exact"/>
        <w:ind w:firstLine="660"/>
        <w:jc w:val="both"/>
        <w:rPr>
          <w:rFonts w:hint="eastAsia" w:ascii="仿宋" w:hAnsi="仿宋" w:eastAsia="仿宋" w:cs="仿宋"/>
          <w:color w:val="auto"/>
          <w:kern w:val="0"/>
          <w:sz w:val="32"/>
          <w:szCs w:val="32"/>
        </w:rPr>
      </w:pPr>
      <w:r>
        <w:rPr>
          <w:rFonts w:hint="eastAsia" w:ascii="仿宋" w:hAnsi="仿宋" w:eastAsia="仿宋" w:cs="仿宋"/>
          <w:color w:val="auto"/>
          <w:sz w:val="32"/>
          <w:szCs w:val="32"/>
        </w:rPr>
        <w:t>（二）综合办公室负责对聘用</w:t>
      </w:r>
      <w:r>
        <w:rPr>
          <w:rFonts w:hint="eastAsia" w:ascii="仿宋" w:hAnsi="仿宋" w:eastAsia="仿宋" w:cs="仿宋"/>
          <w:color w:val="auto"/>
          <w:kern w:val="0"/>
          <w:sz w:val="32"/>
          <w:szCs w:val="32"/>
        </w:rPr>
        <w:t>人员的共性工作进行考核，目标分值30分。其中：敬业精神占10分，主要包括工作责任心、工作态度、工作作风、团结协作、出勤情况等方面；廉洁自律占10分，主要包括遵纪守法、廉洁奉公、行政行为、行政成本等方面；思想品德占10分，主要包括政治态度、思想品质、职业道德、社会公德等方面。</w:t>
      </w:r>
    </w:p>
    <w:p>
      <w:pPr>
        <w:spacing w:line="600" w:lineRule="exact"/>
        <w:ind w:firstLine="660"/>
        <w:jc w:val="both"/>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（三）测评分40分。领导班子测评分值占50%，测评分值20分；中层领导测评分值占50%，测评分值20分。</w:t>
      </w:r>
    </w:p>
    <w:p>
      <w:pPr>
        <w:spacing w:line="600" w:lineRule="exact"/>
        <w:ind w:firstLine="660"/>
        <w:jc w:val="both"/>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四）考核结果分为四个等次：优秀、良好、称职、不称职。考核确定优秀等次的占考核人数的15%，良好等次的占考核人数的20%，称职等次的占考核人数的60%，不称职等次的占考核人数的5%。执行末尾淘汰制，连续两年考核位次靠后者，无条件解聘。</w:t>
      </w:r>
    </w:p>
    <w:p>
      <w:pPr>
        <w:pStyle w:val="8"/>
        <w:spacing w:before="0" w:beforeAutospacing="0" w:after="0" w:afterAutospacing="0" w:line="576" w:lineRule="exact"/>
        <w:jc w:val="center"/>
        <w:outlineLvl w:val="0"/>
        <w:rPr>
          <w:rFonts w:hint="eastAsia" w:ascii="仿宋" w:hAnsi="仿宋" w:eastAsia="仿宋" w:cs="仿宋"/>
          <w:color w:val="auto"/>
          <w:sz w:val="32"/>
          <w:szCs w:val="32"/>
        </w:rPr>
      </w:pPr>
      <w:bookmarkStart w:id="120" w:name="_Toc3516"/>
      <w:bookmarkStart w:id="121" w:name="_Toc13759"/>
      <w:bookmarkStart w:id="122" w:name="_Toc17621"/>
      <w:bookmarkStart w:id="123" w:name="_Toc1782"/>
      <w:r>
        <w:rPr>
          <w:rFonts w:hint="eastAsia" w:ascii="黑体" w:hAnsi="黑体" w:eastAsia="黑体" w:cs="黑体"/>
          <w:b w:val="0"/>
          <w:bCs/>
          <w:color w:val="auto"/>
          <w:sz w:val="32"/>
          <w:szCs w:val="32"/>
        </w:rPr>
        <w:t>第四章　合同解除和终止</w:t>
      </w:r>
      <w:bookmarkEnd w:id="120"/>
      <w:bookmarkEnd w:id="121"/>
      <w:bookmarkEnd w:id="122"/>
      <w:bookmarkEnd w:id="123"/>
    </w:p>
    <w:p>
      <w:pPr>
        <w:spacing w:line="576" w:lineRule="exact"/>
        <w:ind w:firstLine="643" w:firstLineChars="200"/>
        <w:jc w:val="both"/>
        <w:rPr>
          <w:rFonts w:hint="eastAsia" w:ascii="仿宋" w:hAnsi="仿宋" w:eastAsia="仿宋" w:cs="仿宋"/>
          <w:color w:val="auto"/>
          <w:kern w:val="0"/>
          <w:sz w:val="32"/>
          <w:szCs w:val="32"/>
        </w:rPr>
      </w:pPr>
      <w:r>
        <w:rPr>
          <w:rFonts w:hint="eastAsia" w:ascii="仿宋" w:hAnsi="仿宋" w:eastAsia="仿宋" w:cs="仿宋"/>
          <w:b/>
          <w:color w:val="auto"/>
          <w:sz w:val="32"/>
          <w:szCs w:val="32"/>
        </w:rPr>
        <w:t>第十八条</w:t>
      </w:r>
      <w:r>
        <w:rPr>
          <w:rFonts w:hint="eastAsia" w:ascii="仿宋" w:hAnsi="仿宋" w:eastAsia="仿宋" w:cs="仿宋"/>
          <w:color w:val="auto"/>
          <w:sz w:val="32"/>
          <w:szCs w:val="32"/>
        </w:rPr>
        <w:t>　除劳动合同规定的情形外，下列情况可以解除劳动合同。劳动合同期内，因客观情况发生变化，致使原劳动合同无法履行，经双方协商一致，可对劳动合同相关内容作相应变更。当事人一方要求变更劳动合同，应将变更要求书面送交另一方，另一方应在15日内做出书面答复。</w:t>
      </w:r>
    </w:p>
    <w:p>
      <w:pPr>
        <w:spacing w:line="576" w:lineRule="exact"/>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    </w:t>
      </w:r>
      <w:r>
        <w:rPr>
          <w:rFonts w:hint="eastAsia" w:ascii="仿宋" w:hAnsi="仿宋" w:eastAsia="仿宋" w:cs="仿宋"/>
          <w:b/>
          <w:color w:val="auto"/>
          <w:kern w:val="0"/>
          <w:sz w:val="32"/>
          <w:szCs w:val="32"/>
        </w:rPr>
        <w:t>第十九条</w:t>
      </w:r>
      <w:r>
        <w:rPr>
          <w:rFonts w:hint="eastAsia" w:ascii="仿宋" w:hAnsi="仿宋" w:eastAsia="仿宋" w:cs="仿宋"/>
          <w:color w:val="auto"/>
          <w:kern w:val="0"/>
          <w:sz w:val="32"/>
          <w:szCs w:val="32"/>
        </w:rPr>
        <w:t>　劳动合同期满或合同双方约定的终止条件出现，劳动合同即行终止。</w:t>
      </w:r>
      <w:r>
        <w:rPr>
          <w:rFonts w:hint="eastAsia" w:ascii="仿宋" w:hAnsi="仿宋" w:cs="仿宋"/>
          <w:color w:val="auto"/>
          <w:kern w:val="0"/>
          <w:sz w:val="32"/>
          <w:szCs w:val="32"/>
          <w:lang w:eastAsia="zh-CN"/>
        </w:rPr>
        <w:t>离职人员按要求办理相关离职手续，按照单位要求交接本岗位工作。如果未履行相关要求，将把失信行为纳入个人诚信档案。</w:t>
      </w:r>
    </w:p>
    <w:p>
      <w:pPr>
        <w:pStyle w:val="8"/>
        <w:spacing w:before="0" w:beforeAutospacing="0" w:after="0" w:afterAutospacing="0" w:line="576"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color w:val="auto"/>
          <w:sz w:val="32"/>
          <w:szCs w:val="32"/>
        </w:rPr>
        <w:t>第二十条</w:t>
      </w:r>
      <w:r>
        <w:rPr>
          <w:rFonts w:hint="eastAsia" w:ascii="仿宋" w:hAnsi="仿宋" w:eastAsia="仿宋" w:cs="仿宋"/>
          <w:color w:val="auto"/>
          <w:sz w:val="32"/>
          <w:szCs w:val="32"/>
        </w:rPr>
        <w:t xml:space="preserve">　聘用人员有下列情形之一的，生态新区及直属企业单位可以解除劳动合同： </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（一）在试用期间被证明不符合聘用条件的； </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（二）严重违反生态新区的规章制度的； </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（三）严重失职，营私舞弊，给生态新区造成重大损害的； </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（四）聘用人员同时与其他用人单位建立劳动关系，对完成本单位的工作任务造成严重影响，拒不改正的； </w:t>
      </w:r>
    </w:p>
    <w:p>
      <w:pPr>
        <w:pStyle w:val="8"/>
        <w:spacing w:before="0" w:beforeAutospacing="0" w:after="0" w:afterAutospacing="0" w:line="576"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 xml:space="preserve">（五）被依法追究刑事责任的。 </w:t>
      </w:r>
    </w:p>
    <w:p>
      <w:pPr>
        <w:pStyle w:val="8"/>
        <w:spacing w:before="0" w:beforeAutospacing="0" w:after="0" w:afterAutospacing="0" w:line="576" w:lineRule="exact"/>
        <w:ind w:firstLine="3534" w:firstLineChars="1100"/>
        <w:jc w:val="both"/>
        <w:outlineLvl w:val="0"/>
        <w:rPr>
          <w:rFonts w:hint="eastAsia" w:ascii="黑体" w:hAnsi="黑体" w:eastAsia="黑体" w:cs="黑体"/>
          <w:color w:val="auto"/>
          <w:sz w:val="32"/>
          <w:szCs w:val="32"/>
        </w:rPr>
      </w:pPr>
      <w:bookmarkStart w:id="124" w:name="_Toc21513"/>
      <w:bookmarkStart w:id="125" w:name="_Toc16816"/>
      <w:bookmarkStart w:id="126" w:name="_Toc1671"/>
      <w:bookmarkStart w:id="127" w:name="_Toc20308"/>
      <w:r>
        <w:rPr>
          <w:rFonts w:hint="eastAsia" w:ascii="黑体" w:hAnsi="黑体" w:eastAsia="黑体" w:cs="黑体"/>
          <w:b/>
          <w:color w:val="auto"/>
          <w:sz w:val="32"/>
          <w:szCs w:val="32"/>
        </w:rPr>
        <w:t>第五章  违约责任</w:t>
      </w:r>
      <w:bookmarkEnd w:id="124"/>
      <w:bookmarkEnd w:id="125"/>
      <w:bookmarkEnd w:id="126"/>
      <w:bookmarkEnd w:id="127"/>
    </w:p>
    <w:p>
      <w:pPr>
        <w:pStyle w:val="8"/>
        <w:spacing w:before="0" w:beforeAutospacing="0" w:after="0" w:afterAutospacing="0" w:line="576" w:lineRule="exact"/>
        <w:jc w:val="both"/>
        <w:rPr>
          <w:rFonts w:hint="eastAsia" w:ascii="仿宋" w:hAnsi="仿宋" w:eastAsia="仿宋" w:cs="仿宋"/>
          <w:color w:val="auto"/>
          <w:sz w:val="32"/>
          <w:szCs w:val="32"/>
        </w:rPr>
      </w:pPr>
      <w:r>
        <w:rPr>
          <w:rFonts w:hint="eastAsia" w:ascii="仿宋" w:hAnsi="仿宋" w:eastAsia="仿宋" w:cs="仿宋"/>
          <w:color w:val="auto"/>
          <w:sz w:val="32"/>
          <w:szCs w:val="32"/>
        </w:rPr>
        <w:t>　</w:t>
      </w:r>
      <w:r>
        <w:rPr>
          <w:rFonts w:hint="eastAsia" w:ascii="仿宋" w:hAnsi="仿宋" w:eastAsia="仿宋" w:cs="仿宋"/>
          <w:b/>
          <w:color w:val="auto"/>
          <w:sz w:val="32"/>
          <w:szCs w:val="32"/>
        </w:rPr>
        <w:t>　第二十一条</w:t>
      </w:r>
      <w:r>
        <w:rPr>
          <w:rFonts w:hint="eastAsia" w:ascii="仿宋" w:hAnsi="仿宋" w:eastAsia="仿宋" w:cs="仿宋"/>
          <w:color w:val="auto"/>
          <w:sz w:val="32"/>
          <w:szCs w:val="32"/>
        </w:rPr>
        <w:t>　聘用人员未经新区办党委会同意，单方面解除劳动合同，给生态新区造成经济损失的，由聘用人员承担相应的赔偿责任。</w:t>
      </w:r>
    </w:p>
    <w:p>
      <w:pPr>
        <w:pStyle w:val="8"/>
        <w:spacing w:before="0" w:beforeAutospacing="0" w:after="0" w:afterAutospacing="0" w:line="576" w:lineRule="exact"/>
        <w:ind w:firstLine="660"/>
        <w:jc w:val="both"/>
        <w:rPr>
          <w:rFonts w:hint="eastAsia" w:ascii="仿宋" w:hAnsi="仿宋" w:eastAsia="仿宋" w:cs="仿宋"/>
          <w:color w:val="auto"/>
          <w:sz w:val="32"/>
          <w:szCs w:val="32"/>
        </w:rPr>
      </w:pPr>
      <w:r>
        <w:rPr>
          <w:rFonts w:hint="eastAsia" w:ascii="仿宋" w:hAnsi="仿宋" w:eastAsia="仿宋" w:cs="仿宋"/>
          <w:b/>
          <w:color w:val="auto"/>
          <w:sz w:val="32"/>
          <w:szCs w:val="32"/>
        </w:rPr>
        <w:t>第二十二条</w:t>
      </w:r>
      <w:r>
        <w:rPr>
          <w:rFonts w:hint="eastAsia" w:ascii="仿宋" w:hAnsi="仿宋" w:eastAsia="仿宋" w:cs="仿宋"/>
          <w:color w:val="auto"/>
          <w:sz w:val="32"/>
          <w:szCs w:val="32"/>
        </w:rPr>
        <w:t>　生态新区在合同期内无故将聘用人员辞退，给聘用人员造成损失的，由新区办按《劳动合同法》相关规定向聘用人员支付补偿金。</w:t>
      </w:r>
    </w:p>
    <w:p>
      <w:pPr>
        <w:pStyle w:val="8"/>
        <w:spacing w:before="0" w:beforeAutospacing="0" w:after="0" w:afterAutospacing="0" w:line="576" w:lineRule="exact"/>
        <w:jc w:val="center"/>
        <w:outlineLvl w:val="0"/>
        <w:rPr>
          <w:rFonts w:hint="eastAsia" w:ascii="黑体" w:hAnsi="黑体" w:eastAsia="黑体" w:cs="黑体"/>
          <w:color w:val="auto"/>
          <w:sz w:val="32"/>
          <w:szCs w:val="32"/>
        </w:rPr>
      </w:pPr>
      <w:bookmarkStart w:id="128" w:name="_Toc21055"/>
      <w:bookmarkStart w:id="129" w:name="_Toc5992"/>
      <w:bookmarkStart w:id="130" w:name="_Toc32586"/>
      <w:bookmarkStart w:id="131" w:name="_Toc23909"/>
      <w:r>
        <w:rPr>
          <w:rFonts w:hint="eastAsia" w:ascii="黑体" w:hAnsi="黑体" w:eastAsia="黑体" w:cs="黑体"/>
          <w:b/>
          <w:color w:val="auto"/>
          <w:sz w:val="32"/>
          <w:szCs w:val="32"/>
        </w:rPr>
        <w:t>第</w:t>
      </w:r>
      <w:r>
        <w:rPr>
          <w:rFonts w:hint="eastAsia" w:ascii="黑体" w:hAnsi="黑体" w:eastAsia="黑体" w:cs="黑体"/>
          <w:b/>
          <w:color w:val="auto"/>
          <w:sz w:val="32"/>
          <w:szCs w:val="32"/>
          <w:lang w:eastAsia="zh-CN"/>
        </w:rPr>
        <w:t>六</w:t>
      </w:r>
      <w:r>
        <w:rPr>
          <w:rFonts w:hint="eastAsia" w:ascii="黑体" w:hAnsi="黑体" w:eastAsia="黑体" w:cs="黑体"/>
          <w:b/>
          <w:color w:val="auto"/>
          <w:sz w:val="32"/>
          <w:szCs w:val="32"/>
        </w:rPr>
        <w:t>章　附则</w:t>
      </w:r>
      <w:bookmarkEnd w:id="128"/>
      <w:bookmarkEnd w:id="129"/>
      <w:bookmarkEnd w:id="130"/>
      <w:bookmarkEnd w:id="131"/>
    </w:p>
    <w:p>
      <w:pPr>
        <w:pStyle w:val="8"/>
        <w:spacing w:before="0" w:beforeAutospacing="0" w:after="0" w:afterAutospacing="0" w:line="576" w:lineRule="exact"/>
        <w:ind w:firstLine="630"/>
        <w:jc w:val="both"/>
        <w:rPr>
          <w:rFonts w:hint="eastAsia" w:ascii="仿宋" w:hAnsi="仿宋" w:eastAsia="仿宋" w:cs="仿宋"/>
          <w:color w:val="auto"/>
          <w:sz w:val="32"/>
          <w:szCs w:val="32"/>
        </w:rPr>
      </w:pPr>
      <w:r>
        <w:rPr>
          <w:rFonts w:hint="eastAsia" w:ascii="仿宋" w:hAnsi="仿宋" w:eastAsia="仿宋" w:cs="仿宋"/>
          <w:b/>
          <w:color w:val="auto"/>
          <w:sz w:val="32"/>
          <w:szCs w:val="32"/>
        </w:rPr>
        <w:t>第二十三条</w:t>
      </w:r>
      <w:r>
        <w:rPr>
          <w:rFonts w:hint="eastAsia" w:ascii="仿宋" w:hAnsi="仿宋" w:eastAsia="仿宋" w:cs="仿宋"/>
          <w:color w:val="auto"/>
          <w:sz w:val="32"/>
          <w:szCs w:val="32"/>
        </w:rPr>
        <w:t>　本制度从发文之日起执行，与此制度不符的所有规定同时废止。</w:t>
      </w:r>
    </w:p>
    <w:p>
      <w:pPr>
        <w:pStyle w:val="8"/>
        <w:spacing w:before="0" w:beforeAutospacing="0" w:after="0" w:afterAutospacing="0" w:line="576" w:lineRule="exact"/>
        <w:ind w:firstLine="630"/>
        <w:jc w:val="both"/>
        <w:rPr>
          <w:rFonts w:hint="eastAsia" w:ascii="仿宋" w:hAnsi="仿宋" w:eastAsia="仿宋" w:cs="仿宋"/>
          <w:color w:val="auto"/>
          <w:kern w:val="2"/>
          <w:sz w:val="32"/>
          <w:szCs w:val="32"/>
          <w:lang w:val="en-US" w:eastAsia="zh-CN" w:bidi="ar-SA"/>
        </w:rPr>
      </w:pPr>
      <w:r>
        <w:rPr>
          <w:rFonts w:hint="eastAsia" w:ascii="仿宋" w:hAnsi="仿宋" w:eastAsia="仿宋" w:cs="仿宋"/>
          <w:b/>
          <w:color w:val="auto"/>
          <w:sz w:val="32"/>
          <w:szCs w:val="32"/>
        </w:rPr>
        <w:t>第二十四条</w:t>
      </w:r>
      <w:r>
        <w:rPr>
          <w:rFonts w:hint="eastAsia" w:ascii="仿宋" w:hAnsi="仿宋" w:eastAsia="仿宋" w:cs="仿宋"/>
          <w:color w:val="auto"/>
          <w:sz w:val="32"/>
          <w:szCs w:val="32"/>
        </w:rPr>
        <w:t>　本</w:t>
      </w:r>
      <w:r>
        <w:rPr>
          <w:rFonts w:hint="eastAsia" w:ascii="仿宋" w:hAnsi="仿宋" w:eastAsia="仿宋" w:cs="仿宋"/>
          <w:color w:val="auto"/>
          <w:kern w:val="2"/>
          <w:sz w:val="32"/>
          <w:szCs w:val="32"/>
          <w:lang w:val="en-US" w:eastAsia="zh-CN" w:bidi="ar-SA"/>
        </w:rPr>
        <w:t>制度由生态新区综合办公室负责解释。</w:t>
      </w:r>
    </w:p>
    <w:p>
      <w:pPr>
        <w:pStyle w:val="2"/>
        <w:bidi w:val="0"/>
        <w:outlineLvl w:val="9"/>
        <w:rPr>
          <w:rFonts w:hint="eastAsia"/>
          <w:color w:val="auto"/>
          <w:lang w:eastAsia="zh-CN"/>
        </w:rPr>
      </w:pPr>
    </w:p>
    <w:p>
      <w:pPr>
        <w:pStyle w:val="2"/>
        <w:bidi w:val="0"/>
        <w:outlineLvl w:val="9"/>
        <w:rPr>
          <w:rFonts w:hint="eastAsia"/>
          <w:color w:val="auto"/>
          <w:lang w:eastAsia="zh-CN"/>
        </w:rPr>
        <w:sectPr>
          <w:footerReference r:id="rId7" w:type="default"/>
          <w:pgSz w:w="11906" w:h="16838"/>
          <w:pgMar w:top="1440" w:right="1800" w:bottom="1440" w:left="1800" w:header="851" w:footer="992" w:gutter="0"/>
          <w:pgNumType w:fmt="numberInDash"/>
          <w:cols w:space="425" w:num="1"/>
          <w:docGrid w:type="lines" w:linePitch="312" w:charSpace="0"/>
        </w:sectPr>
      </w:pPr>
    </w:p>
    <w:p>
      <w:pPr>
        <w:jc w:val="center"/>
        <w:outlineLvl w:val="0"/>
        <w:rPr>
          <w:rFonts w:hint="eastAsia" w:ascii="宋体" w:hAnsi="宋体"/>
          <w:b/>
          <w:color w:val="auto"/>
          <w:sz w:val="36"/>
          <w:szCs w:val="36"/>
        </w:rPr>
      </w:pPr>
      <w:bookmarkStart w:id="132" w:name="_Toc30179"/>
      <w:bookmarkStart w:id="133" w:name="_Toc29013"/>
      <w:bookmarkStart w:id="134" w:name="_Toc9370"/>
      <w:bookmarkStart w:id="135" w:name="_Toc11039"/>
      <w:r>
        <w:rPr>
          <w:rFonts w:hint="eastAsia" w:ascii="宋体" w:hAnsi="宋体"/>
          <w:b/>
          <w:color w:val="auto"/>
          <w:sz w:val="36"/>
          <w:szCs w:val="36"/>
        </w:rPr>
        <w:t>聘用人员岗位分类及工资标准</w:t>
      </w:r>
      <w:bookmarkEnd w:id="132"/>
      <w:bookmarkEnd w:id="133"/>
      <w:bookmarkEnd w:id="134"/>
      <w:bookmarkEnd w:id="135"/>
    </w:p>
    <w:p>
      <w:pPr>
        <w:jc w:val="center"/>
        <w:outlineLvl w:val="0"/>
        <w:rPr>
          <w:rFonts w:hint="eastAsia" w:ascii="宋体" w:hAnsi="宋体"/>
          <w:b/>
          <w:color w:val="auto"/>
          <w:sz w:val="24"/>
        </w:rPr>
      </w:pPr>
      <w:r>
        <w:rPr>
          <w:rFonts w:hint="eastAsia"/>
          <w:color w:val="auto"/>
          <w:sz w:val="24"/>
        </w:rPr>
        <w:t xml:space="preserve">                                                                               </w:t>
      </w:r>
      <w:bookmarkStart w:id="136" w:name="_Toc21286"/>
      <w:bookmarkStart w:id="137" w:name="_Toc6241"/>
      <w:bookmarkStart w:id="138" w:name="_Toc22832"/>
      <w:bookmarkStart w:id="139" w:name="_Toc24511"/>
      <w:r>
        <w:rPr>
          <w:rFonts w:hint="eastAsia"/>
          <w:color w:val="auto"/>
          <w:sz w:val="24"/>
        </w:rPr>
        <w:t>单位：元/月</w:t>
      </w:r>
      <w:bookmarkEnd w:id="136"/>
      <w:bookmarkEnd w:id="137"/>
      <w:bookmarkEnd w:id="138"/>
      <w:bookmarkEnd w:id="139"/>
    </w:p>
    <w:tbl>
      <w:tblPr>
        <w:tblStyle w:val="10"/>
        <w:tblW w:w="12276" w:type="dxa"/>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708"/>
        <w:gridCol w:w="2175"/>
        <w:gridCol w:w="1597"/>
        <w:gridCol w:w="2294"/>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992" w:type="dxa"/>
            <w:gridSpan w:val="2"/>
            <w:noWrap w:val="0"/>
            <w:vAlign w:val="center"/>
          </w:tcPr>
          <w:p>
            <w:pPr>
              <w:jc w:val="center"/>
              <w:rPr>
                <w:rFonts w:hAnsi="宋体"/>
                <w:b/>
                <w:color w:val="auto"/>
                <w:sz w:val="24"/>
              </w:rPr>
            </w:pPr>
            <w:r>
              <w:rPr>
                <w:rFonts w:hAnsi="宋体"/>
                <w:b/>
                <w:color w:val="auto"/>
                <w:sz w:val="28"/>
                <w:szCs w:val="28"/>
              </w:rPr>
              <w:t>岗位名</w:t>
            </w:r>
            <w:r>
              <w:rPr>
                <w:rFonts w:hint="eastAsia" w:hAnsi="宋体"/>
                <w:b/>
                <w:color w:val="auto"/>
                <w:sz w:val="28"/>
                <w:szCs w:val="28"/>
              </w:rPr>
              <w:t>称</w:t>
            </w:r>
          </w:p>
        </w:tc>
        <w:tc>
          <w:tcPr>
            <w:tcW w:w="2175" w:type="dxa"/>
            <w:noWrap w:val="0"/>
            <w:vAlign w:val="center"/>
          </w:tcPr>
          <w:p>
            <w:pPr>
              <w:jc w:val="center"/>
              <w:rPr>
                <w:rFonts w:hAnsi="宋体"/>
                <w:b/>
                <w:color w:val="auto"/>
                <w:sz w:val="24"/>
              </w:rPr>
            </w:pPr>
            <w:r>
              <w:rPr>
                <w:rFonts w:hAnsi="宋体"/>
                <w:b/>
                <w:color w:val="auto"/>
                <w:sz w:val="28"/>
                <w:szCs w:val="28"/>
              </w:rPr>
              <w:t>岗位</w:t>
            </w:r>
            <w:r>
              <w:rPr>
                <w:rFonts w:hint="eastAsia" w:hAnsi="宋体"/>
                <w:b/>
                <w:color w:val="auto"/>
                <w:sz w:val="28"/>
                <w:szCs w:val="28"/>
              </w:rPr>
              <w:t>类别</w:t>
            </w:r>
          </w:p>
        </w:tc>
        <w:tc>
          <w:tcPr>
            <w:tcW w:w="1597" w:type="dxa"/>
            <w:noWrap w:val="0"/>
            <w:vAlign w:val="center"/>
          </w:tcPr>
          <w:p>
            <w:pPr>
              <w:jc w:val="center"/>
              <w:rPr>
                <w:rFonts w:hint="eastAsia" w:hAnsi="宋体"/>
                <w:b/>
                <w:color w:val="auto"/>
                <w:sz w:val="24"/>
              </w:rPr>
            </w:pPr>
            <w:r>
              <w:rPr>
                <w:rFonts w:hint="eastAsia" w:hAnsi="宋体"/>
                <w:b/>
                <w:color w:val="auto"/>
                <w:sz w:val="24"/>
              </w:rPr>
              <w:t>协议工资</w:t>
            </w:r>
          </w:p>
        </w:tc>
        <w:tc>
          <w:tcPr>
            <w:tcW w:w="2294" w:type="dxa"/>
            <w:noWrap w:val="0"/>
            <w:vAlign w:val="center"/>
          </w:tcPr>
          <w:p>
            <w:pPr>
              <w:jc w:val="center"/>
              <w:rPr>
                <w:rFonts w:hint="eastAsia" w:hAnsi="宋体"/>
                <w:b/>
                <w:color w:val="auto"/>
                <w:sz w:val="24"/>
              </w:rPr>
            </w:pPr>
            <w:r>
              <w:rPr>
                <w:rFonts w:hint="eastAsia" w:hAnsi="宋体"/>
                <w:b/>
                <w:color w:val="auto"/>
                <w:sz w:val="24"/>
              </w:rPr>
              <w:t>工龄工资</w:t>
            </w:r>
          </w:p>
        </w:tc>
        <w:tc>
          <w:tcPr>
            <w:tcW w:w="3218" w:type="dxa"/>
            <w:noWrap w:val="0"/>
            <w:vAlign w:val="center"/>
          </w:tcPr>
          <w:p>
            <w:pPr>
              <w:jc w:val="center"/>
              <w:rPr>
                <w:rFonts w:hint="eastAsia" w:hAnsi="宋体"/>
                <w:b/>
                <w:color w:val="auto"/>
                <w:sz w:val="24"/>
              </w:rPr>
            </w:pPr>
            <w:r>
              <w:rPr>
                <w:rFonts w:hint="eastAsia" w:hAnsi="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284" w:type="dxa"/>
            <w:vMerge w:val="restart"/>
            <w:noWrap w:val="0"/>
            <w:vAlign w:val="center"/>
          </w:tcPr>
          <w:p>
            <w:pPr>
              <w:ind w:left="-163" w:leftChars="-51"/>
              <w:jc w:val="center"/>
              <w:rPr>
                <w:rFonts w:hint="eastAsia"/>
                <w:color w:val="auto"/>
                <w:sz w:val="28"/>
                <w:szCs w:val="28"/>
              </w:rPr>
            </w:pPr>
            <w:r>
              <w:rPr>
                <w:rFonts w:hint="eastAsia"/>
                <w:color w:val="auto"/>
                <w:sz w:val="24"/>
              </w:rPr>
              <w:t>管理</w:t>
            </w:r>
            <w:r>
              <w:rPr>
                <w:rFonts w:hint="eastAsia"/>
                <w:color w:val="auto"/>
                <w:sz w:val="28"/>
                <w:szCs w:val="28"/>
              </w:rPr>
              <w:t>岗位</w:t>
            </w:r>
          </w:p>
        </w:tc>
        <w:tc>
          <w:tcPr>
            <w:tcW w:w="1708" w:type="dxa"/>
            <w:noWrap w:val="0"/>
            <w:vAlign w:val="center"/>
          </w:tcPr>
          <w:p>
            <w:pPr>
              <w:ind w:left="-163" w:leftChars="-51"/>
              <w:jc w:val="center"/>
              <w:rPr>
                <w:rFonts w:hint="eastAsia"/>
                <w:color w:val="auto"/>
                <w:sz w:val="24"/>
              </w:rPr>
            </w:pPr>
            <w:r>
              <w:rPr>
                <w:rFonts w:hint="eastAsia"/>
                <w:color w:val="auto"/>
                <w:sz w:val="24"/>
              </w:rPr>
              <w:t>总经理</w:t>
            </w:r>
          </w:p>
        </w:tc>
        <w:tc>
          <w:tcPr>
            <w:tcW w:w="2175" w:type="dxa"/>
            <w:noWrap w:val="0"/>
            <w:vAlign w:val="center"/>
          </w:tcPr>
          <w:p>
            <w:pPr>
              <w:ind w:left="-163" w:leftChars="-51"/>
              <w:jc w:val="center"/>
              <w:rPr>
                <w:rFonts w:hint="eastAsia"/>
                <w:color w:val="auto"/>
                <w:sz w:val="24"/>
              </w:rPr>
            </w:pPr>
            <w:r>
              <w:rPr>
                <w:rFonts w:hint="eastAsia"/>
                <w:color w:val="auto"/>
                <w:sz w:val="24"/>
              </w:rPr>
              <w:t>在直属企业（公司）</w:t>
            </w:r>
          </w:p>
          <w:p>
            <w:pPr>
              <w:ind w:left="-163" w:leftChars="-51"/>
              <w:jc w:val="center"/>
              <w:rPr>
                <w:rFonts w:hint="eastAsia"/>
                <w:color w:val="auto"/>
                <w:sz w:val="24"/>
              </w:rPr>
            </w:pPr>
            <w:r>
              <w:rPr>
                <w:rFonts w:hint="eastAsia"/>
                <w:color w:val="auto"/>
                <w:sz w:val="24"/>
              </w:rPr>
              <w:t>担任正职领导</w:t>
            </w:r>
          </w:p>
        </w:tc>
        <w:tc>
          <w:tcPr>
            <w:tcW w:w="1597" w:type="dxa"/>
            <w:noWrap w:val="0"/>
            <w:vAlign w:val="center"/>
          </w:tcPr>
          <w:p>
            <w:pPr>
              <w:ind w:left="-163" w:leftChars="-51"/>
              <w:jc w:val="center"/>
              <w:rPr>
                <w:rFonts w:hint="eastAsia"/>
                <w:color w:val="auto"/>
                <w:sz w:val="24"/>
              </w:rPr>
            </w:pPr>
            <w:r>
              <w:rPr>
                <w:rFonts w:hint="eastAsia"/>
                <w:color w:val="auto"/>
                <w:sz w:val="24"/>
              </w:rPr>
              <w:t>3800</w:t>
            </w:r>
          </w:p>
        </w:tc>
        <w:tc>
          <w:tcPr>
            <w:tcW w:w="2294" w:type="dxa"/>
            <w:vMerge w:val="restart"/>
            <w:noWrap w:val="0"/>
            <w:vAlign w:val="center"/>
          </w:tcPr>
          <w:p>
            <w:pPr>
              <w:ind w:left="-163" w:leftChars="-51"/>
              <w:jc w:val="center"/>
              <w:rPr>
                <w:rFonts w:hint="eastAsia"/>
                <w:color w:val="auto"/>
                <w:sz w:val="24"/>
              </w:rPr>
            </w:pPr>
            <w:r>
              <w:rPr>
                <w:rFonts w:hint="eastAsia"/>
                <w:color w:val="auto"/>
                <w:sz w:val="24"/>
              </w:rPr>
              <w:t>聘用人员工龄确认时间为与新区正式签订合同起始时间，工龄工资每年为15元，逐年递增。</w:t>
            </w:r>
          </w:p>
          <w:p>
            <w:pPr>
              <w:ind w:left="-163" w:leftChars="-51"/>
              <w:jc w:val="center"/>
              <w:rPr>
                <w:rFonts w:hint="eastAsia"/>
                <w:color w:val="auto"/>
                <w:sz w:val="24"/>
              </w:rPr>
            </w:pPr>
          </w:p>
        </w:tc>
        <w:tc>
          <w:tcPr>
            <w:tcW w:w="3218" w:type="dxa"/>
            <w:vMerge w:val="restart"/>
            <w:noWrap w:val="0"/>
            <w:vAlign w:val="center"/>
          </w:tcPr>
          <w:p>
            <w:pPr>
              <w:ind w:left="-163" w:leftChars="-51"/>
              <w:jc w:val="center"/>
              <w:rPr>
                <w:rFonts w:hint="eastAsia"/>
                <w:color w:val="auto"/>
                <w:sz w:val="24"/>
              </w:rPr>
            </w:pPr>
            <w:r>
              <w:rPr>
                <w:rFonts w:hint="eastAsia"/>
                <w:color w:val="auto"/>
                <w:sz w:val="24"/>
              </w:rPr>
              <w:t>试用期满后，享受养老保险、失业保险、基本医疗保险、工伤保险、生育保险（简称五险）。续签三年以上合同期的聘用人员从续签之日起享受享受养老保险、失业保险、基本医疗保险、工伤保险、生育保险、住房公积积（简称五险一金）。公积金缴纳比例个人8%，单位缴纳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1284" w:type="dxa"/>
            <w:vMerge w:val="continue"/>
            <w:noWrap w:val="0"/>
            <w:vAlign w:val="center"/>
          </w:tcPr>
          <w:p>
            <w:pPr>
              <w:jc w:val="center"/>
              <w:rPr>
                <w:rFonts w:hint="eastAsia"/>
                <w:b/>
                <w:color w:val="auto"/>
                <w:sz w:val="28"/>
                <w:szCs w:val="28"/>
              </w:rPr>
            </w:pPr>
          </w:p>
        </w:tc>
        <w:tc>
          <w:tcPr>
            <w:tcW w:w="1708" w:type="dxa"/>
            <w:noWrap w:val="0"/>
            <w:vAlign w:val="center"/>
          </w:tcPr>
          <w:p>
            <w:pPr>
              <w:ind w:left="-163" w:leftChars="-51"/>
              <w:jc w:val="center"/>
              <w:rPr>
                <w:rFonts w:hint="eastAsia"/>
                <w:color w:val="auto"/>
                <w:sz w:val="24"/>
              </w:rPr>
            </w:pPr>
            <w:r>
              <w:rPr>
                <w:rFonts w:hint="eastAsia"/>
                <w:color w:val="auto"/>
                <w:sz w:val="24"/>
              </w:rPr>
              <w:t>副总</w:t>
            </w:r>
          </w:p>
          <w:p>
            <w:pPr>
              <w:ind w:left="-163" w:leftChars="-51"/>
              <w:jc w:val="center"/>
              <w:rPr>
                <w:rFonts w:hint="eastAsia"/>
                <w:color w:val="auto"/>
                <w:sz w:val="24"/>
              </w:rPr>
            </w:pPr>
            <w:r>
              <w:rPr>
                <w:rFonts w:hint="eastAsia"/>
                <w:color w:val="auto"/>
                <w:sz w:val="24"/>
              </w:rPr>
              <w:t>经理</w:t>
            </w:r>
          </w:p>
        </w:tc>
        <w:tc>
          <w:tcPr>
            <w:tcW w:w="2175" w:type="dxa"/>
            <w:noWrap w:val="0"/>
            <w:vAlign w:val="center"/>
          </w:tcPr>
          <w:p>
            <w:pPr>
              <w:ind w:left="-163" w:leftChars="-51"/>
              <w:jc w:val="center"/>
              <w:rPr>
                <w:rFonts w:hint="eastAsia"/>
                <w:color w:val="auto"/>
                <w:sz w:val="24"/>
              </w:rPr>
            </w:pPr>
            <w:r>
              <w:rPr>
                <w:rFonts w:hint="eastAsia"/>
                <w:color w:val="auto"/>
                <w:sz w:val="24"/>
              </w:rPr>
              <w:t>在直属企业（公司）</w:t>
            </w:r>
          </w:p>
          <w:p>
            <w:pPr>
              <w:ind w:left="-163" w:leftChars="-51"/>
              <w:jc w:val="center"/>
              <w:rPr>
                <w:rFonts w:hint="eastAsia"/>
                <w:color w:val="auto"/>
                <w:sz w:val="24"/>
              </w:rPr>
            </w:pPr>
            <w:r>
              <w:rPr>
                <w:rFonts w:hint="eastAsia"/>
                <w:color w:val="auto"/>
                <w:sz w:val="24"/>
              </w:rPr>
              <w:t>担任副职领导</w:t>
            </w:r>
          </w:p>
        </w:tc>
        <w:tc>
          <w:tcPr>
            <w:tcW w:w="1597" w:type="dxa"/>
            <w:noWrap w:val="0"/>
            <w:vAlign w:val="center"/>
          </w:tcPr>
          <w:p>
            <w:pPr>
              <w:ind w:left="-163" w:leftChars="-51"/>
              <w:jc w:val="center"/>
              <w:rPr>
                <w:rFonts w:hint="eastAsia"/>
                <w:color w:val="auto"/>
                <w:sz w:val="24"/>
              </w:rPr>
            </w:pPr>
            <w:r>
              <w:rPr>
                <w:rFonts w:hint="eastAsia"/>
                <w:color w:val="auto"/>
                <w:sz w:val="24"/>
              </w:rPr>
              <w:t>3300</w:t>
            </w:r>
          </w:p>
        </w:tc>
        <w:tc>
          <w:tcPr>
            <w:tcW w:w="2294" w:type="dxa"/>
            <w:vMerge w:val="continue"/>
            <w:noWrap w:val="0"/>
            <w:vAlign w:val="center"/>
          </w:tcPr>
          <w:p>
            <w:pPr>
              <w:jc w:val="center"/>
              <w:rPr>
                <w:b/>
                <w:color w:val="auto"/>
                <w:sz w:val="18"/>
                <w:szCs w:val="18"/>
              </w:rPr>
            </w:pPr>
          </w:p>
        </w:tc>
        <w:tc>
          <w:tcPr>
            <w:tcW w:w="3218" w:type="dxa"/>
            <w:vMerge w:val="continue"/>
            <w:noWrap w:val="0"/>
            <w:vAlign w:val="center"/>
          </w:tcPr>
          <w:p>
            <w:pPr>
              <w:jc w:val="center"/>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84" w:type="dxa"/>
            <w:vMerge w:val="restart"/>
            <w:noWrap w:val="0"/>
            <w:vAlign w:val="center"/>
          </w:tcPr>
          <w:p>
            <w:pPr>
              <w:jc w:val="center"/>
              <w:rPr>
                <w:rFonts w:hint="eastAsia"/>
                <w:b/>
                <w:color w:val="auto"/>
                <w:sz w:val="28"/>
                <w:szCs w:val="28"/>
              </w:rPr>
            </w:pPr>
            <w:r>
              <w:rPr>
                <w:rFonts w:hint="eastAsia"/>
                <w:color w:val="auto"/>
                <w:sz w:val="28"/>
                <w:szCs w:val="28"/>
              </w:rPr>
              <w:t>一般工作人员</w:t>
            </w:r>
          </w:p>
        </w:tc>
        <w:tc>
          <w:tcPr>
            <w:tcW w:w="1708" w:type="dxa"/>
            <w:vMerge w:val="restart"/>
            <w:noWrap w:val="0"/>
            <w:vAlign w:val="center"/>
          </w:tcPr>
          <w:p>
            <w:pPr>
              <w:ind w:left="-163" w:leftChars="-51"/>
              <w:jc w:val="center"/>
              <w:rPr>
                <w:rFonts w:hint="eastAsia"/>
                <w:color w:val="auto"/>
                <w:sz w:val="24"/>
              </w:rPr>
            </w:pPr>
            <w:r>
              <w:rPr>
                <w:rFonts w:hint="eastAsia"/>
                <w:color w:val="auto"/>
                <w:sz w:val="24"/>
              </w:rPr>
              <w:t>办事员、工勤人员（驾驶员、保洁员、后勤服务员）</w:t>
            </w:r>
          </w:p>
        </w:tc>
        <w:tc>
          <w:tcPr>
            <w:tcW w:w="2175" w:type="dxa"/>
            <w:noWrap w:val="0"/>
            <w:vAlign w:val="center"/>
          </w:tcPr>
          <w:p>
            <w:pPr>
              <w:ind w:left="-163" w:leftChars="-51"/>
              <w:jc w:val="center"/>
              <w:rPr>
                <w:rFonts w:hint="eastAsia"/>
                <w:color w:val="auto"/>
                <w:sz w:val="24"/>
              </w:rPr>
            </w:pPr>
            <w:r>
              <w:rPr>
                <w:rFonts w:hint="eastAsia"/>
                <w:color w:val="auto"/>
                <w:sz w:val="24"/>
              </w:rPr>
              <w:t>试用期</w:t>
            </w:r>
          </w:p>
        </w:tc>
        <w:tc>
          <w:tcPr>
            <w:tcW w:w="1597" w:type="dxa"/>
            <w:noWrap w:val="0"/>
            <w:vAlign w:val="center"/>
          </w:tcPr>
          <w:p>
            <w:pPr>
              <w:ind w:left="-163" w:leftChars="-51"/>
              <w:jc w:val="center"/>
              <w:rPr>
                <w:rFonts w:hint="eastAsia"/>
                <w:color w:val="auto"/>
                <w:sz w:val="24"/>
              </w:rPr>
            </w:pPr>
            <w:r>
              <w:rPr>
                <w:rFonts w:hint="eastAsia"/>
                <w:color w:val="auto"/>
                <w:sz w:val="24"/>
              </w:rPr>
              <w:t>1750</w:t>
            </w:r>
          </w:p>
        </w:tc>
        <w:tc>
          <w:tcPr>
            <w:tcW w:w="2294" w:type="dxa"/>
            <w:vMerge w:val="continue"/>
            <w:noWrap w:val="0"/>
            <w:vAlign w:val="center"/>
          </w:tcPr>
          <w:p>
            <w:pPr>
              <w:jc w:val="center"/>
              <w:rPr>
                <w:b/>
                <w:color w:val="auto"/>
                <w:sz w:val="18"/>
                <w:szCs w:val="18"/>
              </w:rPr>
            </w:pPr>
          </w:p>
        </w:tc>
        <w:tc>
          <w:tcPr>
            <w:tcW w:w="3218" w:type="dxa"/>
            <w:vMerge w:val="continue"/>
            <w:noWrap w:val="0"/>
            <w:vAlign w:val="center"/>
          </w:tcPr>
          <w:p>
            <w:pPr>
              <w:jc w:val="center"/>
              <w:rPr>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284" w:type="dxa"/>
            <w:vMerge w:val="continue"/>
            <w:noWrap w:val="0"/>
            <w:vAlign w:val="center"/>
          </w:tcPr>
          <w:p>
            <w:pPr>
              <w:jc w:val="center"/>
              <w:rPr>
                <w:rFonts w:hint="eastAsia"/>
                <w:color w:val="auto"/>
                <w:sz w:val="28"/>
                <w:szCs w:val="28"/>
              </w:rPr>
            </w:pPr>
          </w:p>
        </w:tc>
        <w:tc>
          <w:tcPr>
            <w:tcW w:w="1708" w:type="dxa"/>
            <w:vMerge w:val="continue"/>
            <w:noWrap w:val="0"/>
            <w:vAlign w:val="center"/>
          </w:tcPr>
          <w:p>
            <w:pPr>
              <w:ind w:left="-163" w:leftChars="-51"/>
              <w:jc w:val="center"/>
              <w:rPr>
                <w:rFonts w:hint="eastAsia"/>
                <w:color w:val="auto"/>
                <w:sz w:val="24"/>
              </w:rPr>
            </w:pPr>
          </w:p>
        </w:tc>
        <w:tc>
          <w:tcPr>
            <w:tcW w:w="2175" w:type="dxa"/>
            <w:noWrap w:val="0"/>
            <w:vAlign w:val="center"/>
          </w:tcPr>
          <w:p>
            <w:pPr>
              <w:ind w:left="-163" w:leftChars="-51"/>
              <w:jc w:val="center"/>
              <w:rPr>
                <w:rFonts w:hint="eastAsia"/>
                <w:color w:val="auto"/>
                <w:sz w:val="24"/>
              </w:rPr>
            </w:pPr>
            <w:r>
              <w:rPr>
                <w:rFonts w:hint="eastAsia"/>
                <w:color w:val="auto"/>
                <w:sz w:val="24"/>
              </w:rPr>
              <w:t>一年期合同</w:t>
            </w:r>
          </w:p>
        </w:tc>
        <w:tc>
          <w:tcPr>
            <w:tcW w:w="1597" w:type="dxa"/>
            <w:noWrap w:val="0"/>
            <w:vAlign w:val="center"/>
          </w:tcPr>
          <w:p>
            <w:pPr>
              <w:ind w:left="-163" w:leftChars="-51"/>
              <w:jc w:val="center"/>
              <w:rPr>
                <w:rFonts w:hint="eastAsia"/>
                <w:color w:val="auto"/>
                <w:sz w:val="24"/>
              </w:rPr>
            </w:pPr>
            <w:r>
              <w:rPr>
                <w:rFonts w:hint="eastAsia"/>
                <w:color w:val="auto"/>
                <w:sz w:val="24"/>
              </w:rPr>
              <w:t>2300</w:t>
            </w:r>
          </w:p>
        </w:tc>
        <w:tc>
          <w:tcPr>
            <w:tcW w:w="2294" w:type="dxa"/>
            <w:vMerge w:val="continue"/>
            <w:noWrap w:val="0"/>
            <w:vAlign w:val="center"/>
          </w:tcPr>
          <w:p>
            <w:pPr>
              <w:jc w:val="center"/>
              <w:rPr>
                <w:color w:val="auto"/>
                <w:sz w:val="18"/>
                <w:szCs w:val="18"/>
              </w:rPr>
            </w:pPr>
          </w:p>
        </w:tc>
        <w:tc>
          <w:tcPr>
            <w:tcW w:w="3218" w:type="dxa"/>
            <w:vMerge w:val="continue"/>
            <w:noWrap w:val="0"/>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284" w:type="dxa"/>
            <w:vMerge w:val="continue"/>
            <w:noWrap w:val="0"/>
            <w:vAlign w:val="center"/>
          </w:tcPr>
          <w:p>
            <w:pPr>
              <w:jc w:val="center"/>
              <w:rPr>
                <w:rFonts w:hint="eastAsia"/>
                <w:color w:val="auto"/>
                <w:sz w:val="28"/>
                <w:szCs w:val="28"/>
              </w:rPr>
            </w:pPr>
          </w:p>
        </w:tc>
        <w:tc>
          <w:tcPr>
            <w:tcW w:w="1708" w:type="dxa"/>
            <w:vMerge w:val="continue"/>
            <w:noWrap w:val="0"/>
            <w:vAlign w:val="center"/>
          </w:tcPr>
          <w:p>
            <w:pPr>
              <w:ind w:left="-163" w:leftChars="-51"/>
              <w:jc w:val="center"/>
              <w:rPr>
                <w:rFonts w:hint="eastAsia"/>
                <w:color w:val="auto"/>
                <w:sz w:val="24"/>
              </w:rPr>
            </w:pPr>
          </w:p>
        </w:tc>
        <w:tc>
          <w:tcPr>
            <w:tcW w:w="2175" w:type="dxa"/>
            <w:noWrap w:val="0"/>
            <w:vAlign w:val="center"/>
          </w:tcPr>
          <w:p>
            <w:pPr>
              <w:ind w:left="-163" w:leftChars="-51"/>
              <w:jc w:val="center"/>
              <w:rPr>
                <w:rFonts w:hint="eastAsia"/>
                <w:color w:val="auto"/>
                <w:sz w:val="24"/>
              </w:rPr>
            </w:pPr>
            <w:r>
              <w:rPr>
                <w:rFonts w:hint="eastAsia"/>
                <w:color w:val="auto"/>
                <w:sz w:val="24"/>
              </w:rPr>
              <w:t>三年期合同</w:t>
            </w:r>
          </w:p>
        </w:tc>
        <w:tc>
          <w:tcPr>
            <w:tcW w:w="1597" w:type="dxa"/>
            <w:noWrap w:val="0"/>
            <w:vAlign w:val="center"/>
          </w:tcPr>
          <w:p>
            <w:pPr>
              <w:ind w:left="-163" w:leftChars="-51"/>
              <w:jc w:val="center"/>
              <w:rPr>
                <w:rFonts w:hint="eastAsia"/>
                <w:color w:val="auto"/>
                <w:sz w:val="24"/>
              </w:rPr>
            </w:pPr>
            <w:r>
              <w:rPr>
                <w:rFonts w:hint="eastAsia"/>
                <w:color w:val="auto"/>
                <w:sz w:val="24"/>
              </w:rPr>
              <w:t>2600</w:t>
            </w:r>
          </w:p>
        </w:tc>
        <w:tc>
          <w:tcPr>
            <w:tcW w:w="2294" w:type="dxa"/>
            <w:vMerge w:val="continue"/>
            <w:noWrap w:val="0"/>
            <w:vAlign w:val="center"/>
          </w:tcPr>
          <w:p>
            <w:pPr>
              <w:jc w:val="center"/>
              <w:rPr>
                <w:color w:val="auto"/>
                <w:sz w:val="18"/>
                <w:szCs w:val="18"/>
              </w:rPr>
            </w:pPr>
          </w:p>
        </w:tc>
        <w:tc>
          <w:tcPr>
            <w:tcW w:w="3218" w:type="dxa"/>
            <w:vMerge w:val="continue"/>
            <w:noWrap w:val="0"/>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6" w:hRule="atLeast"/>
        </w:trPr>
        <w:tc>
          <w:tcPr>
            <w:tcW w:w="1284" w:type="dxa"/>
            <w:vMerge w:val="continue"/>
            <w:noWrap w:val="0"/>
            <w:vAlign w:val="center"/>
          </w:tcPr>
          <w:p>
            <w:pPr>
              <w:jc w:val="center"/>
              <w:rPr>
                <w:rFonts w:hint="eastAsia"/>
                <w:color w:val="auto"/>
                <w:sz w:val="28"/>
                <w:szCs w:val="28"/>
              </w:rPr>
            </w:pPr>
          </w:p>
        </w:tc>
        <w:tc>
          <w:tcPr>
            <w:tcW w:w="1708" w:type="dxa"/>
            <w:vMerge w:val="continue"/>
            <w:noWrap w:val="0"/>
            <w:vAlign w:val="center"/>
          </w:tcPr>
          <w:p>
            <w:pPr>
              <w:ind w:left="-163" w:leftChars="-51"/>
              <w:jc w:val="center"/>
              <w:rPr>
                <w:rFonts w:hint="eastAsia"/>
                <w:color w:val="auto"/>
                <w:sz w:val="24"/>
              </w:rPr>
            </w:pPr>
          </w:p>
        </w:tc>
        <w:tc>
          <w:tcPr>
            <w:tcW w:w="2175" w:type="dxa"/>
            <w:noWrap w:val="0"/>
            <w:vAlign w:val="center"/>
          </w:tcPr>
          <w:p>
            <w:pPr>
              <w:ind w:left="-163" w:leftChars="-51"/>
              <w:jc w:val="center"/>
              <w:rPr>
                <w:rFonts w:hint="eastAsia"/>
                <w:color w:val="auto"/>
                <w:sz w:val="24"/>
              </w:rPr>
            </w:pPr>
            <w:r>
              <w:rPr>
                <w:rFonts w:hint="eastAsia"/>
                <w:color w:val="auto"/>
                <w:sz w:val="24"/>
              </w:rPr>
              <w:t>长期合同</w:t>
            </w:r>
          </w:p>
        </w:tc>
        <w:tc>
          <w:tcPr>
            <w:tcW w:w="1597" w:type="dxa"/>
            <w:noWrap w:val="0"/>
            <w:vAlign w:val="center"/>
          </w:tcPr>
          <w:p>
            <w:pPr>
              <w:ind w:left="-163" w:leftChars="-51"/>
              <w:jc w:val="center"/>
              <w:rPr>
                <w:rFonts w:hint="eastAsia"/>
                <w:color w:val="auto"/>
                <w:sz w:val="24"/>
              </w:rPr>
            </w:pPr>
            <w:r>
              <w:rPr>
                <w:rFonts w:hint="eastAsia"/>
                <w:color w:val="auto"/>
                <w:sz w:val="24"/>
              </w:rPr>
              <w:t>2800</w:t>
            </w:r>
          </w:p>
        </w:tc>
        <w:tc>
          <w:tcPr>
            <w:tcW w:w="2294" w:type="dxa"/>
            <w:vMerge w:val="continue"/>
            <w:noWrap w:val="0"/>
            <w:vAlign w:val="center"/>
          </w:tcPr>
          <w:p>
            <w:pPr>
              <w:jc w:val="center"/>
              <w:rPr>
                <w:color w:val="auto"/>
                <w:sz w:val="18"/>
                <w:szCs w:val="18"/>
              </w:rPr>
            </w:pPr>
          </w:p>
        </w:tc>
        <w:tc>
          <w:tcPr>
            <w:tcW w:w="3218" w:type="dxa"/>
            <w:vMerge w:val="continue"/>
            <w:noWrap w:val="0"/>
            <w:vAlign w:val="center"/>
          </w:tcPr>
          <w:p>
            <w:pPr>
              <w:jc w:val="center"/>
              <w:rPr>
                <w:color w:val="auto"/>
                <w:sz w:val="18"/>
                <w:szCs w:val="18"/>
              </w:rPr>
            </w:pPr>
          </w:p>
        </w:tc>
      </w:tr>
    </w:tbl>
    <w:p>
      <w:pPr>
        <w:rPr>
          <w:rFonts w:hint="eastAsia"/>
          <w:color w:val="auto"/>
          <w:lang w:eastAsia="zh-CN"/>
        </w:rPr>
        <w:sectPr>
          <w:pgSz w:w="16838" w:h="11906" w:orient="landscape"/>
          <w:pgMar w:top="1800" w:right="1440" w:bottom="1800" w:left="1440" w:header="851" w:footer="992" w:gutter="0"/>
          <w:pgNumType w:fmt="numberInDash"/>
          <w:cols w:space="425" w:num="1"/>
          <w:docGrid w:type="lines" w:linePitch="312" w:charSpace="0"/>
        </w:sectPr>
      </w:pPr>
    </w:p>
    <w:p>
      <w:pPr>
        <w:pStyle w:val="2"/>
        <w:bidi w:val="0"/>
        <w:rPr>
          <w:rFonts w:hint="eastAsia"/>
          <w:lang w:val="en-US" w:eastAsia="zh-CN"/>
        </w:rPr>
      </w:pPr>
      <w:bookmarkStart w:id="140" w:name="_Toc9049"/>
      <w:bookmarkStart w:id="141" w:name="_Toc2350"/>
      <w:r>
        <w:rPr>
          <w:rFonts w:hint="eastAsia"/>
          <w:lang w:val="en-US" w:eastAsia="zh-CN"/>
        </w:rPr>
        <w:t>9、</w:t>
      </w:r>
      <w:r>
        <w:rPr>
          <w:rFonts w:hint="eastAsia"/>
        </w:rPr>
        <w:t>财务管理制度</w:t>
      </w:r>
      <w:bookmarkEnd w:id="140"/>
    </w:p>
    <w:p>
      <w:pPr>
        <w:widowControl/>
        <w:wordWrap w:val="0"/>
        <w:spacing w:line="432" w:lineRule="atLeast"/>
        <w:jc w:val="center"/>
        <w:rPr>
          <w:rFonts w:hint="eastAsia" w:ascii="仿宋" w:hAnsi="仿宋" w:eastAsia="仿宋" w:cs="Arial"/>
          <w:color w:val="000000"/>
          <w:kern w:val="0"/>
          <w:sz w:val="32"/>
          <w:szCs w:val="32"/>
        </w:rPr>
      </w:pPr>
      <w:r>
        <w:rPr>
          <w:rFonts w:hint="eastAsia" w:ascii="黑体" w:hAnsi="黑体" w:eastAsia="黑体" w:cs="黑体"/>
          <w:color w:val="000000"/>
          <w:kern w:val="0"/>
          <w:sz w:val="32"/>
          <w:szCs w:val="32"/>
        </w:rPr>
        <w:t>第一章  总  则</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ascii="仿宋" w:hAnsi="仿宋" w:eastAsia="仿宋" w:cs="Arial"/>
          <w:b/>
          <w:bCs/>
          <w:color w:val="000000"/>
          <w:kern w:val="0"/>
          <w:sz w:val="32"/>
          <w:szCs w:val="32"/>
        </w:rPr>
        <w:t>第一条</w:t>
      </w:r>
      <w:r>
        <w:rPr>
          <w:rFonts w:ascii="宋体" w:hAnsi="宋体" w:eastAsia="仿宋" w:cs="Arial"/>
          <w:color w:val="000000"/>
          <w:kern w:val="0"/>
          <w:sz w:val="32"/>
          <w:szCs w:val="32"/>
        </w:rPr>
        <w:t> </w:t>
      </w:r>
      <w:r>
        <w:rPr>
          <w:rFonts w:ascii="仿宋" w:hAnsi="仿宋" w:eastAsia="仿宋" w:cs="Arial"/>
          <w:color w:val="000000"/>
          <w:kern w:val="0"/>
          <w:sz w:val="32"/>
          <w:szCs w:val="32"/>
        </w:rPr>
        <w:t>为了规范</w:t>
      </w:r>
      <w:r>
        <w:rPr>
          <w:rFonts w:hint="eastAsia" w:ascii="仿宋" w:hAnsi="仿宋" w:eastAsia="仿宋" w:cs="Arial"/>
          <w:color w:val="000000"/>
          <w:kern w:val="0"/>
          <w:sz w:val="32"/>
          <w:szCs w:val="32"/>
        </w:rPr>
        <w:t>新区</w:t>
      </w:r>
      <w:r>
        <w:rPr>
          <w:rFonts w:ascii="仿宋" w:hAnsi="仿宋" w:eastAsia="仿宋" w:cs="Arial"/>
          <w:color w:val="000000"/>
          <w:kern w:val="0"/>
          <w:sz w:val="32"/>
          <w:szCs w:val="32"/>
        </w:rPr>
        <w:t>财务管理，提高资金使用效益，制定本制度。</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ascii="仿宋" w:hAnsi="仿宋" w:eastAsia="仿宋" w:cs="Arial"/>
          <w:b/>
          <w:bCs/>
          <w:color w:val="000000"/>
          <w:kern w:val="0"/>
          <w:sz w:val="32"/>
          <w:szCs w:val="32"/>
        </w:rPr>
        <w:t>第二条</w:t>
      </w:r>
      <w:r>
        <w:rPr>
          <w:rFonts w:ascii="宋体" w:hAnsi="宋体" w:eastAsia="仿宋" w:cs="Arial"/>
          <w:color w:val="000000"/>
          <w:kern w:val="0"/>
          <w:sz w:val="32"/>
          <w:szCs w:val="32"/>
        </w:rPr>
        <w:t> </w:t>
      </w:r>
      <w:r>
        <w:rPr>
          <w:rFonts w:ascii="仿宋" w:hAnsi="仿宋" w:eastAsia="仿宋" w:cs="Arial"/>
          <w:color w:val="000000"/>
          <w:kern w:val="0"/>
          <w:sz w:val="32"/>
          <w:szCs w:val="32"/>
        </w:rPr>
        <w:t>本制度适用于</w:t>
      </w:r>
      <w:r>
        <w:rPr>
          <w:rFonts w:hint="eastAsia" w:ascii="仿宋" w:hAnsi="仿宋" w:eastAsia="仿宋" w:cs="Arial"/>
          <w:color w:val="000000"/>
          <w:kern w:val="0"/>
          <w:sz w:val="32"/>
          <w:szCs w:val="32"/>
        </w:rPr>
        <w:t>新区各</w:t>
      </w:r>
      <w:r>
        <w:rPr>
          <w:rFonts w:ascii="仿宋" w:hAnsi="仿宋" w:eastAsia="仿宋" w:cs="Arial"/>
          <w:color w:val="000000"/>
          <w:kern w:val="0"/>
          <w:sz w:val="32"/>
          <w:szCs w:val="32"/>
        </w:rPr>
        <w:t>单位参照本制度执行。</w:t>
      </w:r>
    </w:p>
    <w:p>
      <w:pPr>
        <w:widowControl/>
        <w:wordWrap w:val="0"/>
        <w:spacing w:line="432" w:lineRule="atLeast"/>
        <w:jc w:val="center"/>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第二章  管理职责</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ascii="仿宋" w:hAnsi="仿宋" w:eastAsia="仿宋" w:cs="Arial"/>
          <w:b/>
          <w:bCs/>
          <w:color w:val="000000"/>
          <w:kern w:val="0"/>
          <w:sz w:val="32"/>
          <w:szCs w:val="32"/>
        </w:rPr>
        <w:t>第</w:t>
      </w:r>
      <w:r>
        <w:rPr>
          <w:rFonts w:hint="eastAsia" w:ascii="仿宋" w:hAnsi="仿宋" w:eastAsia="仿宋" w:cs="Arial"/>
          <w:b/>
          <w:bCs/>
          <w:color w:val="000000"/>
          <w:kern w:val="0"/>
          <w:sz w:val="32"/>
          <w:szCs w:val="32"/>
        </w:rPr>
        <w:t>三</w:t>
      </w:r>
      <w:r>
        <w:rPr>
          <w:rFonts w:ascii="仿宋" w:hAnsi="仿宋" w:eastAsia="仿宋" w:cs="Arial"/>
          <w:b/>
          <w:bCs/>
          <w:color w:val="000000"/>
          <w:kern w:val="0"/>
          <w:sz w:val="32"/>
          <w:szCs w:val="32"/>
        </w:rPr>
        <w:t>条</w:t>
      </w:r>
      <w:r>
        <w:rPr>
          <w:rFonts w:ascii="宋体" w:hAnsi="宋体" w:eastAsia="仿宋" w:cs="Arial"/>
          <w:color w:val="000000"/>
          <w:kern w:val="0"/>
          <w:sz w:val="32"/>
          <w:szCs w:val="32"/>
        </w:rPr>
        <w:t> </w:t>
      </w:r>
      <w:r>
        <w:rPr>
          <w:rFonts w:ascii="仿宋" w:hAnsi="仿宋" w:eastAsia="仿宋" w:cs="Arial"/>
          <w:color w:val="000000"/>
          <w:kern w:val="0"/>
          <w:sz w:val="32"/>
          <w:szCs w:val="32"/>
        </w:rPr>
        <w:t>会计岗位职责</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会计在分管</w:t>
      </w:r>
      <w:r>
        <w:rPr>
          <w:rFonts w:hint="eastAsia" w:ascii="仿宋" w:hAnsi="仿宋" w:eastAsia="仿宋" w:cs="Arial"/>
          <w:color w:val="000000"/>
          <w:kern w:val="0"/>
          <w:sz w:val="32"/>
          <w:szCs w:val="32"/>
        </w:rPr>
        <w:t>主任及财政</w:t>
      </w:r>
      <w:r>
        <w:rPr>
          <w:rFonts w:ascii="仿宋" w:hAnsi="仿宋" w:eastAsia="仿宋" w:cs="Arial"/>
          <w:color w:val="000000"/>
          <w:kern w:val="0"/>
          <w:sz w:val="32"/>
          <w:szCs w:val="32"/>
        </w:rPr>
        <w:t>局长领导下进行工作，主要职责为：</w:t>
      </w:r>
    </w:p>
    <w:p>
      <w:pPr>
        <w:widowControl/>
        <w:wordWrap w:val="0"/>
        <w:spacing w:line="432" w:lineRule="atLeast"/>
        <w:jc w:val="left"/>
        <w:rPr>
          <w:rFonts w:ascii="仿宋" w:hAnsi="仿宋" w:eastAsia="仿宋" w:cs="Arial"/>
          <w:color w:val="000000"/>
          <w:kern w:val="0"/>
          <w:sz w:val="32"/>
          <w:szCs w:val="32"/>
        </w:rPr>
      </w:pPr>
      <w:r>
        <w:rPr>
          <w:rFonts w:hint="eastAsia" w:ascii="仿宋" w:hAnsi="仿宋" w:eastAsia="仿宋" w:cs="Arial"/>
          <w:color w:val="000000"/>
          <w:kern w:val="0"/>
          <w:sz w:val="32"/>
          <w:szCs w:val="32"/>
        </w:rPr>
        <w:t xml:space="preserve"> </w:t>
      </w:r>
      <w:r>
        <w:rPr>
          <w:rFonts w:ascii="仿宋" w:hAnsi="仿宋" w:eastAsia="仿宋" w:cs="Arial"/>
          <w:color w:val="000000"/>
          <w:kern w:val="0"/>
          <w:sz w:val="32"/>
          <w:szCs w:val="32"/>
        </w:rPr>
        <w:t>　（</w:t>
      </w:r>
      <w:r>
        <w:rPr>
          <w:rFonts w:hint="eastAsia" w:ascii="仿宋" w:hAnsi="仿宋" w:eastAsia="仿宋" w:cs="Arial"/>
          <w:color w:val="000000"/>
          <w:kern w:val="0"/>
          <w:sz w:val="32"/>
          <w:szCs w:val="32"/>
        </w:rPr>
        <w:t>一</w:t>
      </w:r>
      <w:r>
        <w:rPr>
          <w:rFonts w:ascii="仿宋" w:hAnsi="仿宋" w:eastAsia="仿宋" w:cs="Arial"/>
          <w:color w:val="000000"/>
          <w:kern w:val="0"/>
          <w:sz w:val="32"/>
          <w:szCs w:val="32"/>
        </w:rPr>
        <w:t>）严格执行《会计法》等有关财会工作法律法规，认真执行各项财经纪律、方针、政策、法规、制度和各项开支标准，对违反制度的业务事项有权拒付，并向领导汇报。</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二</w:t>
      </w:r>
      <w:r>
        <w:rPr>
          <w:rFonts w:ascii="仿宋" w:hAnsi="仿宋" w:eastAsia="仿宋" w:cs="Arial"/>
          <w:color w:val="000000"/>
          <w:kern w:val="0"/>
          <w:sz w:val="32"/>
          <w:szCs w:val="32"/>
        </w:rPr>
        <w:t>）会计人员必须审查原始凭证，对于不正确、不完整的原始凭证，退回更正补充，对于不合法的原始凭证坚决拒绝受理，保证一切会计凭证、账簿、报表及其它会计资料的真实、准确和完整，并及时做好整理归档工作。</w:t>
      </w:r>
    </w:p>
    <w:p>
      <w:pPr>
        <w:widowControl/>
        <w:wordWrap w:val="0"/>
        <w:spacing w:line="432" w:lineRule="atLeast"/>
        <w:ind w:firstLine="640"/>
        <w:jc w:val="left"/>
        <w:rPr>
          <w:rFonts w:ascii="仿宋" w:hAnsi="仿宋" w:eastAsia="仿宋" w:cs="Arial"/>
          <w:color w:val="000000"/>
          <w:kern w:val="0"/>
          <w:sz w:val="32"/>
          <w:szCs w:val="32"/>
        </w:rPr>
      </w:pPr>
      <w:r>
        <w:rPr>
          <w:rFonts w:ascii="仿宋" w:hAnsi="仿宋" w:eastAsia="仿宋" w:cs="Arial"/>
          <w:color w:val="000000"/>
          <w:kern w:val="0"/>
          <w:sz w:val="32"/>
          <w:szCs w:val="32"/>
        </w:rPr>
        <w:t>（</w:t>
      </w:r>
      <w:r>
        <w:rPr>
          <w:rFonts w:hint="eastAsia" w:ascii="仿宋" w:hAnsi="仿宋" w:eastAsia="仿宋" w:cs="Arial"/>
          <w:color w:val="000000"/>
          <w:kern w:val="0"/>
          <w:sz w:val="32"/>
          <w:szCs w:val="32"/>
        </w:rPr>
        <w:t>三</w:t>
      </w:r>
      <w:r>
        <w:rPr>
          <w:rFonts w:ascii="仿宋" w:hAnsi="仿宋" w:eastAsia="仿宋" w:cs="Arial"/>
          <w:color w:val="000000"/>
          <w:kern w:val="0"/>
          <w:sz w:val="32"/>
          <w:szCs w:val="32"/>
        </w:rPr>
        <w:t>）会计人员要按照会计制度和规定设置会计科目和会计账簿，数字必须真实，严禁弄虚作假，伪造</w:t>
      </w:r>
      <w:r>
        <w:rPr>
          <w:rFonts w:hint="eastAsia" w:ascii="仿宋" w:hAnsi="仿宋" w:eastAsia="仿宋" w:cs="Arial"/>
          <w:color w:val="000000"/>
          <w:kern w:val="0"/>
          <w:sz w:val="32"/>
          <w:szCs w:val="32"/>
          <w:lang w:eastAsia="zh-CN"/>
        </w:rPr>
        <w:t>账目</w:t>
      </w:r>
      <w:r>
        <w:rPr>
          <w:rFonts w:ascii="仿宋" w:hAnsi="仿宋" w:eastAsia="仿宋" w:cs="Arial"/>
          <w:color w:val="000000"/>
          <w:kern w:val="0"/>
          <w:sz w:val="32"/>
          <w:szCs w:val="32"/>
        </w:rPr>
        <w:t>。对发生的经济活动要进行如实的反映和监督，按会计制度及时</w:t>
      </w:r>
      <w:r>
        <w:rPr>
          <w:rFonts w:hint="eastAsia" w:ascii="仿宋" w:hAnsi="仿宋" w:eastAsia="仿宋" w:cs="Arial"/>
          <w:color w:val="000000"/>
          <w:kern w:val="0"/>
          <w:sz w:val="32"/>
          <w:szCs w:val="32"/>
          <w:lang w:eastAsia="zh-CN"/>
        </w:rPr>
        <w:t>记账</w:t>
      </w:r>
      <w:r>
        <w:rPr>
          <w:rFonts w:ascii="仿宋" w:hAnsi="仿宋" w:eastAsia="仿宋" w:cs="Arial"/>
          <w:color w:val="000000"/>
          <w:kern w:val="0"/>
          <w:sz w:val="32"/>
          <w:szCs w:val="32"/>
        </w:rPr>
        <w:t>、算账、报账。账簿内容完整，按规则记收，字迹工整，账账清洁，账账相符。</w:t>
      </w:r>
    </w:p>
    <w:p>
      <w:pPr>
        <w:widowControl/>
        <w:wordWrap w:val="0"/>
        <w:spacing w:line="432" w:lineRule="atLeast"/>
        <w:ind w:firstLine="640" w:firstLineChars="200"/>
        <w:jc w:val="left"/>
        <w:rPr>
          <w:rFonts w:ascii="仿宋" w:hAnsi="仿宋" w:eastAsia="仿宋" w:cs="Arial"/>
          <w:color w:val="000000"/>
          <w:kern w:val="0"/>
          <w:sz w:val="32"/>
          <w:szCs w:val="32"/>
        </w:rPr>
      </w:pPr>
      <w:r>
        <w:rPr>
          <w:rFonts w:ascii="仿宋" w:hAnsi="仿宋" w:eastAsia="仿宋" w:cs="Arial"/>
          <w:color w:val="000000"/>
          <w:kern w:val="0"/>
          <w:sz w:val="32"/>
          <w:szCs w:val="32"/>
        </w:rPr>
        <w:t>（</w:t>
      </w:r>
      <w:r>
        <w:rPr>
          <w:rFonts w:hint="eastAsia" w:ascii="仿宋" w:hAnsi="仿宋" w:eastAsia="仿宋" w:cs="Arial"/>
          <w:color w:val="000000"/>
          <w:kern w:val="0"/>
          <w:sz w:val="32"/>
          <w:szCs w:val="32"/>
        </w:rPr>
        <w:t>四</w:t>
      </w:r>
      <w:r>
        <w:rPr>
          <w:rFonts w:ascii="仿宋" w:hAnsi="仿宋" w:eastAsia="仿宋" w:cs="Arial"/>
          <w:color w:val="000000"/>
          <w:kern w:val="0"/>
          <w:sz w:val="32"/>
          <w:szCs w:val="32"/>
        </w:rPr>
        <w:t>）建立</w:t>
      </w:r>
      <w:r>
        <w:rPr>
          <w:rFonts w:hint="eastAsia" w:ascii="仿宋" w:hAnsi="仿宋" w:eastAsia="仿宋" w:cs="Arial"/>
          <w:color w:val="000000"/>
          <w:kern w:val="0"/>
          <w:sz w:val="32"/>
          <w:szCs w:val="32"/>
        </w:rPr>
        <w:t>资</w:t>
      </w:r>
      <w:r>
        <w:rPr>
          <w:rFonts w:ascii="仿宋" w:hAnsi="仿宋" w:eastAsia="仿宋" w:cs="Arial"/>
          <w:color w:val="000000"/>
          <w:kern w:val="0"/>
          <w:sz w:val="32"/>
          <w:szCs w:val="32"/>
        </w:rPr>
        <w:t>产清查制度，保证账簿、记录与实物款项相符。</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五</w:t>
      </w:r>
      <w:r>
        <w:rPr>
          <w:rFonts w:ascii="仿宋" w:hAnsi="仿宋" w:eastAsia="仿宋" w:cs="Arial"/>
          <w:color w:val="000000"/>
          <w:kern w:val="0"/>
          <w:sz w:val="32"/>
          <w:szCs w:val="32"/>
        </w:rPr>
        <w:t>）经费使用做到年初有预算，年终有决算，并定期向主管领导汇报。按要求及时公开预决算和“三公经费”。</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六</w:t>
      </w:r>
      <w:r>
        <w:rPr>
          <w:rFonts w:ascii="仿宋" w:hAnsi="仿宋" w:eastAsia="仿宋" w:cs="Arial"/>
          <w:color w:val="000000"/>
          <w:kern w:val="0"/>
          <w:sz w:val="32"/>
          <w:szCs w:val="32"/>
        </w:rPr>
        <w:t>）管理会计账簿、报表、凭证和电算化信息资料。</w:t>
      </w:r>
    </w:p>
    <w:p>
      <w:pPr>
        <w:widowControl/>
        <w:wordWrap w:val="0"/>
        <w:spacing w:line="432" w:lineRule="atLeast"/>
        <w:ind w:firstLine="643" w:firstLineChars="200"/>
        <w:jc w:val="both"/>
        <w:rPr>
          <w:rFonts w:ascii="仿宋" w:hAnsi="仿宋" w:eastAsia="仿宋" w:cs="Arial"/>
          <w:color w:val="000000"/>
          <w:kern w:val="0"/>
          <w:sz w:val="32"/>
          <w:szCs w:val="32"/>
        </w:rPr>
      </w:pPr>
      <w:r>
        <w:rPr>
          <w:rFonts w:ascii="仿宋" w:hAnsi="仿宋" w:eastAsia="仿宋" w:cs="Arial"/>
          <w:b/>
          <w:bCs/>
          <w:color w:val="000000"/>
          <w:kern w:val="0"/>
          <w:sz w:val="32"/>
          <w:szCs w:val="32"/>
        </w:rPr>
        <w:t>第</w:t>
      </w:r>
      <w:r>
        <w:rPr>
          <w:rFonts w:hint="eastAsia" w:ascii="仿宋" w:hAnsi="仿宋" w:eastAsia="仿宋" w:cs="Arial"/>
          <w:b/>
          <w:bCs/>
          <w:color w:val="000000"/>
          <w:kern w:val="0"/>
          <w:sz w:val="32"/>
          <w:szCs w:val="32"/>
        </w:rPr>
        <w:t>四</w:t>
      </w:r>
      <w:r>
        <w:rPr>
          <w:rFonts w:ascii="仿宋" w:hAnsi="仿宋" w:eastAsia="仿宋" w:cs="Arial"/>
          <w:b/>
          <w:bCs/>
          <w:color w:val="000000"/>
          <w:kern w:val="0"/>
          <w:sz w:val="32"/>
          <w:szCs w:val="32"/>
        </w:rPr>
        <w:t>条</w:t>
      </w:r>
      <w:r>
        <w:rPr>
          <w:rFonts w:ascii="宋体" w:hAnsi="宋体" w:eastAsia="仿宋" w:cs="Arial"/>
          <w:color w:val="000000"/>
          <w:kern w:val="0"/>
          <w:sz w:val="32"/>
          <w:szCs w:val="32"/>
        </w:rPr>
        <w:t> </w:t>
      </w:r>
      <w:r>
        <w:rPr>
          <w:rFonts w:ascii="仿宋" w:hAnsi="仿宋" w:eastAsia="仿宋" w:cs="Arial"/>
          <w:color w:val="000000"/>
          <w:kern w:val="0"/>
          <w:sz w:val="32"/>
          <w:szCs w:val="32"/>
        </w:rPr>
        <w:t>出纳</w:t>
      </w:r>
      <w:r>
        <w:rPr>
          <w:rFonts w:hint="eastAsia" w:ascii="仿宋" w:hAnsi="仿宋" w:eastAsia="仿宋" w:cs="Arial"/>
          <w:color w:val="000000"/>
          <w:kern w:val="0"/>
          <w:sz w:val="32"/>
          <w:szCs w:val="32"/>
        </w:rPr>
        <w:t>岗位</w:t>
      </w:r>
      <w:r>
        <w:rPr>
          <w:rFonts w:ascii="仿宋" w:hAnsi="仿宋" w:eastAsia="仿宋" w:cs="Arial"/>
          <w:color w:val="000000"/>
          <w:kern w:val="0"/>
          <w:sz w:val="32"/>
          <w:szCs w:val="32"/>
        </w:rPr>
        <w:t>职责</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 xml:space="preserve"> </w:t>
      </w:r>
      <w:r>
        <w:rPr>
          <w:rFonts w:ascii="仿宋" w:hAnsi="仿宋" w:eastAsia="仿宋" w:cs="Arial"/>
          <w:color w:val="000000"/>
          <w:kern w:val="0"/>
          <w:sz w:val="32"/>
          <w:szCs w:val="32"/>
        </w:rPr>
        <w:t>出纳人员的主要职责为：</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（一）严格执行会计法和财经纪律。</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（二）严格执行库存现金和银行存款管理制度，及时准确登记库存现金和银行存款账目，做到日清月结，账款相符，确保资金安全。</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（三）按时发放职工工资和报销公务支出，准确支取、缴纳职工社会保险费、住房公积金、养老金</w:t>
      </w:r>
      <w:r>
        <w:rPr>
          <w:rFonts w:hint="eastAsia" w:ascii="仿宋" w:hAnsi="仿宋" w:eastAsia="仿宋" w:cs="Arial"/>
          <w:color w:val="000000"/>
          <w:kern w:val="0"/>
          <w:sz w:val="32"/>
          <w:szCs w:val="32"/>
        </w:rPr>
        <w:t>等</w:t>
      </w:r>
      <w:r>
        <w:rPr>
          <w:rFonts w:ascii="仿宋" w:hAnsi="仿宋" w:eastAsia="仿宋" w:cs="Arial"/>
          <w:color w:val="000000"/>
          <w:kern w:val="0"/>
          <w:sz w:val="32"/>
          <w:szCs w:val="32"/>
        </w:rPr>
        <w:t>。</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（四）及时向</w:t>
      </w:r>
      <w:r>
        <w:rPr>
          <w:rFonts w:hint="eastAsia" w:ascii="仿宋" w:hAnsi="仿宋" w:eastAsia="仿宋" w:cs="Arial"/>
          <w:color w:val="000000"/>
          <w:kern w:val="0"/>
          <w:sz w:val="32"/>
          <w:szCs w:val="32"/>
        </w:rPr>
        <w:t>主管</w:t>
      </w:r>
      <w:r>
        <w:rPr>
          <w:rFonts w:ascii="仿宋" w:hAnsi="仿宋" w:eastAsia="仿宋" w:cs="Arial"/>
          <w:color w:val="000000"/>
          <w:kern w:val="0"/>
          <w:sz w:val="32"/>
          <w:szCs w:val="32"/>
        </w:rPr>
        <w:t>局长汇报账户资金状况，确保公务活动正常运行。</w:t>
      </w:r>
    </w:p>
    <w:p>
      <w:pPr>
        <w:widowControl/>
        <w:wordWrap w:val="0"/>
        <w:spacing w:line="432" w:lineRule="atLeast"/>
        <w:jc w:val="left"/>
        <w:rPr>
          <w:rFonts w:hint="eastAsia" w:ascii="黑体" w:hAnsi="黑体" w:eastAsia="黑体" w:cs="黑体"/>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 xml:space="preserve">             </w:t>
      </w:r>
      <w:r>
        <w:rPr>
          <w:rFonts w:hint="eastAsia" w:ascii="黑体" w:hAnsi="黑体" w:eastAsia="黑体" w:cs="黑体"/>
          <w:color w:val="000000"/>
          <w:kern w:val="0"/>
          <w:sz w:val="32"/>
          <w:szCs w:val="32"/>
        </w:rPr>
        <w:t>第三章  收入管理</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ascii="仿宋" w:hAnsi="仿宋" w:eastAsia="仿宋" w:cs="Arial"/>
          <w:b/>
          <w:bCs/>
          <w:color w:val="000000"/>
          <w:kern w:val="0"/>
          <w:sz w:val="32"/>
          <w:szCs w:val="32"/>
        </w:rPr>
        <w:t>第</w:t>
      </w:r>
      <w:r>
        <w:rPr>
          <w:rFonts w:hint="eastAsia" w:ascii="仿宋" w:hAnsi="仿宋" w:eastAsia="仿宋" w:cs="Arial"/>
          <w:b/>
          <w:bCs/>
          <w:color w:val="000000"/>
          <w:kern w:val="0"/>
          <w:sz w:val="32"/>
          <w:szCs w:val="32"/>
        </w:rPr>
        <w:t>五条</w:t>
      </w:r>
      <w:r>
        <w:rPr>
          <w:rFonts w:ascii="宋体" w:hAnsi="宋体" w:eastAsia="仿宋" w:cs="Arial"/>
          <w:color w:val="000000"/>
          <w:kern w:val="0"/>
          <w:sz w:val="32"/>
          <w:szCs w:val="32"/>
        </w:rPr>
        <w:t> </w:t>
      </w:r>
      <w:r>
        <w:rPr>
          <w:rFonts w:ascii="仿宋" w:hAnsi="仿宋" w:eastAsia="仿宋" w:cs="Arial"/>
          <w:color w:val="000000"/>
          <w:kern w:val="0"/>
          <w:sz w:val="32"/>
          <w:szCs w:val="32"/>
        </w:rPr>
        <w:t>专项资金管理。专项资金必须按照批准的项目和用途使用，不得挤占挪用。未在预算核定范围的专项支出，由承办</w:t>
      </w:r>
      <w:r>
        <w:rPr>
          <w:rFonts w:hint="eastAsia" w:ascii="仿宋" w:hAnsi="仿宋" w:eastAsia="仿宋" w:cs="Arial"/>
          <w:color w:val="000000"/>
          <w:kern w:val="0"/>
          <w:sz w:val="32"/>
          <w:szCs w:val="32"/>
        </w:rPr>
        <w:t>局办</w:t>
      </w:r>
      <w:r>
        <w:rPr>
          <w:rFonts w:ascii="仿宋" w:hAnsi="仿宋" w:eastAsia="仿宋" w:cs="Arial"/>
          <w:color w:val="000000"/>
          <w:kern w:val="0"/>
          <w:sz w:val="32"/>
          <w:szCs w:val="32"/>
        </w:rPr>
        <w:t>向</w:t>
      </w:r>
      <w:r>
        <w:rPr>
          <w:rFonts w:hint="eastAsia" w:ascii="仿宋" w:hAnsi="仿宋" w:eastAsia="仿宋" w:cs="Arial"/>
          <w:color w:val="000000"/>
          <w:kern w:val="0"/>
          <w:sz w:val="32"/>
          <w:szCs w:val="32"/>
        </w:rPr>
        <w:t>分管财政副主任、财政局长</w:t>
      </w:r>
      <w:r>
        <w:rPr>
          <w:rFonts w:ascii="仿宋" w:hAnsi="仿宋" w:eastAsia="仿宋" w:cs="Arial"/>
          <w:color w:val="000000"/>
          <w:kern w:val="0"/>
          <w:sz w:val="32"/>
          <w:szCs w:val="32"/>
        </w:rPr>
        <w:t>提出经费支出计划，资金到位后按有关规定支付。</w:t>
      </w:r>
    </w:p>
    <w:p>
      <w:pPr>
        <w:widowControl/>
        <w:wordWrap w:val="0"/>
        <w:spacing w:line="432" w:lineRule="atLeast"/>
        <w:jc w:val="left"/>
        <w:rPr>
          <w:rFonts w:hint="eastAsia"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 xml:space="preserve">            </w:t>
      </w:r>
      <w:r>
        <w:rPr>
          <w:rFonts w:hint="eastAsia" w:ascii="黑体" w:hAnsi="黑体" w:eastAsia="黑体" w:cs="黑体"/>
          <w:color w:val="000000"/>
          <w:kern w:val="0"/>
          <w:sz w:val="32"/>
          <w:szCs w:val="32"/>
        </w:rPr>
        <w:t>第四章  支出管理</w:t>
      </w:r>
    </w:p>
    <w:p>
      <w:pPr>
        <w:widowControl/>
        <w:wordWrap w:val="0"/>
        <w:spacing w:line="432" w:lineRule="atLeast"/>
        <w:ind w:firstLine="643" w:firstLineChars="200"/>
        <w:jc w:val="left"/>
        <w:rPr>
          <w:rFonts w:ascii="仿宋" w:hAnsi="仿宋" w:eastAsia="仿宋" w:cs="Arial"/>
          <w:color w:val="000000"/>
          <w:kern w:val="0"/>
          <w:sz w:val="32"/>
          <w:szCs w:val="32"/>
        </w:rPr>
      </w:pPr>
      <w:r>
        <w:rPr>
          <w:rFonts w:ascii="仿宋" w:hAnsi="仿宋" w:eastAsia="仿宋" w:cs="Arial"/>
          <w:b/>
          <w:bCs/>
          <w:color w:val="000000"/>
          <w:kern w:val="0"/>
          <w:sz w:val="32"/>
          <w:szCs w:val="32"/>
        </w:rPr>
        <w:t>第</w:t>
      </w:r>
      <w:r>
        <w:rPr>
          <w:rFonts w:hint="eastAsia" w:ascii="仿宋" w:hAnsi="仿宋" w:eastAsia="仿宋" w:cs="Arial"/>
          <w:b/>
          <w:bCs/>
          <w:color w:val="000000"/>
          <w:kern w:val="0"/>
          <w:sz w:val="32"/>
          <w:szCs w:val="32"/>
        </w:rPr>
        <w:t>六</w:t>
      </w:r>
      <w:r>
        <w:rPr>
          <w:rFonts w:ascii="仿宋" w:hAnsi="仿宋" w:eastAsia="仿宋" w:cs="Arial"/>
          <w:b/>
          <w:bCs/>
          <w:color w:val="000000"/>
          <w:kern w:val="0"/>
          <w:sz w:val="32"/>
          <w:szCs w:val="32"/>
        </w:rPr>
        <w:t>条</w:t>
      </w:r>
      <w:r>
        <w:rPr>
          <w:rFonts w:ascii="宋体" w:hAnsi="宋体" w:eastAsia="仿宋" w:cs="Arial"/>
          <w:color w:val="000000"/>
          <w:kern w:val="0"/>
          <w:sz w:val="32"/>
          <w:szCs w:val="32"/>
        </w:rPr>
        <w:t> </w:t>
      </w:r>
      <w:r>
        <w:rPr>
          <w:rFonts w:ascii="仿宋" w:hAnsi="仿宋" w:eastAsia="仿宋" w:cs="Arial"/>
          <w:color w:val="000000"/>
          <w:kern w:val="0"/>
          <w:sz w:val="32"/>
          <w:szCs w:val="32"/>
        </w:rPr>
        <w:t>工资和福利管理。要确保在职职工、聘用人员工资按时、足额发放。准确计算并及时支</w:t>
      </w:r>
      <w:r>
        <w:rPr>
          <w:rFonts w:hint="eastAsia" w:ascii="仿宋" w:hAnsi="仿宋" w:eastAsia="仿宋" w:cs="Arial"/>
          <w:color w:val="000000"/>
          <w:kern w:val="0"/>
          <w:sz w:val="32"/>
          <w:szCs w:val="32"/>
        </w:rPr>
        <w:t>付</w:t>
      </w:r>
      <w:r>
        <w:rPr>
          <w:rFonts w:ascii="仿宋" w:hAnsi="仿宋" w:eastAsia="仿宋" w:cs="Arial"/>
          <w:color w:val="000000"/>
          <w:kern w:val="0"/>
          <w:sz w:val="32"/>
          <w:szCs w:val="32"/>
        </w:rPr>
        <w:t>工会会费，按时缴纳社会保险费、住房公积金、养老金</w:t>
      </w:r>
      <w:r>
        <w:rPr>
          <w:rFonts w:hint="eastAsia" w:ascii="仿宋" w:hAnsi="仿宋" w:eastAsia="仿宋" w:cs="Arial"/>
          <w:color w:val="000000"/>
          <w:kern w:val="0"/>
          <w:sz w:val="32"/>
          <w:szCs w:val="32"/>
        </w:rPr>
        <w:t>等</w:t>
      </w:r>
      <w:r>
        <w:rPr>
          <w:rFonts w:ascii="仿宋" w:hAnsi="仿宋" w:eastAsia="仿宋" w:cs="Arial"/>
          <w:color w:val="000000"/>
          <w:kern w:val="0"/>
          <w:sz w:val="32"/>
          <w:szCs w:val="32"/>
        </w:rPr>
        <w:t>。</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ascii="仿宋" w:hAnsi="仿宋" w:eastAsia="仿宋" w:cs="Arial"/>
          <w:b/>
          <w:bCs/>
          <w:color w:val="000000"/>
          <w:kern w:val="0"/>
          <w:sz w:val="32"/>
          <w:szCs w:val="32"/>
        </w:rPr>
        <w:t>第</w:t>
      </w:r>
      <w:r>
        <w:rPr>
          <w:rFonts w:hint="eastAsia" w:ascii="仿宋" w:hAnsi="仿宋" w:eastAsia="仿宋" w:cs="Arial"/>
          <w:b/>
          <w:bCs/>
          <w:color w:val="000000"/>
          <w:kern w:val="0"/>
          <w:sz w:val="32"/>
          <w:szCs w:val="32"/>
        </w:rPr>
        <w:t>七</w:t>
      </w:r>
      <w:r>
        <w:rPr>
          <w:rFonts w:ascii="仿宋" w:hAnsi="仿宋" w:eastAsia="仿宋" w:cs="Arial"/>
          <w:b/>
          <w:bCs/>
          <w:color w:val="000000"/>
          <w:kern w:val="0"/>
          <w:sz w:val="32"/>
          <w:szCs w:val="32"/>
        </w:rPr>
        <w:t>条</w:t>
      </w:r>
      <w:r>
        <w:rPr>
          <w:rFonts w:ascii="宋体" w:hAnsi="宋体" w:eastAsia="仿宋" w:cs="Arial"/>
          <w:color w:val="000000"/>
          <w:kern w:val="0"/>
          <w:sz w:val="32"/>
          <w:szCs w:val="32"/>
        </w:rPr>
        <w:t> </w:t>
      </w:r>
      <w:r>
        <w:rPr>
          <w:rFonts w:ascii="仿宋" w:hAnsi="仿宋" w:eastAsia="仿宋" w:cs="Arial"/>
          <w:color w:val="000000"/>
          <w:kern w:val="0"/>
          <w:sz w:val="32"/>
          <w:szCs w:val="32"/>
        </w:rPr>
        <w:t>办公用品管理。要坚持经济、适用的原则，既要保证质量，又要节省经费开支。</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（一）</w:t>
      </w:r>
      <w:r>
        <w:rPr>
          <w:rFonts w:hint="eastAsia" w:ascii="仿宋" w:hAnsi="仿宋" w:eastAsia="仿宋" w:cs="Arial"/>
          <w:color w:val="000000"/>
          <w:kern w:val="0"/>
          <w:sz w:val="32"/>
          <w:szCs w:val="32"/>
        </w:rPr>
        <w:t>各局办</w:t>
      </w:r>
      <w:r>
        <w:rPr>
          <w:rFonts w:ascii="仿宋" w:hAnsi="仿宋" w:eastAsia="仿宋" w:cs="Arial"/>
          <w:color w:val="000000"/>
          <w:kern w:val="0"/>
          <w:sz w:val="32"/>
          <w:szCs w:val="32"/>
        </w:rPr>
        <w:t>领取日常办公</w:t>
      </w:r>
      <w:r>
        <w:rPr>
          <w:rFonts w:hint="eastAsia" w:ascii="仿宋" w:hAnsi="仿宋" w:eastAsia="仿宋" w:cs="Arial"/>
          <w:color w:val="000000"/>
          <w:kern w:val="0"/>
          <w:sz w:val="32"/>
          <w:szCs w:val="32"/>
        </w:rPr>
        <w:t>用</w:t>
      </w:r>
      <w:r>
        <w:rPr>
          <w:rFonts w:ascii="仿宋" w:hAnsi="仿宋" w:eastAsia="仿宋" w:cs="Arial"/>
          <w:color w:val="000000"/>
          <w:kern w:val="0"/>
          <w:sz w:val="32"/>
          <w:szCs w:val="32"/>
        </w:rPr>
        <w:t>品，需做好领用台账。</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（二）</w:t>
      </w:r>
      <w:r>
        <w:rPr>
          <w:rFonts w:hint="eastAsia" w:ascii="仿宋" w:hAnsi="仿宋" w:eastAsia="仿宋" w:cs="Arial"/>
          <w:color w:val="000000"/>
          <w:kern w:val="0"/>
          <w:sz w:val="32"/>
          <w:szCs w:val="32"/>
        </w:rPr>
        <w:t>各举办</w:t>
      </w:r>
      <w:r>
        <w:rPr>
          <w:rFonts w:ascii="仿宋" w:hAnsi="仿宋" w:eastAsia="仿宋" w:cs="Arial"/>
          <w:color w:val="000000"/>
          <w:kern w:val="0"/>
          <w:sz w:val="32"/>
          <w:szCs w:val="32"/>
        </w:rPr>
        <w:t>购置非日常办公消耗品，如：电脑、打印机等设备，由办公室统一汇总后向政府采购</w:t>
      </w:r>
      <w:r>
        <w:rPr>
          <w:rFonts w:hint="eastAsia" w:ascii="仿宋" w:hAnsi="仿宋" w:eastAsia="仿宋" w:cs="Arial"/>
          <w:color w:val="000000"/>
          <w:kern w:val="0"/>
          <w:sz w:val="32"/>
          <w:szCs w:val="32"/>
        </w:rPr>
        <w:t>科室办理相关</w:t>
      </w:r>
      <w:r>
        <w:rPr>
          <w:rFonts w:ascii="仿宋" w:hAnsi="仿宋" w:eastAsia="仿宋" w:cs="Arial"/>
          <w:color w:val="000000"/>
          <w:kern w:val="0"/>
          <w:sz w:val="32"/>
          <w:szCs w:val="32"/>
        </w:rPr>
        <w:t>购置手续。</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（四）固定资产和设备，要按照国有资产管理办法有关要求设账建卡，在财务记账的同时，对各类资产的购入、调拨、报损等情况建立台账。</w:t>
      </w:r>
    </w:p>
    <w:p>
      <w:pPr>
        <w:widowControl/>
        <w:wordWrap w:val="0"/>
        <w:spacing w:line="432" w:lineRule="atLeast"/>
        <w:jc w:val="left"/>
        <w:rPr>
          <w:rFonts w:hint="eastAsia" w:ascii="仿宋" w:hAnsi="仿宋" w:eastAsia="仿宋" w:cs="Arial"/>
          <w:color w:val="000000"/>
          <w:kern w:val="0"/>
          <w:sz w:val="32"/>
          <w:szCs w:val="32"/>
        </w:rPr>
      </w:pPr>
      <w:r>
        <w:rPr>
          <w:rFonts w:ascii="仿宋" w:hAnsi="仿宋" w:eastAsia="仿宋" w:cs="Arial"/>
          <w:color w:val="000000"/>
          <w:kern w:val="0"/>
          <w:sz w:val="32"/>
          <w:szCs w:val="32"/>
        </w:rPr>
        <w:t>　　</w:t>
      </w:r>
      <w:r>
        <w:rPr>
          <w:rFonts w:ascii="仿宋" w:hAnsi="仿宋" w:eastAsia="仿宋" w:cs="Arial"/>
          <w:b/>
          <w:bCs/>
          <w:color w:val="000000"/>
          <w:kern w:val="0"/>
          <w:sz w:val="32"/>
          <w:szCs w:val="32"/>
        </w:rPr>
        <w:t>第</w:t>
      </w:r>
      <w:r>
        <w:rPr>
          <w:rFonts w:hint="eastAsia" w:ascii="仿宋" w:hAnsi="仿宋" w:eastAsia="仿宋" w:cs="Arial"/>
          <w:b/>
          <w:bCs/>
          <w:color w:val="000000"/>
          <w:kern w:val="0"/>
          <w:sz w:val="32"/>
          <w:szCs w:val="32"/>
        </w:rPr>
        <w:t>八</w:t>
      </w:r>
      <w:r>
        <w:rPr>
          <w:rFonts w:ascii="仿宋" w:hAnsi="仿宋" w:eastAsia="仿宋" w:cs="Arial"/>
          <w:b/>
          <w:bCs/>
          <w:color w:val="000000"/>
          <w:kern w:val="0"/>
          <w:sz w:val="32"/>
          <w:szCs w:val="32"/>
        </w:rPr>
        <w:t>条</w:t>
      </w:r>
      <w:r>
        <w:rPr>
          <w:rFonts w:ascii="宋体" w:hAnsi="宋体" w:eastAsia="仿宋" w:cs="Arial"/>
          <w:color w:val="000000"/>
          <w:kern w:val="0"/>
          <w:sz w:val="32"/>
          <w:szCs w:val="32"/>
        </w:rPr>
        <w:t> </w:t>
      </w:r>
      <w:r>
        <w:rPr>
          <w:rFonts w:ascii="仿宋" w:hAnsi="仿宋" w:eastAsia="仿宋" w:cs="Arial"/>
          <w:color w:val="000000"/>
          <w:kern w:val="0"/>
          <w:sz w:val="32"/>
          <w:szCs w:val="32"/>
        </w:rPr>
        <w:t>经费审批管理。</w:t>
      </w:r>
      <w:r>
        <w:rPr>
          <w:rFonts w:hint="eastAsia" w:ascii="仿宋" w:hAnsi="仿宋" w:eastAsia="仿宋" w:cs="Arial"/>
          <w:color w:val="000000"/>
          <w:kern w:val="0"/>
          <w:sz w:val="32"/>
          <w:szCs w:val="32"/>
        </w:rPr>
        <w:t>新区</w:t>
      </w:r>
      <w:r>
        <w:rPr>
          <w:rFonts w:ascii="仿宋" w:hAnsi="仿宋" w:eastAsia="仿宋" w:cs="Arial"/>
          <w:color w:val="000000"/>
          <w:kern w:val="0"/>
          <w:sz w:val="32"/>
          <w:szCs w:val="32"/>
        </w:rPr>
        <w:t>一切经费开支实行</w:t>
      </w:r>
      <w:r>
        <w:rPr>
          <w:rFonts w:hint="eastAsia" w:ascii="仿宋" w:hAnsi="仿宋" w:eastAsia="仿宋" w:cs="Arial"/>
          <w:color w:val="000000"/>
          <w:kern w:val="0"/>
          <w:sz w:val="32"/>
          <w:szCs w:val="32"/>
        </w:rPr>
        <w:t>分级</w:t>
      </w:r>
      <w:r>
        <w:rPr>
          <w:rFonts w:ascii="仿宋" w:hAnsi="仿宋" w:eastAsia="仿宋" w:cs="Arial"/>
          <w:color w:val="000000"/>
          <w:kern w:val="0"/>
          <w:sz w:val="32"/>
          <w:szCs w:val="32"/>
        </w:rPr>
        <w:t>审批制度</w:t>
      </w:r>
      <w:r>
        <w:rPr>
          <w:rFonts w:hint="eastAsia" w:ascii="仿宋" w:hAnsi="仿宋" w:eastAsia="仿宋" w:cs="Arial"/>
          <w:color w:val="000000"/>
          <w:kern w:val="0"/>
          <w:sz w:val="32"/>
          <w:szCs w:val="32"/>
        </w:rPr>
        <w:t>。</w:t>
      </w:r>
    </w:p>
    <w:p>
      <w:pPr>
        <w:widowControl/>
        <w:wordWrap w:val="0"/>
        <w:spacing w:line="432" w:lineRule="atLeast"/>
        <w:jc w:val="left"/>
        <w:rPr>
          <w:rFonts w:ascii="仿宋" w:hAnsi="仿宋" w:eastAsia="仿宋" w:cs="Arial"/>
          <w:color w:val="000000"/>
          <w:kern w:val="0"/>
          <w:sz w:val="32"/>
          <w:szCs w:val="32"/>
        </w:rPr>
      </w:pPr>
      <w:r>
        <w:rPr>
          <w:rFonts w:hint="eastAsia" w:ascii="仿宋" w:hAnsi="仿宋" w:eastAsia="仿宋" w:cs="Arial"/>
          <w:color w:val="000000"/>
          <w:kern w:val="0"/>
          <w:sz w:val="32"/>
          <w:szCs w:val="32"/>
        </w:rPr>
        <w:t xml:space="preserve">    </w:t>
      </w:r>
      <w:r>
        <w:rPr>
          <w:rFonts w:ascii="仿宋" w:hAnsi="仿宋" w:eastAsia="仿宋" w:cs="Arial"/>
          <w:color w:val="000000"/>
          <w:kern w:val="0"/>
          <w:sz w:val="32"/>
          <w:szCs w:val="32"/>
        </w:rPr>
        <w:t>（</w:t>
      </w:r>
      <w:r>
        <w:rPr>
          <w:rFonts w:hint="eastAsia" w:ascii="仿宋" w:hAnsi="仿宋" w:eastAsia="仿宋" w:cs="Arial"/>
          <w:color w:val="000000"/>
          <w:kern w:val="0"/>
          <w:sz w:val="32"/>
          <w:szCs w:val="32"/>
        </w:rPr>
        <w:t>一</w:t>
      </w:r>
      <w:r>
        <w:rPr>
          <w:rFonts w:ascii="仿宋" w:hAnsi="仿宋" w:eastAsia="仿宋" w:cs="Arial"/>
          <w:color w:val="000000"/>
          <w:kern w:val="0"/>
          <w:sz w:val="32"/>
          <w:szCs w:val="32"/>
        </w:rPr>
        <w:t>）财务审核：单位经办人将签有所办事项和本人</w:t>
      </w:r>
      <w:r>
        <w:rPr>
          <w:rFonts w:hint="eastAsia" w:ascii="仿宋" w:hAnsi="仿宋" w:eastAsia="仿宋" w:cs="Arial"/>
          <w:color w:val="000000"/>
          <w:kern w:val="0"/>
          <w:sz w:val="32"/>
          <w:szCs w:val="32"/>
        </w:rPr>
        <w:t>签名的</w:t>
      </w:r>
      <w:r>
        <w:rPr>
          <w:rFonts w:ascii="仿宋" w:hAnsi="仿宋" w:eastAsia="仿宋" w:cs="Arial"/>
          <w:color w:val="000000"/>
          <w:kern w:val="0"/>
          <w:sz w:val="32"/>
          <w:szCs w:val="32"/>
        </w:rPr>
        <w:t>原始凭证交会计审核，会计对所报单据真实性、规范性、合法性进行审核</w:t>
      </w:r>
      <w:r>
        <w:rPr>
          <w:rFonts w:hint="eastAsia" w:ascii="仿宋" w:hAnsi="仿宋" w:eastAsia="仿宋" w:cs="Arial"/>
          <w:color w:val="000000"/>
          <w:kern w:val="0"/>
          <w:sz w:val="32"/>
          <w:szCs w:val="32"/>
        </w:rPr>
        <w:t>并签字</w:t>
      </w:r>
      <w:r>
        <w:rPr>
          <w:rFonts w:ascii="仿宋" w:hAnsi="仿宋" w:eastAsia="仿宋" w:cs="Arial"/>
          <w:color w:val="000000"/>
          <w:kern w:val="0"/>
          <w:sz w:val="32"/>
          <w:szCs w:val="32"/>
        </w:rPr>
        <w:t>。</w:t>
      </w:r>
    </w:p>
    <w:p>
      <w:pPr>
        <w:widowControl/>
        <w:wordWrap w:val="0"/>
        <w:spacing w:line="432" w:lineRule="atLeast"/>
        <w:jc w:val="left"/>
        <w:rPr>
          <w:rFonts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二</w:t>
      </w:r>
      <w:r>
        <w:rPr>
          <w:rFonts w:ascii="仿宋" w:hAnsi="仿宋" w:eastAsia="仿宋" w:cs="Arial"/>
          <w:color w:val="000000"/>
          <w:kern w:val="0"/>
          <w:sz w:val="32"/>
          <w:szCs w:val="32"/>
        </w:rPr>
        <w:t>）领导审批：单位经办人将经过财务审核后的原始凭证，由分管</w:t>
      </w:r>
      <w:r>
        <w:rPr>
          <w:rFonts w:hint="eastAsia" w:ascii="仿宋" w:hAnsi="仿宋" w:eastAsia="仿宋" w:cs="Arial"/>
          <w:color w:val="000000"/>
          <w:kern w:val="0"/>
          <w:sz w:val="32"/>
          <w:szCs w:val="32"/>
        </w:rPr>
        <w:t>财政局长、分管财政副主任</w:t>
      </w:r>
      <w:r>
        <w:rPr>
          <w:rFonts w:ascii="仿宋" w:hAnsi="仿宋" w:eastAsia="仿宋" w:cs="Arial"/>
          <w:color w:val="000000"/>
          <w:kern w:val="0"/>
          <w:sz w:val="32"/>
          <w:szCs w:val="32"/>
        </w:rPr>
        <w:t>复核审批</w:t>
      </w:r>
      <w:r>
        <w:rPr>
          <w:rFonts w:hint="eastAsia" w:ascii="仿宋" w:hAnsi="仿宋" w:eastAsia="仿宋" w:cs="Arial"/>
          <w:color w:val="000000"/>
          <w:kern w:val="0"/>
          <w:sz w:val="32"/>
          <w:szCs w:val="32"/>
        </w:rPr>
        <w:t>后签字</w:t>
      </w:r>
      <w:r>
        <w:rPr>
          <w:rFonts w:ascii="仿宋" w:hAnsi="仿宋" w:eastAsia="仿宋" w:cs="Arial"/>
          <w:color w:val="000000"/>
          <w:kern w:val="0"/>
          <w:sz w:val="32"/>
          <w:szCs w:val="32"/>
        </w:rPr>
        <w:t>。</w:t>
      </w:r>
    </w:p>
    <w:p>
      <w:pPr>
        <w:widowControl/>
        <w:wordWrap w:val="0"/>
        <w:spacing w:line="432" w:lineRule="atLeast"/>
        <w:jc w:val="left"/>
        <w:rPr>
          <w:rFonts w:hint="eastAsia" w:ascii="仿宋" w:hAnsi="仿宋" w:eastAsia="仿宋" w:cs="Arial"/>
          <w:color w:val="000000"/>
          <w:kern w:val="0"/>
          <w:sz w:val="32"/>
          <w:szCs w:val="32"/>
        </w:rPr>
      </w:pPr>
      <w:r>
        <w:rPr>
          <w:rFonts w:ascii="仿宋" w:hAnsi="仿宋" w:eastAsia="仿宋" w:cs="Arial"/>
          <w:color w:val="000000"/>
          <w:kern w:val="0"/>
          <w:sz w:val="32"/>
          <w:szCs w:val="32"/>
        </w:rPr>
        <w:t>　　（</w:t>
      </w:r>
      <w:r>
        <w:rPr>
          <w:rFonts w:hint="eastAsia" w:ascii="仿宋" w:hAnsi="仿宋" w:eastAsia="仿宋" w:cs="Arial"/>
          <w:color w:val="000000"/>
          <w:kern w:val="0"/>
          <w:sz w:val="32"/>
          <w:szCs w:val="32"/>
        </w:rPr>
        <w:t>三</w:t>
      </w:r>
      <w:r>
        <w:rPr>
          <w:rFonts w:ascii="仿宋" w:hAnsi="仿宋" w:eastAsia="仿宋" w:cs="Arial"/>
          <w:color w:val="000000"/>
          <w:kern w:val="0"/>
          <w:sz w:val="32"/>
          <w:szCs w:val="32"/>
        </w:rPr>
        <w:t>）财务报销：经办人持经过全部审核审批程序后的原始凭证到出纳处办理报销手续</w:t>
      </w:r>
      <w:r>
        <w:rPr>
          <w:rFonts w:hint="eastAsia" w:ascii="仿宋" w:hAnsi="仿宋" w:eastAsia="仿宋" w:cs="Arial"/>
          <w:color w:val="000000"/>
          <w:kern w:val="0"/>
          <w:sz w:val="32"/>
          <w:szCs w:val="32"/>
        </w:rPr>
        <w:t>，</w:t>
      </w:r>
      <w:r>
        <w:rPr>
          <w:rFonts w:ascii="仿宋" w:hAnsi="仿宋" w:eastAsia="仿宋" w:cs="Arial"/>
          <w:color w:val="000000"/>
          <w:kern w:val="0"/>
          <w:sz w:val="32"/>
          <w:szCs w:val="32"/>
        </w:rPr>
        <w:t>原则上票据形成日至审批日不得超过30日，特殊原因超过30日须说明理由，否则不予报销。</w:t>
      </w:r>
    </w:p>
    <w:p>
      <w:pPr>
        <w:ind w:left="3" w:leftChars="1"/>
        <w:rPr>
          <w:rFonts w:ascii="仿宋" w:hAnsi="仿宋" w:eastAsia="仿宋"/>
          <w:sz w:val="32"/>
          <w:szCs w:val="32"/>
        </w:rPr>
      </w:pPr>
      <w:r>
        <w:rPr>
          <w:rFonts w:hint="eastAsia" w:ascii="仿宋" w:hAnsi="仿宋" w:eastAsia="仿宋"/>
          <w:sz w:val="32"/>
          <w:szCs w:val="32"/>
        </w:rPr>
        <w:t xml:space="preserve">    </w:t>
      </w:r>
      <w:r>
        <w:rPr>
          <w:rFonts w:hint="eastAsia" w:ascii="仿宋" w:hAnsi="仿宋" w:eastAsia="仿宋"/>
          <w:b/>
          <w:bCs/>
          <w:sz w:val="32"/>
          <w:szCs w:val="32"/>
        </w:rPr>
        <w:t>第九条</w:t>
      </w:r>
      <w:r>
        <w:rPr>
          <w:rFonts w:hint="eastAsia" w:ascii="仿宋" w:hAnsi="仿宋" w:eastAsia="仿宋"/>
          <w:sz w:val="32"/>
          <w:szCs w:val="32"/>
        </w:rPr>
        <w:t xml:space="preserve"> 各种会议、食宿等费用支出，必须经分局主任、分管局长签批后方可安排，凡未经批准擅自安排的费用自理。</w:t>
      </w:r>
    </w:p>
    <w:p>
      <w:pPr>
        <w:ind w:firstLine="643" w:firstLineChars="200"/>
        <w:rPr>
          <w:rFonts w:ascii="仿宋" w:hAnsi="仿宋" w:eastAsia="仿宋"/>
          <w:sz w:val="32"/>
          <w:szCs w:val="32"/>
        </w:rPr>
      </w:pPr>
      <w:r>
        <w:rPr>
          <w:rFonts w:hint="eastAsia" w:ascii="仿宋" w:hAnsi="仿宋" w:eastAsia="仿宋"/>
          <w:b/>
          <w:bCs/>
          <w:sz w:val="32"/>
          <w:szCs w:val="32"/>
        </w:rPr>
        <w:t>第十条</w:t>
      </w:r>
      <w:r>
        <w:rPr>
          <w:rFonts w:hint="eastAsia" w:ascii="仿宋" w:hAnsi="仿宋" w:eastAsia="仿宋"/>
          <w:sz w:val="32"/>
          <w:szCs w:val="32"/>
        </w:rPr>
        <w:t xml:space="preserve"> 必要的业务招待，要本着“节约、适度、从俭”的原则，填报招待审批单，经主管财政局长、分管财政副主任审批后并按规定标准安排。</w:t>
      </w:r>
    </w:p>
    <w:p>
      <w:pPr>
        <w:ind w:firstLine="643" w:firstLineChars="200"/>
        <w:rPr>
          <w:rFonts w:ascii="仿宋" w:hAnsi="仿宋" w:eastAsia="仿宋"/>
          <w:sz w:val="32"/>
          <w:szCs w:val="32"/>
        </w:rPr>
      </w:pPr>
      <w:r>
        <w:rPr>
          <w:rFonts w:hint="eastAsia" w:ascii="仿宋" w:hAnsi="仿宋" w:eastAsia="仿宋"/>
          <w:b/>
          <w:bCs/>
          <w:sz w:val="32"/>
          <w:szCs w:val="32"/>
        </w:rPr>
        <w:t>第十一条</w:t>
      </w:r>
      <w:r>
        <w:rPr>
          <w:rFonts w:hint="eastAsia" w:ascii="仿宋" w:hAnsi="仿宋" w:eastAsia="仿宋"/>
          <w:sz w:val="32"/>
          <w:szCs w:val="32"/>
        </w:rPr>
        <w:t xml:space="preserve"> 因公出差，需在外地食宿者，用餐、住宿标准按照相关文件标准执行。</w:t>
      </w:r>
    </w:p>
    <w:p>
      <w:pPr>
        <w:ind w:left="6" w:leftChars="2" w:firstLine="643" w:firstLineChars="200"/>
        <w:rPr>
          <w:rFonts w:hint="eastAsia" w:ascii="仿宋" w:hAnsi="仿宋" w:eastAsia="仿宋"/>
          <w:sz w:val="32"/>
          <w:szCs w:val="32"/>
        </w:rPr>
      </w:pPr>
      <w:r>
        <w:rPr>
          <w:rFonts w:hint="eastAsia" w:ascii="仿宋" w:hAnsi="仿宋" w:eastAsia="仿宋"/>
          <w:b/>
          <w:bCs/>
          <w:sz w:val="32"/>
          <w:szCs w:val="32"/>
        </w:rPr>
        <w:t>第十二条</w:t>
      </w:r>
      <w:r>
        <w:rPr>
          <w:rFonts w:hint="eastAsia" w:ascii="仿宋" w:hAnsi="仿宋" w:eastAsia="仿宋"/>
          <w:sz w:val="32"/>
          <w:szCs w:val="32"/>
        </w:rPr>
        <w:t xml:space="preserve"> 各级举办的业务学习、培训班，经主管副主任、主管局长同意后，方可参加，学习期间的培训费、食宿费，按上级业务部门的要求和财务部门有关规定报销，车船费报销往返一次。</w:t>
      </w:r>
    </w:p>
    <w:p>
      <w:pPr>
        <w:widowControl/>
        <w:wordWrap w:val="0"/>
        <w:spacing w:line="432" w:lineRule="atLeast"/>
        <w:jc w:val="center"/>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第五章 财务章管理</w:t>
      </w:r>
    </w:p>
    <w:p>
      <w:pPr>
        <w:ind w:firstLine="643" w:firstLineChars="200"/>
        <w:rPr>
          <w:rFonts w:ascii="仿宋" w:hAnsi="仿宋" w:eastAsia="仿宋"/>
          <w:sz w:val="32"/>
          <w:szCs w:val="32"/>
        </w:rPr>
      </w:pPr>
      <w:r>
        <w:rPr>
          <w:rFonts w:hint="eastAsia" w:ascii="仿宋" w:hAnsi="仿宋" w:eastAsia="仿宋"/>
          <w:b/>
          <w:bCs/>
          <w:sz w:val="32"/>
          <w:szCs w:val="32"/>
        </w:rPr>
        <w:t>第十三条</w:t>
      </w:r>
      <w:r>
        <w:rPr>
          <w:rFonts w:hint="eastAsia" w:ascii="仿宋" w:hAnsi="仿宋" w:eastAsia="仿宋"/>
          <w:sz w:val="32"/>
          <w:szCs w:val="32"/>
        </w:rPr>
        <w:t xml:space="preserve"> 本单位财务专用章由专人保管，办理相关业务时需向主管领导请示后再加盖印章。禁止非财务事项加盖财务专用章。对特殊事项需要加盖印章应填写《印章使用审批单》，由负责人、分管领导审批方可办理。</w:t>
      </w:r>
    </w:p>
    <w:p>
      <w:pPr>
        <w:ind w:firstLine="643" w:firstLineChars="200"/>
        <w:rPr>
          <w:rFonts w:ascii="仿宋" w:hAnsi="仿宋" w:eastAsia="仿宋"/>
          <w:sz w:val="32"/>
          <w:szCs w:val="32"/>
        </w:rPr>
      </w:pPr>
      <w:r>
        <w:rPr>
          <w:rFonts w:hint="eastAsia" w:ascii="仿宋" w:hAnsi="仿宋" w:eastAsia="仿宋"/>
          <w:b/>
          <w:bCs/>
          <w:sz w:val="32"/>
          <w:szCs w:val="32"/>
        </w:rPr>
        <w:t>第十四条</w:t>
      </w:r>
      <w:r>
        <w:rPr>
          <w:rFonts w:hint="eastAsia" w:ascii="仿宋" w:hAnsi="仿宋" w:eastAsia="仿宋"/>
          <w:sz w:val="32"/>
          <w:szCs w:val="32"/>
        </w:rPr>
        <w:t xml:space="preserve"> 印章保管人员用印需填写《印章使用登记簿》，登记内容包括：用印时间、用印事项、用印单位、用印人、用印数量等。使用财务专用章必须是发生真实、合规、手续完备的财务会计业务，加盖印章时，应加盖在规定位置。</w:t>
      </w:r>
    </w:p>
    <w:p>
      <w:pPr>
        <w:rPr>
          <w:rFonts w:ascii="仿宋" w:hAnsi="仿宋" w:eastAsia="仿宋" w:cs="Arial"/>
          <w:color w:val="000000"/>
          <w:kern w:val="0"/>
          <w:sz w:val="32"/>
          <w:szCs w:val="32"/>
        </w:rPr>
      </w:pPr>
      <w:r>
        <w:rPr>
          <w:rFonts w:hint="eastAsia" w:ascii="仿宋" w:hAnsi="仿宋" w:eastAsia="仿宋"/>
          <w:sz w:val="32"/>
          <w:szCs w:val="32"/>
        </w:rPr>
        <w:t xml:space="preserve">    </w:t>
      </w:r>
      <w:r>
        <w:rPr>
          <w:rFonts w:hint="eastAsia" w:ascii="仿宋" w:hAnsi="仿宋" w:eastAsia="仿宋"/>
          <w:b/>
          <w:bCs/>
          <w:sz w:val="32"/>
          <w:szCs w:val="32"/>
        </w:rPr>
        <w:t>第十五条</w:t>
      </w:r>
      <w:r>
        <w:rPr>
          <w:rFonts w:hint="eastAsia" w:ascii="仿宋" w:hAnsi="仿宋" w:eastAsia="仿宋"/>
          <w:sz w:val="32"/>
          <w:szCs w:val="32"/>
        </w:rPr>
        <w:t xml:space="preserve"> 财务专用章必须保存在安全地方，非保管人员不得使用，不经批准不得携带外出。如发生工作调动，由本单位负责人负责监交，办理财务专用章交接手续。</w:t>
      </w:r>
    </w:p>
    <w:p>
      <w:pPr>
        <w:pStyle w:val="3"/>
        <w:bidi w:val="0"/>
        <w:jc w:val="center"/>
        <w:rPr>
          <w:rFonts w:hint="eastAsia"/>
          <w:lang w:eastAsia="zh-CN"/>
        </w:rPr>
      </w:pPr>
      <w:r>
        <w:rPr>
          <w:rFonts w:hint="eastAsia" w:ascii="黑体" w:hAnsi="黑体" w:eastAsia="黑体" w:cs="黑体"/>
          <w:color w:val="000000"/>
          <w:kern w:val="0"/>
          <w:sz w:val="32"/>
          <w:szCs w:val="32"/>
        </w:rPr>
        <w:t>第</w:t>
      </w:r>
      <w:r>
        <w:rPr>
          <w:rFonts w:hint="eastAsia" w:ascii="黑体" w:hAnsi="黑体" w:cs="黑体"/>
          <w:color w:val="000000"/>
          <w:kern w:val="0"/>
          <w:sz w:val="32"/>
          <w:szCs w:val="32"/>
          <w:lang w:val="en-US" w:eastAsia="zh-CN"/>
        </w:rPr>
        <w:t>六</w:t>
      </w:r>
      <w:r>
        <w:rPr>
          <w:rFonts w:hint="eastAsia" w:ascii="黑体" w:hAnsi="黑体" w:eastAsia="黑体" w:cs="黑体"/>
          <w:color w:val="000000"/>
          <w:kern w:val="0"/>
          <w:sz w:val="32"/>
          <w:szCs w:val="32"/>
        </w:rPr>
        <w:t>章</w:t>
      </w:r>
      <w:r>
        <w:rPr>
          <w:rFonts w:hint="eastAsia" w:ascii="黑体" w:hAnsi="黑体" w:cs="黑体"/>
          <w:color w:val="000000"/>
          <w:kern w:val="0"/>
          <w:sz w:val="32"/>
          <w:szCs w:val="32"/>
          <w:lang w:val="en-US" w:eastAsia="zh-CN"/>
        </w:rPr>
        <w:t xml:space="preserve"> </w:t>
      </w:r>
      <w:r>
        <w:rPr>
          <w:rFonts w:hint="eastAsia" w:ascii="黑体" w:hAnsi="黑体" w:eastAsia="黑体" w:cs="黑体"/>
        </w:rPr>
        <w:t>专项资金管理暂行办法</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十六</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为了进一步加强和规范财政专项资金（以下简称“专项资金”）管理，保障专项资金安全运行，提高专项资金使用效益，确保专款专用，根据《中华人民共和国预算法》、《中华人民共和国会计法》及吉林省财政专项资金管理和国家有关法律、法规的规定，结合我市和生态新区实际情况，制定本办法。</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十七</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本办法所称专项资金，是指上级财政部门下达的社会管理、公共事业发展、社会保障、经济建设以及政策补贴等方面具有指定用途，以及本级财政预算安排的具有特定用途、专款专用的财政资金。</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十八</w:t>
      </w:r>
      <w:r>
        <w:rPr>
          <w:rFonts w:hint="eastAsia" w:ascii="楷体" w:hAnsi="楷体" w:eastAsia="楷体" w:cs="宋体"/>
          <w:b/>
          <w:snapToGrid w:val="0"/>
          <w:color w:val="auto"/>
          <w:kern w:val="0"/>
          <w:sz w:val="32"/>
          <w:szCs w:val="32"/>
        </w:rPr>
        <w:t xml:space="preserve">条 </w:t>
      </w:r>
      <w:r>
        <w:rPr>
          <w:rFonts w:hint="eastAsia" w:ascii="仿宋" w:hAnsi="仿宋" w:eastAsia="仿宋" w:cs="宋体"/>
          <w:snapToGrid w:val="0"/>
          <w:color w:val="auto"/>
          <w:kern w:val="0"/>
          <w:sz w:val="32"/>
          <w:szCs w:val="32"/>
        </w:rPr>
        <w:t xml:space="preserve"> 专项资金使用按照评审、申请、审核、下达指标文件、拨款的程序进行，专项资金拨付申请使用统一格式（附表）。实行公开透明、跟踪问效和责任追究制度。</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十九</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依据本办法，生态新区财政金融审计局进行专户管理、建立专项资金台账，履行财政监督职能。资金监管实行事前审核、事中监控、事后检查有机结合的监督管理体系。</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w:t>
      </w:r>
      <w:r>
        <w:rPr>
          <w:rFonts w:hint="eastAsia" w:ascii="楷体" w:hAnsi="楷体" w:eastAsia="楷体" w:cs="宋体"/>
          <w:b/>
          <w:snapToGrid w:val="0"/>
          <w:color w:val="auto"/>
          <w:kern w:val="0"/>
          <w:sz w:val="32"/>
          <w:szCs w:val="32"/>
        </w:rPr>
        <w:t xml:space="preserve">条 </w:t>
      </w:r>
      <w:r>
        <w:rPr>
          <w:rFonts w:hint="eastAsia" w:ascii="仿宋" w:hAnsi="仿宋" w:eastAsia="仿宋" w:cs="宋体"/>
          <w:snapToGrid w:val="0"/>
          <w:color w:val="auto"/>
          <w:kern w:val="0"/>
          <w:sz w:val="32"/>
          <w:szCs w:val="32"/>
        </w:rPr>
        <w:t xml:space="preserve"> 项目单位申请拨付上级财政部门下达的专项资金时，需向生态新区财政金融审计局提出资金拨付申请，并按要求提供有关项目资料。项目单位申请拨付本级财政安排的专项资金时，首先报请生态新区领导批准，并按要求向生态新区财政金融审计局提供项目的有关资料。</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二十一</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项目单位申请拨付建设性工程项目资金，在资金申请书中须附生态新区财政评审人员出具的该项目评审结论；申请非建设性项目资金所提供的资料，按照生态新区财政金融审计局具体要求办理。</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宋体"/>
          <w:snapToGrid w:val="0"/>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二十二</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上级财政部门下达的实施单位明确的专项资金，生态新区财政金融审计局要在接到专项资金文件后及时告知项目实施单位。生态新区财政金融审计局根据项目单位的申请和提供资料进行审核及签署意见并批复。</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宋体"/>
          <w:snapToGrid w:val="0"/>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二十三</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本级安排的专项资金，项目单位申请在生态新区领导签批后送达生态新区财政金融审计局办理，提交相关资料、专项资金拨付申请表填报等业务。</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二十四</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生态新区财政金融审计局对专项资金统一下达指标文件，专项资金的落实以下达专项资金指标文件为依据，资金可以按进度或实际情况分批次拨付。</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二十五</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对于要求项目单位自筹配套的项目，生态新区财政金融审计局视项目单位自筹配套资金进度情况审核拨付专项资金。</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二十六</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专项资金的拨付，生态新区财政金融审计局对项目单位填报的专项资金拨付申请表进行审核，要及时将专项资金拨付到项目单位。</w:t>
      </w:r>
    </w:p>
    <w:p>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宋体"/>
          <w:snapToGrid w:val="0"/>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二十七</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建设性工程项目，生态新区财政金融审计局和项目单位严格按照《白城市财政性资金基本建设投资评审细则》办理。工程</w:t>
      </w:r>
      <w:r>
        <w:rPr>
          <w:rFonts w:hint="eastAsia" w:ascii="仿宋" w:hAnsi="仿宋" w:eastAsia="仿宋" w:cs="宋体"/>
          <w:snapToGrid w:val="0"/>
          <w:color w:val="auto"/>
          <w:kern w:val="0"/>
          <w:sz w:val="32"/>
          <w:szCs w:val="32"/>
          <w:lang w:eastAsia="zh-CN"/>
        </w:rPr>
        <w:t>在</w:t>
      </w:r>
      <w:r>
        <w:rPr>
          <w:rFonts w:hint="eastAsia" w:ascii="仿宋" w:hAnsi="仿宋" w:eastAsia="仿宋" w:cs="宋体"/>
          <w:snapToGrid w:val="0"/>
          <w:color w:val="auto"/>
          <w:kern w:val="0"/>
          <w:sz w:val="32"/>
          <w:szCs w:val="32"/>
          <w:lang w:val="en-US" w:eastAsia="zh-CN"/>
        </w:rPr>
        <w:t>100</w:t>
      </w:r>
      <w:r>
        <w:rPr>
          <w:rFonts w:hint="eastAsia" w:ascii="仿宋" w:hAnsi="仿宋" w:eastAsia="仿宋" w:cs="宋体"/>
          <w:snapToGrid w:val="0"/>
          <w:color w:val="auto"/>
          <w:kern w:val="0"/>
          <w:sz w:val="32"/>
          <w:szCs w:val="32"/>
        </w:rPr>
        <w:t>万元</w:t>
      </w:r>
      <w:r>
        <w:rPr>
          <w:rFonts w:hint="eastAsia" w:ascii="仿宋" w:hAnsi="仿宋" w:eastAsia="仿宋" w:cs="宋体"/>
          <w:snapToGrid w:val="0"/>
          <w:color w:val="auto"/>
          <w:kern w:val="0"/>
          <w:sz w:val="32"/>
          <w:szCs w:val="32"/>
          <w:lang w:eastAsia="zh-CN"/>
        </w:rPr>
        <w:t>以内，</w:t>
      </w:r>
      <w:r>
        <w:rPr>
          <w:rFonts w:hint="eastAsia" w:ascii="仿宋" w:hAnsi="仿宋" w:eastAsia="仿宋" w:cs="宋体"/>
          <w:snapToGrid w:val="0"/>
          <w:color w:val="auto"/>
          <w:kern w:val="0"/>
          <w:sz w:val="32"/>
          <w:szCs w:val="32"/>
          <w:lang w:val="en-US" w:eastAsia="zh-CN"/>
        </w:rPr>
        <w:t>由</w:t>
      </w:r>
      <w:r>
        <w:rPr>
          <w:rFonts w:hint="eastAsia" w:ascii="仿宋" w:hAnsi="仿宋" w:eastAsia="仿宋" w:cs="宋体"/>
          <w:snapToGrid w:val="0"/>
          <w:color w:val="auto"/>
          <w:kern w:val="0"/>
          <w:sz w:val="32"/>
          <w:szCs w:val="32"/>
        </w:rPr>
        <w:t>生态新区财政金融审计局</w:t>
      </w:r>
      <w:r>
        <w:rPr>
          <w:rFonts w:hint="eastAsia" w:ascii="仿宋" w:hAnsi="仿宋" w:eastAsia="仿宋" w:cs="宋体"/>
          <w:snapToGrid w:val="0"/>
          <w:color w:val="auto"/>
          <w:kern w:val="0"/>
          <w:sz w:val="32"/>
          <w:szCs w:val="32"/>
          <w:lang w:eastAsia="zh-CN"/>
        </w:rPr>
        <w:t>审核</w:t>
      </w:r>
      <w:r>
        <w:rPr>
          <w:rFonts w:hint="eastAsia" w:ascii="仿宋" w:hAnsi="仿宋" w:eastAsia="仿宋" w:cs="宋体"/>
          <w:snapToGrid w:val="0"/>
          <w:color w:val="auto"/>
          <w:kern w:val="0"/>
          <w:sz w:val="32"/>
          <w:szCs w:val="32"/>
          <w:lang w:val="en-US" w:eastAsia="zh-CN"/>
        </w:rPr>
        <w:t>相关文件及工程预算后即可实施</w:t>
      </w:r>
      <w:r>
        <w:rPr>
          <w:rFonts w:hint="eastAsia" w:ascii="仿宋" w:hAnsi="仿宋" w:eastAsia="仿宋" w:cs="宋体"/>
          <w:snapToGrid w:val="0"/>
          <w:color w:val="auto"/>
          <w:kern w:val="0"/>
          <w:sz w:val="32"/>
          <w:szCs w:val="32"/>
          <w:lang w:eastAsia="zh-CN"/>
        </w:rPr>
        <w:t>；工程在</w:t>
      </w:r>
      <w:r>
        <w:rPr>
          <w:rFonts w:hint="eastAsia" w:ascii="仿宋" w:hAnsi="仿宋" w:eastAsia="仿宋" w:cs="宋体"/>
          <w:snapToGrid w:val="0"/>
          <w:color w:val="auto"/>
          <w:kern w:val="0"/>
          <w:sz w:val="32"/>
          <w:szCs w:val="32"/>
          <w:lang w:val="en-US" w:eastAsia="zh-CN"/>
        </w:rPr>
        <w:t>100万元（含100万元）~400万元以内，由</w:t>
      </w:r>
      <w:r>
        <w:rPr>
          <w:rFonts w:hint="eastAsia" w:ascii="仿宋" w:hAnsi="仿宋" w:eastAsia="仿宋" w:cs="宋体"/>
          <w:snapToGrid w:val="0"/>
          <w:color w:val="auto"/>
          <w:kern w:val="0"/>
          <w:sz w:val="32"/>
          <w:szCs w:val="32"/>
        </w:rPr>
        <w:t>生态新区财政金融审计局</w:t>
      </w:r>
      <w:r>
        <w:rPr>
          <w:rFonts w:hint="eastAsia" w:ascii="仿宋" w:hAnsi="仿宋" w:eastAsia="仿宋" w:cs="宋体"/>
          <w:snapToGrid w:val="0"/>
          <w:color w:val="auto"/>
          <w:kern w:val="0"/>
          <w:sz w:val="32"/>
          <w:szCs w:val="32"/>
          <w:lang w:val="en-US" w:eastAsia="zh-CN"/>
        </w:rPr>
        <w:t>核定招标控制价后进行招标；工程在400万元以上（含400万元），由</w:t>
      </w:r>
      <w:r>
        <w:rPr>
          <w:rFonts w:hint="eastAsia" w:ascii="仿宋" w:hAnsi="仿宋" w:eastAsia="仿宋" w:cs="宋体"/>
          <w:snapToGrid w:val="0"/>
          <w:color w:val="auto"/>
          <w:kern w:val="0"/>
          <w:sz w:val="32"/>
          <w:szCs w:val="32"/>
        </w:rPr>
        <w:t>生态新区财政金融审计局</w:t>
      </w:r>
      <w:r>
        <w:rPr>
          <w:rFonts w:hint="eastAsia" w:ascii="仿宋" w:hAnsi="仿宋" w:eastAsia="仿宋" w:cs="宋体"/>
          <w:snapToGrid w:val="0"/>
          <w:color w:val="auto"/>
          <w:kern w:val="0"/>
          <w:sz w:val="32"/>
          <w:szCs w:val="32"/>
          <w:lang w:val="en-US" w:eastAsia="zh-CN"/>
        </w:rPr>
        <w:t>联合市财政评审中心核定招标控制价后，进</w:t>
      </w:r>
      <w:r>
        <w:rPr>
          <w:rFonts w:hint="eastAsia" w:ascii="仿宋" w:hAnsi="仿宋" w:eastAsia="仿宋" w:cs="宋体"/>
          <w:snapToGrid w:val="0"/>
          <w:color w:val="auto"/>
          <w:kern w:val="0"/>
          <w:sz w:val="32"/>
          <w:szCs w:val="32"/>
        </w:rPr>
        <w:t>行</w:t>
      </w:r>
      <w:r>
        <w:rPr>
          <w:rFonts w:hint="eastAsia" w:ascii="仿宋" w:hAnsi="仿宋" w:eastAsia="仿宋" w:cs="宋体"/>
          <w:snapToGrid w:val="0"/>
          <w:color w:val="auto"/>
          <w:kern w:val="0"/>
          <w:sz w:val="32"/>
          <w:szCs w:val="32"/>
          <w:lang w:eastAsia="zh-CN"/>
        </w:rPr>
        <w:t>公开</w:t>
      </w:r>
      <w:r>
        <w:rPr>
          <w:rFonts w:hint="eastAsia" w:ascii="仿宋" w:hAnsi="仿宋" w:eastAsia="仿宋" w:cs="宋体"/>
          <w:snapToGrid w:val="0"/>
          <w:color w:val="auto"/>
          <w:kern w:val="0"/>
          <w:sz w:val="32"/>
          <w:szCs w:val="32"/>
        </w:rPr>
        <w:t>招标</w:t>
      </w:r>
      <w:r>
        <w:rPr>
          <w:rFonts w:hint="eastAsia" w:ascii="仿宋" w:hAnsi="仿宋" w:eastAsia="仿宋" w:cs="宋体"/>
          <w:snapToGrid w:val="0"/>
          <w:color w:val="auto"/>
          <w:kern w:val="0"/>
          <w:sz w:val="32"/>
          <w:szCs w:val="32"/>
          <w:lang w:eastAsia="zh-CN"/>
        </w:rPr>
        <w:t>。</w:t>
      </w:r>
      <w:r>
        <w:rPr>
          <w:rFonts w:hint="eastAsia" w:ascii="仿宋" w:hAnsi="仿宋" w:eastAsia="仿宋" w:cs="宋体"/>
          <w:snapToGrid w:val="0"/>
          <w:color w:val="auto"/>
          <w:kern w:val="0"/>
          <w:sz w:val="32"/>
          <w:szCs w:val="32"/>
        </w:rPr>
        <w:t>在项目开工申请资金时，按5％-30%预拨工程款作为启动资金；在工程建设期间申请工程款，需</w:t>
      </w:r>
      <w:r>
        <w:rPr>
          <w:rFonts w:hint="eastAsia" w:ascii="仿宋" w:hAnsi="仿宋" w:eastAsia="仿宋" w:cs="宋体"/>
          <w:snapToGrid w:val="0"/>
          <w:color w:val="auto"/>
          <w:kern w:val="0"/>
          <w:sz w:val="32"/>
          <w:szCs w:val="32"/>
          <w:lang w:val="en-US" w:eastAsia="zh-CN"/>
        </w:rPr>
        <w:t>报送</w:t>
      </w:r>
      <w:r>
        <w:rPr>
          <w:rFonts w:hint="eastAsia" w:ascii="仿宋" w:hAnsi="仿宋" w:eastAsia="仿宋" w:cs="宋体"/>
          <w:snapToGrid w:val="0"/>
          <w:color w:val="auto"/>
          <w:kern w:val="0"/>
          <w:sz w:val="32"/>
          <w:szCs w:val="32"/>
        </w:rPr>
        <w:t>生态新区财政金融审计局评审工程进度，按工程进度拨付财政专项资金，累计拨付的资金不得超过工程造价或投资计划的80％；工程完工后预留5％工程质量保证金；工程竣工后，</w:t>
      </w:r>
      <w:r>
        <w:rPr>
          <w:rFonts w:hint="eastAsia" w:ascii="仿宋" w:hAnsi="仿宋" w:eastAsia="仿宋" w:cs="宋体"/>
          <w:snapToGrid w:val="0"/>
          <w:color w:val="auto"/>
          <w:kern w:val="0"/>
          <w:sz w:val="32"/>
          <w:szCs w:val="32"/>
          <w:lang w:val="en-US" w:eastAsia="zh-CN"/>
        </w:rPr>
        <w:t>由工程管理部门及相关监管部门对工程项目进行验收，</w:t>
      </w:r>
      <w:r>
        <w:rPr>
          <w:rFonts w:hint="eastAsia" w:ascii="仿宋" w:hAnsi="仿宋" w:eastAsia="仿宋" w:cs="宋体"/>
          <w:snapToGrid w:val="0"/>
          <w:color w:val="auto"/>
          <w:kern w:val="0"/>
          <w:sz w:val="32"/>
          <w:szCs w:val="32"/>
        </w:rPr>
        <w:t>验收合格</w:t>
      </w:r>
      <w:r>
        <w:rPr>
          <w:rFonts w:hint="eastAsia" w:ascii="仿宋" w:hAnsi="仿宋" w:eastAsia="仿宋" w:cs="宋体"/>
          <w:snapToGrid w:val="0"/>
          <w:color w:val="auto"/>
          <w:kern w:val="0"/>
          <w:sz w:val="32"/>
          <w:szCs w:val="32"/>
          <w:lang w:val="en-US" w:eastAsia="zh-CN"/>
        </w:rPr>
        <w:t>后方可进行工程结算。工程保质期满后，</w:t>
      </w:r>
      <w:r>
        <w:rPr>
          <w:rFonts w:hint="eastAsia" w:ascii="仿宋" w:hAnsi="仿宋" w:eastAsia="仿宋" w:cs="宋体"/>
          <w:snapToGrid w:val="0"/>
          <w:color w:val="auto"/>
          <w:kern w:val="0"/>
          <w:sz w:val="32"/>
          <w:szCs w:val="32"/>
        </w:rPr>
        <w:t>按合同规定拨付5％工程质量保证金，工程质量如出现问题，将5％工程质量保证金转做维修费，并按合同、协议的相关规定进行处置。疾病防治、救灾、救济资金，依据疫情、灾情情况，原则上按实际需要拨付，特殊情况可一次性拨付到位。其它方面的专项资金，依据实际需要和财政资金调度情况，据实拨付。</w:t>
      </w:r>
    </w:p>
    <w:p>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二十八</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属于报账的专项资金，项目单位依据项目资金使用情况，提出拨款申请，并填报资金使用费用表及提供相关合法票据，经生态新区财政金融审计局审验合格，按程序报生态新区领导签批后，再予以拨付。对下列情况，生态新区财政部门不予</w:t>
      </w:r>
      <w:r>
        <w:rPr>
          <w:rFonts w:hint="eastAsia" w:ascii="仿宋" w:hAnsi="仿宋" w:eastAsia="仿宋" w:cs="宋体"/>
          <w:snapToGrid w:val="0"/>
          <w:color w:val="auto"/>
          <w:kern w:val="0"/>
          <w:sz w:val="32"/>
          <w:szCs w:val="32"/>
          <w:lang w:eastAsia="zh-CN"/>
        </w:rPr>
        <w:t>报账</w:t>
      </w:r>
      <w:r>
        <w:rPr>
          <w:rFonts w:hint="eastAsia" w:ascii="仿宋" w:hAnsi="仿宋" w:eastAsia="仿宋" w:cs="宋体"/>
          <w:snapToGrid w:val="0"/>
          <w:color w:val="auto"/>
          <w:kern w:val="0"/>
          <w:sz w:val="32"/>
          <w:szCs w:val="32"/>
        </w:rPr>
        <w:t xml:space="preserve">及决算批复:  </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snapToGrid w:val="0"/>
          <w:color w:val="auto"/>
          <w:kern w:val="0"/>
          <w:sz w:val="32"/>
          <w:szCs w:val="32"/>
        </w:rPr>
        <w:t>1、按照资金计划分配指标超额支出的。</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snapToGrid w:val="0"/>
          <w:color w:val="auto"/>
          <w:kern w:val="0"/>
          <w:sz w:val="32"/>
          <w:szCs w:val="32"/>
        </w:rPr>
        <w:t>2、不按要求提供有效文件和</w:t>
      </w:r>
      <w:r>
        <w:rPr>
          <w:rFonts w:hint="eastAsia" w:ascii="仿宋" w:hAnsi="仿宋" w:eastAsia="仿宋" w:cs="宋体"/>
          <w:snapToGrid w:val="0"/>
          <w:color w:val="auto"/>
          <w:kern w:val="0"/>
          <w:sz w:val="32"/>
          <w:szCs w:val="32"/>
          <w:lang w:eastAsia="zh-CN"/>
        </w:rPr>
        <w:t>报账</w:t>
      </w:r>
      <w:r>
        <w:rPr>
          <w:rFonts w:hint="eastAsia" w:ascii="仿宋" w:hAnsi="仿宋" w:eastAsia="仿宋" w:cs="宋体"/>
          <w:snapToGrid w:val="0"/>
          <w:color w:val="auto"/>
          <w:kern w:val="0"/>
          <w:sz w:val="32"/>
          <w:szCs w:val="32"/>
        </w:rPr>
        <w:t>凭证的。</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snapToGrid w:val="0"/>
          <w:color w:val="auto"/>
          <w:kern w:val="0"/>
          <w:sz w:val="32"/>
          <w:szCs w:val="32"/>
        </w:rPr>
        <w:t xml:space="preserve">3、项目单位及责任人没有审签的。  </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snapToGrid w:val="0"/>
          <w:color w:val="auto"/>
          <w:kern w:val="0"/>
          <w:sz w:val="32"/>
          <w:szCs w:val="32"/>
        </w:rPr>
        <w:t xml:space="preserve">4、虚报项目，套取专项资金的。  </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snapToGrid w:val="0"/>
          <w:color w:val="auto"/>
          <w:kern w:val="0"/>
          <w:sz w:val="32"/>
          <w:szCs w:val="32"/>
        </w:rPr>
        <w:t>5、其他违反国家法律、法规和规定支出的。</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二十九</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生态新区财政金融审计局对专项资金实行全方位全过程的监管，并不定期对项目单位进行专项资金的检查，检查后将结果上报生态新区领导。</w:t>
      </w:r>
    </w:p>
    <w:p>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三十</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生态新区财政金融审计局要参与项目立项审批到工程预算、项目完工验收的全过程，严格依据相关规定管理、拨付专项资金。对于建设性工程项目，第一次拨款前要严格审核项目单位提供的资料，做到手续完备、程序合规。在下一次拨款前，要组织专人对项目进展和资金使用情况进行实地勘察和检查验收。发现项目实施或资金使用不符合相关规定的，立即停拨资金，并将情况报告生态新区领导。</w:t>
      </w: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宋体"/>
          <w:color w:val="auto"/>
          <w:kern w:val="0"/>
          <w:sz w:val="32"/>
          <w:szCs w:val="32"/>
        </w:rPr>
      </w:pPr>
      <w:r>
        <w:rPr>
          <w:rFonts w:hint="eastAsia" w:ascii="楷体" w:hAnsi="楷体" w:eastAsia="楷体" w:cs="宋体"/>
          <w:b/>
          <w:snapToGrid w:val="0"/>
          <w:color w:val="auto"/>
          <w:kern w:val="0"/>
          <w:sz w:val="32"/>
          <w:szCs w:val="32"/>
        </w:rPr>
        <w:t>第</w:t>
      </w:r>
      <w:r>
        <w:rPr>
          <w:rFonts w:hint="eastAsia" w:ascii="楷体" w:hAnsi="楷体" w:eastAsia="楷体" w:cs="宋体"/>
          <w:b/>
          <w:snapToGrid w:val="0"/>
          <w:color w:val="auto"/>
          <w:kern w:val="0"/>
          <w:sz w:val="32"/>
          <w:szCs w:val="32"/>
          <w:lang w:val="en-US" w:eastAsia="zh-CN"/>
        </w:rPr>
        <w:t>三十一</w:t>
      </w:r>
      <w:r>
        <w:rPr>
          <w:rFonts w:hint="eastAsia" w:ascii="楷体" w:hAnsi="楷体" w:eastAsia="楷体" w:cs="宋体"/>
          <w:b/>
          <w:snapToGrid w:val="0"/>
          <w:color w:val="auto"/>
          <w:kern w:val="0"/>
          <w:sz w:val="32"/>
          <w:szCs w:val="32"/>
        </w:rPr>
        <w:t>条</w:t>
      </w:r>
      <w:r>
        <w:rPr>
          <w:rFonts w:hint="eastAsia" w:ascii="仿宋" w:hAnsi="仿宋" w:eastAsia="仿宋" w:cs="宋体"/>
          <w:snapToGrid w:val="0"/>
          <w:color w:val="auto"/>
          <w:kern w:val="0"/>
          <w:sz w:val="32"/>
          <w:szCs w:val="32"/>
        </w:rPr>
        <w:t xml:space="preserve"> 本办法未尽事宜，按国家法律法规及有关规定执行。</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0"/>
        <w:rPr>
          <w:rFonts w:ascii="仿宋" w:hAnsi="宋体" w:eastAsia="仿宋" w:cs="宋体"/>
          <w:snapToGrid w:val="0"/>
          <w:color w:val="auto"/>
          <w:kern w:val="0"/>
          <w:sz w:val="32"/>
          <w:szCs w:val="32"/>
        </w:rPr>
      </w:pPr>
      <w:bookmarkStart w:id="142" w:name="_Toc15928"/>
      <w:bookmarkStart w:id="143" w:name="_Toc19014"/>
      <w:bookmarkStart w:id="144" w:name="_Toc31344"/>
      <w:bookmarkStart w:id="145" w:name="_Toc15203"/>
      <w:bookmarkStart w:id="146" w:name="_Toc19520"/>
      <w:bookmarkStart w:id="147" w:name="_Toc5801"/>
      <w:r>
        <w:rPr>
          <w:rFonts w:hint="eastAsia" w:ascii="仿宋" w:hAnsi="仿宋" w:eastAsia="仿宋" w:cs="宋体"/>
          <w:snapToGrid w:val="0"/>
          <w:color w:val="auto"/>
          <w:kern w:val="0"/>
          <w:sz w:val="32"/>
          <w:szCs w:val="32"/>
        </w:rPr>
        <w:t>附件：1、白城市生态新区财政金融审计局专项资金拨付申请表。</w:t>
      </w:r>
      <w:bookmarkEnd w:id="142"/>
      <w:bookmarkEnd w:id="143"/>
      <w:bookmarkEnd w:id="144"/>
      <w:bookmarkEnd w:id="145"/>
      <w:bookmarkEnd w:id="146"/>
      <w:bookmarkEnd w:id="147"/>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宋体"/>
          <w:color w:val="auto"/>
          <w:kern w:val="0"/>
          <w:sz w:val="24"/>
        </w:rPr>
      </w:pPr>
      <w:r>
        <w:rPr>
          <w:rFonts w:hint="eastAsia" w:ascii="仿宋" w:hAnsi="仿宋" w:eastAsia="仿宋" w:cs="宋体"/>
          <w:snapToGrid w:val="0"/>
          <w:color w:val="auto"/>
          <w:kern w:val="0"/>
          <w:sz w:val="32"/>
          <w:szCs w:val="32"/>
        </w:rPr>
        <w:t xml:space="preserve">      2、白城市生态新区财政金融审计局专项资金告知通知书。</w:t>
      </w:r>
    </w:p>
    <w:p>
      <w:pPr>
        <w:widowControl/>
        <w:spacing w:line="288" w:lineRule="atLeast"/>
        <w:rPr>
          <w:rFonts w:hint="eastAsia" w:hAnsi="宋体" w:eastAsia="仿宋_GB2312" w:cs="宋体"/>
          <w:b/>
          <w:color w:val="auto"/>
          <w:kern w:val="0"/>
          <w:sz w:val="44"/>
          <w:szCs w:val="44"/>
        </w:rPr>
      </w:pPr>
      <w:r>
        <w:rPr>
          <w:rFonts w:hint="eastAsia" w:hAnsi="宋体" w:eastAsia="仿宋_GB2312" w:cs="宋体"/>
          <w:b/>
          <w:color w:val="auto"/>
          <w:kern w:val="0"/>
          <w:sz w:val="44"/>
          <w:szCs w:val="44"/>
        </w:rPr>
        <w:t xml:space="preserve">    </w:t>
      </w: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rPr>
          <w:rFonts w:hint="eastAsia" w:hAnsi="宋体" w:eastAsia="仿宋_GB2312" w:cs="宋体"/>
          <w:b/>
          <w:color w:val="auto"/>
          <w:kern w:val="0"/>
          <w:sz w:val="44"/>
          <w:szCs w:val="44"/>
        </w:rPr>
      </w:pPr>
    </w:p>
    <w:p>
      <w:pPr>
        <w:widowControl/>
        <w:spacing w:line="288" w:lineRule="atLeast"/>
        <w:ind w:firstLine="472" w:firstLineChars="147"/>
        <w:rPr>
          <w:rFonts w:hint="eastAsia" w:ascii="宋体" w:hAnsi="宋体" w:cs="宋体"/>
          <w:b/>
          <w:color w:val="auto"/>
          <w:kern w:val="0"/>
          <w:sz w:val="32"/>
          <w:szCs w:val="32"/>
        </w:rPr>
      </w:pPr>
    </w:p>
    <w:p>
      <w:pPr>
        <w:widowControl/>
        <w:spacing w:line="288" w:lineRule="atLeast"/>
        <w:ind w:firstLine="472" w:firstLineChars="147"/>
        <w:rPr>
          <w:rFonts w:hint="eastAsia" w:ascii="宋体" w:hAnsi="宋体" w:cs="宋体"/>
          <w:b/>
          <w:color w:val="auto"/>
          <w:kern w:val="0"/>
          <w:sz w:val="32"/>
          <w:szCs w:val="32"/>
        </w:rPr>
      </w:pPr>
    </w:p>
    <w:p>
      <w:pPr>
        <w:widowControl/>
        <w:spacing w:line="288" w:lineRule="atLeast"/>
        <w:ind w:firstLine="472" w:firstLineChars="147"/>
        <w:rPr>
          <w:rFonts w:ascii="宋体" w:hAnsi="宋体" w:cs="宋体"/>
          <w:color w:val="auto"/>
          <w:kern w:val="0"/>
          <w:sz w:val="32"/>
          <w:szCs w:val="32"/>
        </w:rPr>
      </w:pPr>
      <w:r>
        <w:rPr>
          <w:rFonts w:hint="eastAsia" w:ascii="宋体" w:hAnsi="宋体" w:cs="宋体"/>
          <w:b/>
          <w:color w:val="auto"/>
          <w:kern w:val="0"/>
          <w:sz w:val="32"/>
          <w:szCs w:val="32"/>
        </w:rPr>
        <w:t>白城市生态新区财政金融审计局专项资金拨付申请表</w:t>
      </w:r>
    </w:p>
    <w:p>
      <w:pPr>
        <w:widowControl/>
        <w:spacing w:line="288" w:lineRule="atLeast"/>
        <w:jc w:val="right"/>
        <w:rPr>
          <w:rFonts w:ascii="宋体" w:hAnsi="宋体" w:cs="宋体"/>
          <w:color w:val="auto"/>
          <w:kern w:val="0"/>
          <w:sz w:val="24"/>
        </w:rPr>
      </w:pPr>
      <w:r>
        <w:rPr>
          <w:color w:val="auto"/>
          <w:kern w:val="0"/>
          <w:sz w:val="10"/>
          <w:szCs w:val="10"/>
        </w:rPr>
        <w:t> </w:t>
      </w:r>
    </w:p>
    <w:p>
      <w:pPr>
        <w:widowControl/>
        <w:spacing w:line="288" w:lineRule="atLeast"/>
        <w:jc w:val="left"/>
        <w:rPr>
          <w:rFonts w:hint="eastAsia" w:hAnsi="宋体" w:eastAsia="仿宋_GB2312" w:cs="宋体"/>
          <w:color w:val="auto"/>
          <w:kern w:val="0"/>
          <w:sz w:val="24"/>
        </w:rPr>
      </w:pPr>
    </w:p>
    <w:p>
      <w:pPr>
        <w:widowControl/>
        <w:spacing w:line="288" w:lineRule="atLeast"/>
        <w:jc w:val="left"/>
        <w:rPr>
          <w:rFonts w:hint="eastAsia" w:hAnsi="宋体" w:eastAsia="仿宋_GB2312" w:cs="宋体"/>
          <w:color w:val="auto"/>
          <w:kern w:val="0"/>
          <w:sz w:val="24"/>
        </w:rPr>
      </w:pPr>
    </w:p>
    <w:p>
      <w:pPr>
        <w:widowControl/>
        <w:spacing w:line="288" w:lineRule="atLeast"/>
        <w:jc w:val="left"/>
        <w:rPr>
          <w:rFonts w:ascii="宋体" w:hAnsi="宋体" w:cs="宋体"/>
          <w:color w:val="auto"/>
          <w:kern w:val="0"/>
          <w:sz w:val="24"/>
        </w:rPr>
      </w:pPr>
      <w:r>
        <w:rPr>
          <w:rFonts w:hint="eastAsia" w:hAnsi="宋体" w:eastAsia="仿宋_GB2312" w:cs="宋体"/>
          <w:color w:val="auto"/>
          <w:kern w:val="0"/>
          <w:sz w:val="24"/>
        </w:rPr>
        <w:t>项目单位（盖章）</w:t>
      </w:r>
      <w:r>
        <w:rPr>
          <w:color w:val="auto"/>
          <w:kern w:val="0"/>
          <w:sz w:val="24"/>
        </w:rPr>
        <w:t xml:space="preserve">                                           </w:t>
      </w:r>
    </w:p>
    <w:tbl>
      <w:tblPr>
        <w:tblStyle w:val="10"/>
        <w:tblW w:w="0" w:type="auto"/>
        <w:tblInd w:w="93"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42"/>
        <w:gridCol w:w="2111"/>
        <w:gridCol w:w="2422"/>
        <w:gridCol w:w="2099"/>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040" w:hRule="atLeast"/>
        </w:trPr>
        <w:tc>
          <w:tcPr>
            <w:tcW w:w="2142" w:type="dxa"/>
            <w:tcBorders>
              <w:top w:val="double" w:color="auto" w:sz="6" w:space="0"/>
              <w:left w:val="doub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项目单位名称</w:t>
            </w:r>
          </w:p>
        </w:tc>
        <w:tc>
          <w:tcPr>
            <w:tcW w:w="2111" w:type="dxa"/>
            <w:tcBorders>
              <w:top w:val="doub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c>
          <w:tcPr>
            <w:tcW w:w="2422" w:type="dxa"/>
            <w:tcBorders>
              <w:top w:val="doub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项目单位法人</w:t>
            </w:r>
          </w:p>
        </w:tc>
        <w:tc>
          <w:tcPr>
            <w:tcW w:w="2099" w:type="dxa"/>
            <w:tcBorders>
              <w:top w:val="doub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29"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单位联系电话</w:t>
            </w:r>
          </w:p>
        </w:tc>
        <w:tc>
          <w:tcPr>
            <w:tcW w:w="211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c>
          <w:tcPr>
            <w:tcW w:w="242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项</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目</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名</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称</w:t>
            </w:r>
          </w:p>
        </w:tc>
        <w:tc>
          <w:tcPr>
            <w:tcW w:w="20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基建项目是否评审</w:t>
            </w:r>
          </w:p>
        </w:tc>
        <w:tc>
          <w:tcPr>
            <w:tcW w:w="211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c>
          <w:tcPr>
            <w:tcW w:w="242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计划（概算）投资</w:t>
            </w:r>
          </w:p>
        </w:tc>
        <w:tc>
          <w:tcPr>
            <w:tcW w:w="20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10"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申请专项资金文号</w:t>
            </w:r>
          </w:p>
        </w:tc>
        <w:tc>
          <w:tcPr>
            <w:tcW w:w="211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c>
          <w:tcPr>
            <w:tcW w:w="242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专项资金金额</w:t>
            </w:r>
          </w:p>
        </w:tc>
        <w:tc>
          <w:tcPr>
            <w:tcW w:w="20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23"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已拨付金额</w:t>
            </w:r>
          </w:p>
        </w:tc>
        <w:tc>
          <w:tcPr>
            <w:tcW w:w="211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c>
          <w:tcPr>
            <w:tcW w:w="242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本次申请拨付金额</w:t>
            </w:r>
            <w:r>
              <w:rPr>
                <w:rFonts w:ascii="Courier New" w:hAnsi="Courier New" w:cs="宋体"/>
                <w:color w:val="auto"/>
                <w:kern w:val="0"/>
                <w:sz w:val="24"/>
              </w:rPr>
              <w:t> </w:t>
            </w:r>
          </w:p>
        </w:tc>
        <w:tc>
          <w:tcPr>
            <w:tcW w:w="20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560"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宋体" w:hAnsi="宋体" w:cs="宋体"/>
                <w:color w:val="auto"/>
                <w:kern w:val="0"/>
                <w:sz w:val="24"/>
              </w:rPr>
            </w:pPr>
            <w:r>
              <w:rPr>
                <w:rFonts w:hint="eastAsia" w:ascii="Courier New" w:hAnsi="Courier New" w:eastAsia="仿宋_GB2312" w:cs="宋体"/>
                <w:color w:val="auto"/>
                <w:kern w:val="0"/>
                <w:sz w:val="24"/>
              </w:rPr>
              <w:t>项目基本情况</w:t>
            </w:r>
          </w:p>
        </w:tc>
        <w:tc>
          <w:tcPr>
            <w:tcW w:w="6632" w:type="dxa"/>
            <w:gridSpan w:val="3"/>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837"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hint="eastAsia" w:ascii="Courier New" w:hAnsi="Courier New" w:eastAsia="仿宋_GB2312" w:cs="宋体"/>
                <w:color w:val="auto"/>
                <w:kern w:val="0"/>
                <w:sz w:val="24"/>
              </w:rPr>
            </w:pPr>
            <w:r>
              <w:rPr>
                <w:rFonts w:hint="eastAsia" w:ascii="Courier New" w:hAnsi="Courier New" w:eastAsia="仿宋_GB2312" w:cs="宋体"/>
                <w:color w:val="auto"/>
                <w:kern w:val="0"/>
                <w:sz w:val="24"/>
              </w:rPr>
              <w:t xml:space="preserve">生态新区财政金融审计局 </w:t>
            </w:r>
          </w:p>
          <w:p>
            <w:pPr>
              <w:widowControl/>
              <w:jc w:val="center"/>
              <w:rPr>
                <w:rFonts w:ascii="Courier New" w:hAnsi="Courier New" w:eastAsia="仿宋_GB2312" w:cs="宋体"/>
                <w:color w:val="auto"/>
                <w:kern w:val="0"/>
                <w:sz w:val="24"/>
              </w:rPr>
            </w:pPr>
            <w:r>
              <w:rPr>
                <w:rFonts w:hint="eastAsia" w:ascii="Courier New" w:hAnsi="Courier New" w:eastAsia="仿宋_GB2312" w:cs="宋体"/>
                <w:color w:val="auto"/>
                <w:kern w:val="0"/>
                <w:sz w:val="24"/>
              </w:rPr>
              <w:t xml:space="preserve"> 审核意见</w:t>
            </w:r>
          </w:p>
        </w:tc>
        <w:tc>
          <w:tcPr>
            <w:tcW w:w="6632" w:type="dxa"/>
            <w:gridSpan w:val="3"/>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xml:space="preserve">                           </w:t>
            </w:r>
          </w:p>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xml:space="preserve">                            </w:t>
            </w:r>
          </w:p>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xml:space="preserve">                           </w:t>
            </w:r>
            <w:r>
              <w:rPr>
                <w:rFonts w:hint="eastAsia" w:ascii="Courier New" w:hAnsi="Courier New" w:eastAsia="仿宋_GB2312" w:cs="宋体"/>
                <w:color w:val="auto"/>
                <w:kern w:val="0"/>
                <w:sz w:val="24"/>
              </w:rPr>
              <w:t>年</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月</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日</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837" w:hRule="atLeast"/>
        </w:trPr>
        <w:tc>
          <w:tcPr>
            <w:tcW w:w="2142"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hint="eastAsia" w:ascii="Courier New" w:hAnsi="Courier New" w:eastAsia="仿宋_GB2312" w:cs="宋体"/>
                <w:color w:val="auto"/>
                <w:kern w:val="0"/>
                <w:sz w:val="24"/>
              </w:rPr>
            </w:pPr>
            <w:r>
              <w:rPr>
                <w:rFonts w:hint="eastAsia" w:ascii="Courier New" w:hAnsi="Courier New" w:eastAsia="仿宋_GB2312" w:cs="宋体"/>
                <w:color w:val="auto"/>
                <w:kern w:val="0"/>
                <w:sz w:val="24"/>
              </w:rPr>
              <w:t>生态新区财政金融审计局</w:t>
            </w:r>
          </w:p>
          <w:p>
            <w:pPr>
              <w:widowControl/>
              <w:jc w:val="center"/>
              <w:rPr>
                <w:rFonts w:hint="eastAsia" w:ascii="Courier New" w:hAnsi="Courier New" w:eastAsia="仿宋_GB2312" w:cs="宋体"/>
                <w:color w:val="auto"/>
                <w:kern w:val="0"/>
                <w:sz w:val="24"/>
              </w:rPr>
            </w:pPr>
            <w:r>
              <w:rPr>
                <w:rFonts w:hint="eastAsia" w:ascii="Courier New" w:hAnsi="Courier New" w:eastAsia="仿宋_GB2312" w:cs="宋体"/>
                <w:color w:val="auto"/>
                <w:kern w:val="0"/>
                <w:sz w:val="24"/>
              </w:rPr>
              <w:t>局长签批</w:t>
            </w:r>
          </w:p>
        </w:tc>
        <w:tc>
          <w:tcPr>
            <w:tcW w:w="6632" w:type="dxa"/>
            <w:gridSpan w:val="3"/>
            <w:tcBorders>
              <w:top w:val="single" w:color="auto" w:sz="6" w:space="0"/>
              <w:left w:val="single" w:color="auto" w:sz="6" w:space="0"/>
              <w:bottom w:val="single" w:color="auto" w:sz="6" w:space="0"/>
              <w:right w:val="double" w:color="auto" w:sz="6" w:space="0"/>
            </w:tcBorders>
            <w:noWrap w:val="0"/>
            <w:vAlign w:val="center"/>
          </w:tcPr>
          <w:p>
            <w:pPr>
              <w:widowControl/>
              <w:jc w:val="center"/>
              <w:rPr>
                <w:rFonts w:hint="eastAsia" w:ascii="宋体" w:hAnsi="宋体" w:cs="宋体"/>
                <w:color w:val="auto"/>
                <w:kern w:val="0"/>
                <w:sz w:val="24"/>
              </w:rPr>
            </w:pPr>
            <w:r>
              <w:rPr>
                <w:rFonts w:hint="eastAsia" w:ascii="宋体" w:hAnsi="宋体" w:cs="宋体"/>
                <w:color w:val="auto"/>
                <w:kern w:val="0"/>
                <w:sz w:val="24"/>
              </w:rPr>
              <w:t xml:space="preserve">   </w:t>
            </w:r>
          </w:p>
          <w:p>
            <w:pPr>
              <w:widowControl/>
              <w:jc w:val="center"/>
              <w:rPr>
                <w:rFonts w:hint="eastAsia" w:ascii="宋体" w:hAnsi="宋体" w:cs="宋体"/>
                <w:color w:val="auto"/>
                <w:kern w:val="0"/>
                <w:sz w:val="24"/>
              </w:rPr>
            </w:pPr>
          </w:p>
          <w:p>
            <w:pPr>
              <w:widowControl/>
              <w:jc w:val="center"/>
              <w:rPr>
                <w:rFonts w:hint="eastAsia" w:ascii="宋体" w:hAnsi="宋体" w:cs="宋体"/>
                <w:color w:val="auto"/>
                <w:kern w:val="0"/>
                <w:sz w:val="24"/>
              </w:rPr>
            </w:pPr>
          </w:p>
          <w:p>
            <w:pPr>
              <w:widowControl/>
              <w:jc w:val="center"/>
              <w:rPr>
                <w:rFonts w:ascii="Courier New" w:hAnsi="Courier New" w:cs="宋体"/>
                <w:color w:val="auto"/>
                <w:kern w:val="0"/>
                <w:sz w:val="24"/>
              </w:rPr>
            </w:pPr>
            <w:r>
              <w:rPr>
                <w:rFonts w:hint="eastAsia" w:ascii="宋体" w:hAnsi="宋体" w:cs="宋体"/>
                <w:color w:val="auto"/>
                <w:kern w:val="0"/>
                <w:sz w:val="24"/>
              </w:rPr>
              <w:t xml:space="preserve">                          </w:t>
            </w:r>
            <w:r>
              <w:rPr>
                <w:rFonts w:hint="eastAsia" w:ascii="Courier New" w:hAnsi="Courier New" w:eastAsia="仿宋_GB2312" w:cs="宋体"/>
                <w:color w:val="auto"/>
                <w:kern w:val="0"/>
                <w:sz w:val="24"/>
              </w:rPr>
              <w:t>年</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月</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日</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702" w:hRule="atLeast"/>
        </w:trPr>
        <w:tc>
          <w:tcPr>
            <w:tcW w:w="2142" w:type="dxa"/>
            <w:tcBorders>
              <w:top w:val="single" w:color="auto" w:sz="6" w:space="0"/>
              <w:left w:val="double" w:color="auto" w:sz="6" w:space="0"/>
              <w:bottom w:val="double" w:color="auto" w:sz="6" w:space="0"/>
              <w:right w:val="single" w:color="auto" w:sz="6" w:space="0"/>
            </w:tcBorders>
            <w:noWrap w:val="0"/>
            <w:vAlign w:val="center"/>
          </w:tcPr>
          <w:p>
            <w:pPr>
              <w:widowControl/>
              <w:jc w:val="center"/>
              <w:rPr>
                <w:rFonts w:hint="eastAsia" w:ascii="Courier New" w:hAnsi="Courier New" w:eastAsia="仿宋_GB2312" w:cs="宋体"/>
                <w:color w:val="auto"/>
                <w:kern w:val="0"/>
                <w:sz w:val="24"/>
              </w:rPr>
            </w:pPr>
            <w:r>
              <w:rPr>
                <w:rFonts w:hint="eastAsia" w:ascii="Courier New" w:hAnsi="Courier New" w:eastAsia="仿宋_GB2312" w:cs="宋体"/>
                <w:color w:val="auto"/>
                <w:kern w:val="0"/>
                <w:sz w:val="24"/>
              </w:rPr>
              <w:t>生态新区</w:t>
            </w:r>
          </w:p>
          <w:p>
            <w:pPr>
              <w:widowControl/>
              <w:jc w:val="center"/>
              <w:rPr>
                <w:rFonts w:hint="eastAsia" w:ascii="Courier New" w:hAnsi="Courier New" w:eastAsia="仿宋_GB2312" w:cs="宋体"/>
                <w:color w:val="auto"/>
                <w:kern w:val="0"/>
                <w:sz w:val="24"/>
              </w:rPr>
            </w:pPr>
            <w:r>
              <w:rPr>
                <w:rFonts w:hint="eastAsia" w:ascii="Courier New" w:hAnsi="Courier New" w:eastAsia="仿宋_GB2312" w:cs="宋体"/>
                <w:color w:val="auto"/>
                <w:kern w:val="0"/>
                <w:sz w:val="24"/>
              </w:rPr>
              <w:t>分管财政领导</w:t>
            </w:r>
          </w:p>
          <w:p>
            <w:pPr>
              <w:widowControl/>
              <w:jc w:val="center"/>
              <w:rPr>
                <w:rFonts w:hint="eastAsia" w:ascii="Courier New" w:hAnsi="Courier New" w:eastAsia="仿宋_GB2312" w:cs="宋体"/>
                <w:color w:val="auto"/>
                <w:kern w:val="0"/>
                <w:sz w:val="24"/>
              </w:rPr>
            </w:pPr>
            <w:r>
              <w:rPr>
                <w:rFonts w:hint="eastAsia" w:ascii="Courier New" w:hAnsi="Courier New" w:eastAsia="仿宋_GB2312" w:cs="宋体"/>
                <w:color w:val="auto"/>
                <w:kern w:val="0"/>
                <w:sz w:val="24"/>
              </w:rPr>
              <w:t>签批</w:t>
            </w:r>
          </w:p>
        </w:tc>
        <w:tc>
          <w:tcPr>
            <w:tcW w:w="6632" w:type="dxa"/>
            <w:gridSpan w:val="3"/>
            <w:tcBorders>
              <w:top w:val="single" w:color="auto" w:sz="6" w:space="0"/>
              <w:left w:val="single" w:color="auto" w:sz="6" w:space="0"/>
              <w:bottom w:val="double" w:color="auto" w:sz="6" w:space="0"/>
              <w:right w:val="double" w:color="auto" w:sz="6" w:space="0"/>
            </w:tcBorders>
            <w:noWrap w:val="0"/>
            <w:vAlign w:val="center"/>
          </w:tcPr>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w:t>
            </w:r>
          </w:p>
          <w:p>
            <w:pPr>
              <w:widowControl/>
              <w:jc w:val="center"/>
              <w:rPr>
                <w:rFonts w:ascii="宋体" w:hAnsi="宋体" w:cs="宋体"/>
                <w:color w:val="auto"/>
                <w:kern w:val="0"/>
                <w:sz w:val="24"/>
              </w:rPr>
            </w:pPr>
            <w:r>
              <w:rPr>
                <w:rFonts w:ascii="Courier New" w:hAnsi="Courier New" w:cs="宋体"/>
                <w:color w:val="auto"/>
                <w:kern w:val="0"/>
                <w:sz w:val="24"/>
              </w:rPr>
              <w:t xml:space="preserve">                               </w:t>
            </w:r>
          </w:p>
          <w:p>
            <w:pPr>
              <w:widowControl/>
              <w:jc w:val="center"/>
              <w:rPr>
                <w:rFonts w:ascii="Courier New" w:hAnsi="Courier New" w:cs="宋体"/>
                <w:color w:val="auto"/>
                <w:kern w:val="0"/>
                <w:sz w:val="24"/>
              </w:rPr>
            </w:pPr>
            <w:r>
              <w:rPr>
                <w:rFonts w:ascii="Courier New" w:hAnsi="Courier New" w:cs="宋体"/>
                <w:color w:val="auto"/>
                <w:kern w:val="0"/>
                <w:sz w:val="24"/>
              </w:rPr>
              <w:t xml:space="preserve">                            </w:t>
            </w:r>
            <w:r>
              <w:rPr>
                <w:rFonts w:hint="eastAsia" w:ascii="Courier New" w:hAnsi="Courier New" w:eastAsia="仿宋_GB2312" w:cs="宋体"/>
                <w:color w:val="auto"/>
                <w:kern w:val="0"/>
                <w:sz w:val="24"/>
              </w:rPr>
              <w:t>年</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月</w:t>
            </w:r>
            <w:r>
              <w:rPr>
                <w:rFonts w:ascii="Courier New" w:hAnsi="Courier New" w:cs="宋体"/>
                <w:color w:val="auto"/>
                <w:kern w:val="0"/>
                <w:sz w:val="24"/>
              </w:rPr>
              <w:t xml:space="preserve">    </w:t>
            </w:r>
            <w:r>
              <w:rPr>
                <w:rFonts w:hint="eastAsia" w:ascii="Courier New" w:hAnsi="Courier New" w:eastAsia="仿宋_GB2312" w:cs="宋体"/>
                <w:color w:val="auto"/>
                <w:kern w:val="0"/>
                <w:sz w:val="24"/>
              </w:rPr>
              <w:t>日</w:t>
            </w:r>
          </w:p>
        </w:tc>
      </w:tr>
    </w:tbl>
    <w:p>
      <w:pPr>
        <w:widowControl/>
        <w:spacing w:line="288" w:lineRule="atLeast"/>
        <w:ind w:firstLine="643" w:firstLineChars="200"/>
        <w:rPr>
          <w:rFonts w:ascii="宋体" w:hAnsi="宋体" w:cs="宋体"/>
          <w:color w:val="auto"/>
          <w:kern w:val="0"/>
          <w:sz w:val="32"/>
          <w:szCs w:val="32"/>
        </w:rPr>
      </w:pPr>
      <w:r>
        <w:rPr>
          <w:rFonts w:hint="eastAsia" w:ascii="宋体" w:hAnsi="宋体" w:cs="宋体"/>
          <w:b/>
          <w:color w:val="auto"/>
          <w:kern w:val="0"/>
          <w:sz w:val="32"/>
          <w:szCs w:val="32"/>
        </w:rPr>
        <w:t>白城市生态新区财政金融审计局专项资金告知通知书</w:t>
      </w:r>
    </w:p>
    <w:tbl>
      <w:tblPr>
        <w:tblStyle w:val="10"/>
        <w:tblW w:w="8878" w:type="dxa"/>
        <w:tblInd w:w="93"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10"/>
        <w:gridCol w:w="2306"/>
        <w:gridCol w:w="2263"/>
        <w:gridCol w:w="2499"/>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1810" w:type="dxa"/>
            <w:tcBorders>
              <w:top w:val="double" w:color="auto" w:sz="6" w:space="0"/>
              <w:left w:val="doub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项目单位名称</w:t>
            </w:r>
            <w:r>
              <w:rPr>
                <w:rFonts w:ascii="仿宋" w:hAnsi="仿宋" w:eastAsia="仿宋"/>
                <w:color w:val="auto"/>
                <w:kern w:val="0"/>
                <w:sz w:val="24"/>
              </w:rPr>
              <w:t xml:space="preserve">                               </w:t>
            </w:r>
          </w:p>
        </w:tc>
        <w:tc>
          <w:tcPr>
            <w:tcW w:w="2306" w:type="dxa"/>
            <w:tcBorders>
              <w:top w:val="doub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c>
          <w:tcPr>
            <w:tcW w:w="2263" w:type="dxa"/>
            <w:tcBorders>
              <w:top w:val="doub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项</w:t>
            </w:r>
            <w:r>
              <w:rPr>
                <w:rFonts w:ascii="仿宋" w:hAnsi="仿宋" w:eastAsia="仿宋" w:cs="宋体"/>
                <w:color w:val="auto"/>
                <w:kern w:val="0"/>
                <w:sz w:val="24"/>
              </w:rPr>
              <w:t xml:space="preserve">  </w:t>
            </w:r>
            <w:r>
              <w:rPr>
                <w:rFonts w:hint="eastAsia" w:ascii="仿宋" w:hAnsi="仿宋" w:eastAsia="仿宋" w:cs="宋体"/>
                <w:color w:val="auto"/>
                <w:kern w:val="0"/>
                <w:sz w:val="24"/>
              </w:rPr>
              <w:t>目</w:t>
            </w:r>
            <w:r>
              <w:rPr>
                <w:rFonts w:ascii="仿宋" w:hAnsi="仿宋" w:eastAsia="仿宋" w:cs="宋体"/>
                <w:color w:val="auto"/>
                <w:kern w:val="0"/>
                <w:sz w:val="24"/>
              </w:rPr>
              <w:t xml:space="preserve"> </w:t>
            </w:r>
            <w:r>
              <w:rPr>
                <w:rFonts w:hint="eastAsia" w:ascii="仿宋" w:hAnsi="仿宋" w:eastAsia="仿宋" w:cs="宋体"/>
                <w:color w:val="auto"/>
                <w:kern w:val="0"/>
                <w:sz w:val="24"/>
              </w:rPr>
              <w:t>名</w:t>
            </w:r>
            <w:r>
              <w:rPr>
                <w:rFonts w:ascii="仿宋" w:hAnsi="仿宋" w:eastAsia="仿宋" w:cs="宋体"/>
                <w:color w:val="auto"/>
                <w:kern w:val="0"/>
                <w:sz w:val="24"/>
              </w:rPr>
              <w:t xml:space="preserve"> </w:t>
            </w:r>
            <w:r>
              <w:rPr>
                <w:rFonts w:hint="eastAsia" w:ascii="仿宋" w:hAnsi="仿宋" w:eastAsia="仿宋" w:cs="宋体"/>
                <w:color w:val="auto"/>
                <w:kern w:val="0"/>
                <w:sz w:val="24"/>
              </w:rPr>
              <w:t>称</w:t>
            </w:r>
          </w:p>
        </w:tc>
        <w:tc>
          <w:tcPr>
            <w:tcW w:w="2499" w:type="dxa"/>
            <w:tcBorders>
              <w:top w:val="double" w:color="auto" w:sz="6" w:space="0"/>
              <w:left w:val="single" w:color="auto" w:sz="6" w:space="0"/>
              <w:bottom w:val="single" w:color="auto" w:sz="6" w:space="0"/>
              <w:right w:val="doub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810"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专项资金文号</w:t>
            </w:r>
          </w:p>
        </w:tc>
        <w:tc>
          <w:tcPr>
            <w:tcW w:w="230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c>
          <w:tcPr>
            <w:tcW w:w="226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专项资金金额</w:t>
            </w:r>
          </w:p>
        </w:tc>
        <w:tc>
          <w:tcPr>
            <w:tcW w:w="24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810"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财政局经办人</w:t>
            </w:r>
          </w:p>
        </w:tc>
        <w:tc>
          <w:tcPr>
            <w:tcW w:w="230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c>
          <w:tcPr>
            <w:tcW w:w="226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财政局告知时间</w:t>
            </w:r>
          </w:p>
        </w:tc>
        <w:tc>
          <w:tcPr>
            <w:tcW w:w="24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810" w:type="dxa"/>
            <w:tcBorders>
              <w:top w:val="single" w:color="auto" w:sz="6" w:space="0"/>
              <w:left w:val="doub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通知书领取人</w:t>
            </w:r>
          </w:p>
        </w:tc>
        <w:tc>
          <w:tcPr>
            <w:tcW w:w="2306"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c>
          <w:tcPr>
            <w:tcW w:w="226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仿宋" w:hAnsi="仿宋" w:eastAsia="仿宋" w:cs="宋体"/>
                <w:color w:val="auto"/>
                <w:kern w:val="0"/>
                <w:sz w:val="24"/>
              </w:rPr>
            </w:pPr>
            <w:r>
              <w:rPr>
                <w:rFonts w:hint="eastAsia" w:ascii="仿宋" w:hAnsi="仿宋" w:eastAsia="仿宋" w:cs="宋体"/>
                <w:color w:val="auto"/>
                <w:kern w:val="0"/>
                <w:sz w:val="24"/>
              </w:rPr>
              <w:t>通知书领取时间</w:t>
            </w:r>
          </w:p>
        </w:tc>
        <w:tc>
          <w:tcPr>
            <w:tcW w:w="2499" w:type="dxa"/>
            <w:tcBorders>
              <w:top w:val="single" w:color="auto" w:sz="6" w:space="0"/>
              <w:left w:val="single" w:color="auto" w:sz="6" w:space="0"/>
              <w:bottom w:val="single" w:color="auto" w:sz="6" w:space="0"/>
              <w:right w:val="double" w:color="auto" w:sz="6" w:space="0"/>
            </w:tcBorders>
            <w:noWrap w:val="0"/>
            <w:vAlign w:val="center"/>
          </w:tcPr>
          <w:p>
            <w:pPr>
              <w:widowControl/>
              <w:jc w:val="center"/>
              <w:rPr>
                <w:rFonts w:ascii="仿宋" w:hAnsi="仿宋" w:eastAsia="仿宋" w:cs="宋体"/>
                <w:color w:val="auto"/>
                <w:kern w:val="0"/>
                <w:sz w:val="24"/>
              </w:rPr>
            </w:pPr>
            <w:r>
              <w:rPr>
                <w:rFonts w:hint="eastAsia" w:ascii="宋体" w:hAnsi="宋体" w:cs="宋体"/>
                <w:color w:val="auto"/>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6177" w:hRule="atLeast"/>
        </w:trPr>
        <w:tc>
          <w:tcPr>
            <w:tcW w:w="1810" w:type="dxa"/>
            <w:tcBorders>
              <w:top w:val="single" w:color="auto" w:sz="6" w:space="0"/>
              <w:left w:val="double" w:color="auto" w:sz="6" w:space="0"/>
              <w:bottom w:val="single" w:color="auto" w:sz="4" w:space="0"/>
              <w:right w:val="single" w:color="auto" w:sz="6" w:space="0"/>
            </w:tcBorders>
            <w:noWrap w:val="0"/>
            <w:vAlign w:val="center"/>
          </w:tcPr>
          <w:p>
            <w:pPr>
              <w:widowControl/>
              <w:jc w:val="center"/>
              <w:rPr>
                <w:rFonts w:ascii="仿宋" w:hAnsi="仿宋" w:eastAsia="仿宋" w:cs="宋体"/>
                <w:color w:val="auto"/>
                <w:kern w:val="0"/>
                <w:sz w:val="21"/>
                <w:szCs w:val="21"/>
              </w:rPr>
            </w:pPr>
            <w:r>
              <w:rPr>
                <w:rFonts w:hint="eastAsia" w:ascii="仿宋" w:hAnsi="仿宋" w:eastAsia="仿宋" w:cs="宋体"/>
                <w:color w:val="auto"/>
                <w:kern w:val="0"/>
                <w:sz w:val="21"/>
                <w:szCs w:val="21"/>
              </w:rPr>
              <w:t>项目单位需知内容</w:t>
            </w:r>
          </w:p>
        </w:tc>
        <w:tc>
          <w:tcPr>
            <w:tcW w:w="7068" w:type="dxa"/>
            <w:gridSpan w:val="3"/>
            <w:tcBorders>
              <w:top w:val="single" w:color="auto" w:sz="6" w:space="0"/>
              <w:left w:val="single" w:color="auto" w:sz="6" w:space="0"/>
              <w:bottom w:val="single" w:color="auto" w:sz="4" w:space="0"/>
              <w:right w:val="double" w:color="auto" w:sz="6" w:space="0"/>
            </w:tcBorders>
            <w:noWrap w:val="0"/>
            <w:vAlign w:val="center"/>
          </w:tcPr>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一、专项资金（基金）要实行“专人管理、专户储存、</w:t>
            </w:r>
            <w:r>
              <w:rPr>
                <w:rFonts w:hint="eastAsia" w:ascii="仿宋" w:hAnsi="仿宋" w:eastAsia="仿宋" w:cs="宋体"/>
                <w:color w:val="auto"/>
                <w:kern w:val="0"/>
                <w:sz w:val="24"/>
                <w:szCs w:val="18"/>
                <w:lang w:eastAsia="zh-CN"/>
              </w:rPr>
              <w:t>专账</w:t>
            </w:r>
            <w:r>
              <w:rPr>
                <w:rFonts w:hint="eastAsia" w:ascii="仿宋" w:hAnsi="仿宋" w:eastAsia="仿宋" w:cs="宋体"/>
                <w:color w:val="auto"/>
                <w:kern w:val="0"/>
                <w:sz w:val="24"/>
                <w:szCs w:val="18"/>
              </w:rPr>
              <w:t>核算、专款专用”。</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二、要按照《财政违法行为处罚处分条例》（中华人民共和国国务院令第427号）第九条规定：单位和个人有下列违反国家有关投资建设项目规定的行为之一的，责令改正，调整有关会计账目，追回被截留、挪用、骗取的国家建设资金，没收违法所得，核减或者停止拨付工程投资。对单位给予警告或者通报批评，其直接负责的主管人员和其他直接责任人员属于国家公务员的，给予记大过处分；情节较重的，给予降级或者撤职处分；情节严重的，给予开除处分：</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（一）截留、挪用国家建设资金；</w:t>
            </w:r>
            <w:r>
              <w:rPr>
                <w:rFonts w:hint="eastAsia" w:ascii="宋体" w:hAnsi="宋体" w:cs="宋体"/>
                <w:color w:val="auto"/>
                <w:kern w:val="0"/>
                <w:sz w:val="24"/>
                <w:szCs w:val="18"/>
              </w:rPr>
              <w:t> </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（二）以虚报、冒领、关联交易等手续骗取国家建设资金；</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（三）违反规定超概算投资；</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（四）虚列投资完成额；</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（五）其他违反国家投资建设项目有关规定的行为。</w:t>
            </w:r>
          </w:p>
          <w:p>
            <w:pPr>
              <w:widowControl/>
              <w:ind w:firstLine="120" w:firstLineChars="50"/>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《中华人民共和国政府采购法》、《中华人民共和国招标投标法》、《国家重点建设项目管理办法》等法律、行政法规另有规定的，依照其规定处理、处罚。</w:t>
            </w:r>
          </w:p>
          <w:p>
            <w:pPr>
              <w:widowControl/>
              <w:rPr>
                <w:rFonts w:ascii="仿宋" w:hAnsi="仿宋" w:eastAsia="仿宋" w:cs="宋体"/>
                <w:color w:val="auto"/>
                <w:kern w:val="0"/>
                <w:sz w:val="21"/>
                <w:szCs w:val="21"/>
              </w:rPr>
            </w:pPr>
            <w:r>
              <w:rPr>
                <w:rFonts w:hint="eastAsia" w:ascii="仿宋" w:hAnsi="仿宋" w:eastAsia="仿宋" w:cs="宋体"/>
                <w:color w:val="auto"/>
                <w:kern w:val="0"/>
                <w:sz w:val="24"/>
                <w:szCs w:val="18"/>
              </w:rPr>
              <w:t>三、新区财政金融审计局要依据此告知和承诺书，负责对项目专项资金（基金）进行全面实施检查，并将检查结果适时披露。</w:t>
            </w:r>
            <w:r>
              <w:rPr>
                <w:rFonts w:hint="eastAsia" w:ascii="宋体" w:hAnsi="宋体" w:cs="宋体"/>
                <w:color w:val="auto"/>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298" w:hRule="atLeast"/>
        </w:trPr>
        <w:tc>
          <w:tcPr>
            <w:tcW w:w="1810" w:type="dxa"/>
            <w:tcBorders>
              <w:top w:val="single" w:color="auto" w:sz="4" w:space="0"/>
              <w:left w:val="double" w:color="auto" w:sz="6" w:space="0"/>
              <w:bottom w:val="single" w:color="auto" w:sz="4" w:space="0"/>
              <w:right w:val="single" w:color="auto" w:sz="6" w:space="0"/>
            </w:tcBorders>
            <w:noWrap w:val="0"/>
            <w:vAlign w:val="center"/>
          </w:tcPr>
          <w:p>
            <w:pPr>
              <w:widowControl/>
              <w:jc w:val="center"/>
              <w:rPr>
                <w:rFonts w:ascii="仿宋" w:hAnsi="仿宋" w:eastAsia="仿宋" w:cs="宋体"/>
                <w:color w:val="auto"/>
                <w:kern w:val="0"/>
                <w:sz w:val="21"/>
                <w:szCs w:val="21"/>
              </w:rPr>
            </w:pPr>
            <w:r>
              <w:rPr>
                <w:rFonts w:hint="eastAsia" w:ascii="仿宋" w:hAnsi="仿宋" w:eastAsia="仿宋" w:cs="宋体"/>
                <w:color w:val="auto"/>
                <w:kern w:val="0"/>
                <w:sz w:val="21"/>
                <w:szCs w:val="21"/>
              </w:rPr>
              <w:t>项目单位申请资金需提供的资料</w:t>
            </w:r>
          </w:p>
        </w:tc>
        <w:tc>
          <w:tcPr>
            <w:tcW w:w="7068" w:type="dxa"/>
            <w:gridSpan w:val="3"/>
            <w:tcBorders>
              <w:top w:val="single" w:color="auto" w:sz="4" w:space="0"/>
              <w:left w:val="single" w:color="auto" w:sz="6" w:space="0"/>
              <w:bottom w:val="single" w:color="auto" w:sz="4" w:space="0"/>
              <w:right w:val="double" w:color="auto" w:sz="6" w:space="0"/>
            </w:tcBorders>
            <w:noWrap w:val="0"/>
            <w:vAlign w:val="center"/>
          </w:tcPr>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项目立项文件、可行性研究报告、工程预算书、招投标文件、工程监理及施工合同、基建项目评审结论等。</w:t>
            </w:r>
            <w:r>
              <w:rPr>
                <w:rFonts w:hint="eastAsia" w:ascii="宋体" w:hAnsi="宋体" w:cs="宋体"/>
                <w:color w:val="auto"/>
                <w:kern w:val="0"/>
                <w:sz w:val="24"/>
                <w:szCs w:val="18"/>
              </w:rPr>
              <w:t> </w:t>
            </w:r>
          </w:p>
          <w:p>
            <w:pPr>
              <w:widowControl/>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被审核的基本建设工程决算需以下资料：工程决算书、工程竣工验收报告、招标文件、招标控制价、投标文件、中标通知书、施工合同、协议、施工图或竣工图、工程量计算书、劳保取费证明、影响资料、经批准的施工组织设计、工程变更签证资料、隐蔽工程资料等。</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185" w:hRule="atLeast"/>
        </w:trPr>
        <w:tc>
          <w:tcPr>
            <w:tcW w:w="1810" w:type="dxa"/>
            <w:tcBorders>
              <w:top w:val="single" w:color="auto" w:sz="4" w:space="0"/>
              <w:left w:val="double" w:color="auto" w:sz="6" w:space="0"/>
              <w:bottom w:val="double" w:color="auto" w:sz="4" w:space="0"/>
              <w:right w:val="single" w:color="auto" w:sz="6" w:space="0"/>
            </w:tcBorders>
            <w:noWrap w:val="0"/>
            <w:vAlign w:val="center"/>
          </w:tcPr>
          <w:p>
            <w:pPr>
              <w:widowControl/>
              <w:jc w:val="center"/>
              <w:rPr>
                <w:rFonts w:ascii="仿宋" w:hAnsi="仿宋" w:eastAsia="仿宋" w:cs="宋体"/>
                <w:color w:val="auto"/>
                <w:kern w:val="0"/>
                <w:sz w:val="21"/>
                <w:szCs w:val="21"/>
              </w:rPr>
            </w:pPr>
            <w:r>
              <w:rPr>
                <w:rFonts w:hint="eastAsia" w:ascii="仿宋" w:hAnsi="仿宋" w:eastAsia="仿宋" w:cs="宋体"/>
                <w:color w:val="auto"/>
                <w:kern w:val="0"/>
                <w:sz w:val="21"/>
                <w:szCs w:val="21"/>
              </w:rPr>
              <w:t>项目单位承诺内容</w:t>
            </w:r>
          </w:p>
        </w:tc>
        <w:tc>
          <w:tcPr>
            <w:tcW w:w="7068" w:type="dxa"/>
            <w:gridSpan w:val="3"/>
            <w:tcBorders>
              <w:top w:val="single" w:color="auto" w:sz="4" w:space="0"/>
              <w:left w:val="single" w:color="auto" w:sz="6" w:space="0"/>
              <w:bottom w:val="double" w:color="auto" w:sz="4" w:space="0"/>
              <w:right w:val="double" w:color="auto" w:sz="6" w:space="0"/>
            </w:tcBorders>
            <w:noWrap w:val="0"/>
            <w:vAlign w:val="center"/>
          </w:tcPr>
          <w:p>
            <w:pPr>
              <w:widowControl/>
              <w:spacing w:line="0" w:lineRule="atLeast"/>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承诺事项：</w:t>
            </w:r>
          </w:p>
          <w:p>
            <w:pPr>
              <w:widowControl/>
              <w:spacing w:line="0" w:lineRule="atLeast"/>
              <w:ind w:firstLine="360" w:firstLineChars="150"/>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一、认真贯彻、落实、执行专项资金（基金）使用管理规定；</w:t>
            </w:r>
          </w:p>
          <w:p>
            <w:pPr>
              <w:widowControl/>
              <w:spacing w:line="0" w:lineRule="atLeast"/>
              <w:ind w:firstLine="360" w:firstLineChars="150"/>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二、若有违规、违反、违纪项目建设规定的行为之一的，愿接受上述规定的处理、处罚、处分。</w:t>
            </w:r>
          </w:p>
          <w:p>
            <w:pPr>
              <w:widowControl/>
              <w:spacing w:line="0" w:lineRule="atLeast"/>
              <w:rPr>
                <w:rFonts w:hint="eastAsia" w:ascii="仿宋" w:hAnsi="仿宋" w:eastAsia="仿宋" w:cs="宋体"/>
                <w:color w:val="auto"/>
                <w:kern w:val="0"/>
                <w:sz w:val="24"/>
                <w:szCs w:val="18"/>
              </w:rPr>
            </w:pPr>
          </w:p>
          <w:p>
            <w:pPr>
              <w:widowControl/>
              <w:spacing w:line="0" w:lineRule="atLeast"/>
              <w:rPr>
                <w:rFonts w:hint="eastAsia" w:ascii="仿宋" w:hAnsi="仿宋" w:eastAsia="仿宋" w:cs="宋体"/>
                <w:color w:val="auto"/>
                <w:kern w:val="0"/>
                <w:sz w:val="24"/>
                <w:szCs w:val="18"/>
              </w:rPr>
            </w:pPr>
            <w:r>
              <w:rPr>
                <w:rFonts w:hint="eastAsia" w:ascii="仿宋" w:hAnsi="仿宋" w:eastAsia="仿宋" w:cs="宋体"/>
                <w:color w:val="auto"/>
                <w:kern w:val="0"/>
                <w:sz w:val="24"/>
                <w:szCs w:val="18"/>
              </w:rPr>
              <w:t>（法人）负责人（签字）：          主管部门负责人（签字）：</w:t>
            </w:r>
          </w:p>
          <w:p>
            <w:pPr>
              <w:widowControl/>
              <w:spacing w:line="0" w:lineRule="atLeast"/>
              <w:rPr>
                <w:rFonts w:ascii="仿宋" w:hAnsi="仿宋" w:eastAsia="仿宋" w:cs="宋体"/>
                <w:color w:val="auto"/>
                <w:kern w:val="0"/>
                <w:sz w:val="24"/>
                <w:szCs w:val="18"/>
              </w:rPr>
            </w:pPr>
          </w:p>
        </w:tc>
      </w:tr>
    </w:tbl>
    <w:p>
      <w:pPr>
        <w:widowControl/>
        <w:spacing w:line="600" w:lineRule="exact"/>
        <w:jc w:val="left"/>
        <w:rPr>
          <w:rFonts w:hint="eastAsia"/>
          <w:snapToGrid w:val="0"/>
          <w:color w:val="auto"/>
          <w:kern w:val="0"/>
        </w:rPr>
        <w:sectPr>
          <w:pgSz w:w="11906" w:h="16838"/>
          <w:pgMar w:top="1440" w:right="1800" w:bottom="1440" w:left="1800" w:header="851" w:footer="992" w:gutter="0"/>
          <w:pgNumType w:fmt="numberInDash"/>
          <w:cols w:space="720" w:num="1"/>
          <w:docGrid w:type="lines" w:linePitch="312" w:charSpace="0"/>
        </w:sectPr>
      </w:pPr>
      <w:r>
        <w:rPr>
          <w:rFonts w:hint="eastAsia"/>
          <w:snapToGrid w:val="0"/>
          <w:color w:val="auto"/>
          <w:kern w:val="0"/>
          <w:sz w:val="24"/>
          <w:szCs w:val="21"/>
        </w:rPr>
        <w:t>此通知书一式两份，一份财政局留存，一份项目单位留存。</w:t>
      </w:r>
    </w:p>
    <w:tbl>
      <w:tblPr>
        <w:tblStyle w:val="10"/>
        <w:tblW w:w="13172" w:type="dxa"/>
        <w:tblInd w:w="108" w:type="dxa"/>
        <w:tblLayout w:type="autofit"/>
        <w:tblCellMar>
          <w:top w:w="0" w:type="dxa"/>
          <w:left w:w="108" w:type="dxa"/>
          <w:bottom w:w="0" w:type="dxa"/>
          <w:right w:w="108" w:type="dxa"/>
        </w:tblCellMar>
      </w:tblPr>
      <w:tblGrid>
        <w:gridCol w:w="1096"/>
        <w:gridCol w:w="856"/>
        <w:gridCol w:w="1796"/>
        <w:gridCol w:w="1545"/>
        <w:gridCol w:w="2235"/>
        <w:gridCol w:w="1236"/>
        <w:gridCol w:w="1456"/>
        <w:gridCol w:w="1376"/>
        <w:gridCol w:w="1576"/>
      </w:tblGrid>
      <w:tr>
        <w:tblPrEx>
          <w:tblCellMar>
            <w:top w:w="0" w:type="dxa"/>
            <w:left w:w="108" w:type="dxa"/>
            <w:bottom w:w="0" w:type="dxa"/>
            <w:right w:w="108" w:type="dxa"/>
          </w:tblCellMar>
        </w:tblPrEx>
        <w:trPr>
          <w:trHeight w:val="720" w:hRule="atLeast"/>
        </w:trPr>
        <w:tc>
          <w:tcPr>
            <w:tcW w:w="13172" w:type="dxa"/>
            <w:gridSpan w:val="9"/>
            <w:tcBorders>
              <w:top w:val="nil"/>
              <w:left w:val="nil"/>
              <w:bottom w:val="nil"/>
              <w:right w:val="nil"/>
            </w:tcBorders>
            <w:noWrap/>
            <w:vAlign w:val="bottom"/>
          </w:tcPr>
          <w:p>
            <w:pPr>
              <w:widowControl/>
              <w:jc w:val="center"/>
              <w:rPr>
                <w:rFonts w:ascii="宋体" w:hAnsi="宋体" w:cs="宋体"/>
                <w:b/>
                <w:bCs/>
                <w:color w:val="auto"/>
                <w:kern w:val="0"/>
                <w:sz w:val="40"/>
                <w:szCs w:val="40"/>
              </w:rPr>
            </w:pPr>
            <w:r>
              <w:rPr>
                <w:rFonts w:hint="eastAsia" w:ascii="宋体" w:hAnsi="宋体" w:cs="宋体"/>
                <w:b/>
                <w:bCs/>
                <w:color w:val="auto"/>
                <w:kern w:val="0"/>
                <w:sz w:val="40"/>
                <w:szCs w:val="40"/>
              </w:rPr>
              <w:t>白城市生态新区专项资金拨付流程图</w:t>
            </w:r>
          </w:p>
        </w:tc>
      </w:tr>
      <w:tr>
        <w:tblPrEx>
          <w:tblCellMar>
            <w:top w:w="0" w:type="dxa"/>
            <w:left w:w="108" w:type="dxa"/>
            <w:bottom w:w="0" w:type="dxa"/>
            <w:right w:w="108" w:type="dxa"/>
          </w:tblCellMar>
        </w:tblPrEx>
        <w:trPr>
          <w:trHeight w:val="285" w:hRule="atLeast"/>
        </w:trPr>
        <w:tc>
          <w:tcPr>
            <w:tcW w:w="109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85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79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545"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2235"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23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45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37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576" w:type="dxa"/>
            <w:tcBorders>
              <w:top w:val="nil"/>
              <w:left w:val="nil"/>
              <w:bottom w:val="nil"/>
              <w:right w:val="nil"/>
            </w:tcBorders>
            <w:noWrap/>
            <w:vAlign w:val="bottom"/>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1740" w:hRule="atLeast"/>
        </w:trPr>
        <w:tc>
          <w:tcPr>
            <w:tcW w:w="109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专项资金资金到达财政部门</w:t>
            </w:r>
          </w:p>
        </w:tc>
        <w:tc>
          <w:tcPr>
            <w:tcW w:w="85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0160" behindDoc="0" locked="0" layoutInCell="1" allowOverlap="1">
                      <wp:simplePos x="0" y="0"/>
                      <wp:positionH relativeFrom="column">
                        <wp:posOffset>19050</wp:posOffset>
                      </wp:positionH>
                      <wp:positionV relativeFrom="paragraph">
                        <wp:posOffset>762000</wp:posOffset>
                      </wp:positionV>
                      <wp:extent cx="523875" cy="0"/>
                      <wp:effectExtent l="0" t="38100" r="9525" b="38100"/>
                      <wp:wrapNone/>
                      <wp:docPr id="10" name="直接连接符 10"/>
                      <wp:cNvGraphicFramePr/>
                      <a:graphic xmlns:a="http://schemas.openxmlformats.org/drawingml/2006/main">
                        <a:graphicData uri="http://schemas.microsoft.com/office/word/2010/wordprocessingShape">
                          <wps:wsp>
                            <wps:cNvCnPr/>
                            <wps:spPr>
                              <a:xfrm>
                                <a:off x="0" y="0"/>
                                <a:ext cx="5238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pt;margin-top:60pt;height:0pt;width:41.25pt;z-index:251740160;mso-width-relative:page;mso-height-relative:page;" filled="f" stroked="t" coordsize="21600,21600" o:gfxdata="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pvJY9YAAAAIAQAADwAAAAAAAAABACAAAAAiAAAAZHJzL2Rvd25y&#10;ZXYueG1sUEsBAhQAFAAAAAgAh07iQOoWv7UAAgAA9wMAAA4AAAAAAAAAAQAgAAAAJQEAAGRycy9l&#10;Mm9Eb2MueG1sUEsFBgAAAAAGAAYAWQEAAJcFAAAAAA==&#10;">
                      <v:fill on="f" focussize="0,0"/>
                      <v:stroke color="#000000" joinstyle="round" endarrow="block"/>
                      <v:imagedata o:title=""/>
                      <o:lock v:ext="edit" aspectratio="f"/>
                    </v:line>
                  </w:pict>
                </mc:Fallback>
              </mc:AlternateContent>
            </w:r>
            <w:r>
              <w:rPr>
                <w:rFonts w:ascii="宋体" w:hAnsi="宋体" w:cs="宋体"/>
                <w:color w:val="auto"/>
                <w:kern w:val="0"/>
                <w:sz w:val="24"/>
              </w:rPr>
              <mc:AlternateContent>
                <mc:Choice Requires="wps">
                  <w:drawing>
                    <wp:anchor distT="0" distB="0" distL="114300" distR="114300" simplePos="0" relativeHeight="251741184" behindDoc="0" locked="0" layoutInCell="1" allowOverlap="1">
                      <wp:simplePos x="0" y="0"/>
                      <wp:positionH relativeFrom="column">
                        <wp:posOffset>1666875</wp:posOffset>
                      </wp:positionH>
                      <wp:positionV relativeFrom="paragraph">
                        <wp:posOffset>733425</wp:posOffset>
                      </wp:positionV>
                      <wp:extent cx="981075" cy="0"/>
                      <wp:effectExtent l="0" t="38100" r="9525" b="38100"/>
                      <wp:wrapNone/>
                      <wp:docPr id="9" name="直接连接符 9"/>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31.25pt;margin-top:57.75pt;height:0pt;width:77.25pt;z-index:251741184;mso-width-relative:page;mso-height-relative:page;" filled="f" stroked="t" coordsize="21600,21600" o:gfxdata="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hACq2QAAAAsBAAAPAAAAAAAAAAEAIAAAACIAAABkcnMvZG93&#10;bnJldi54bWxQSwECFAAUAAAACACHTuJAbenmj/8BAAD1AwAADgAAAAAAAAABACAAAAAoAQAAZHJz&#10;L2Uyb0RvYy54bWxQSwUGAAAAAAYABgBZAQAAmQU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640"/>
            </w:tblGrid>
            <w:tr>
              <w:tblPrEx>
                <w:tblCellMar>
                  <w:top w:w="0" w:type="dxa"/>
                  <w:left w:w="0" w:type="dxa"/>
                  <w:bottom w:w="0" w:type="dxa"/>
                  <w:right w:w="0" w:type="dxa"/>
                </w:tblCellMar>
              </w:tblPrEx>
              <w:trPr>
                <w:trHeight w:val="1740" w:hRule="atLeast"/>
                <w:tblCellSpacing w:w="0" w:type="dxa"/>
              </w:trPr>
              <w:tc>
                <w:tcPr>
                  <w:tcW w:w="840" w:type="dxa"/>
                  <w:tcBorders>
                    <w:top w:val="nil"/>
                    <w:left w:val="nil"/>
                    <w:bottom w:val="nil"/>
                    <w:right w:val="nil"/>
                  </w:tcBorders>
                  <w:noWrap w:val="0"/>
                  <w:vAlign w:val="center"/>
                </w:tcPr>
                <w:p>
                  <w:pPr>
                    <w:widowControl/>
                    <w:jc w:val="center"/>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二个工作日内</w:t>
                  </w:r>
                </w:p>
              </w:tc>
            </w:tr>
          </w:tbl>
          <w:p>
            <w:pPr>
              <w:widowControl/>
              <w:jc w:val="left"/>
              <w:rPr>
                <w:rFonts w:ascii="宋体" w:hAnsi="宋体" w:cs="宋体"/>
                <w:color w:val="auto"/>
                <w:kern w:val="0"/>
                <w:sz w:val="24"/>
              </w:rPr>
            </w:pPr>
          </w:p>
        </w:tc>
        <w:tc>
          <w:tcPr>
            <w:tcW w:w="179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财政部门向项目单位下达告知书</w:t>
            </w:r>
          </w:p>
        </w:tc>
        <w:tc>
          <w:tcPr>
            <w:tcW w:w="1545" w:type="dxa"/>
            <w:tcBorders>
              <w:top w:val="nil"/>
              <w:left w:val="nil"/>
              <w:bottom w:val="nil"/>
              <w:right w:val="nil"/>
            </w:tcBorders>
            <w:noWrap w:val="0"/>
            <w:vAlign w:val="center"/>
          </w:tcPr>
          <w:p>
            <w:pPr>
              <w:widowControl/>
              <w:jc w:val="center"/>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向项目单位出具所需材料清单</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项目单位向财政部门提出申请，按要求提供有关项目资料</w:t>
            </w:r>
          </w:p>
        </w:tc>
        <w:tc>
          <w:tcPr>
            <w:tcW w:w="123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2208" behindDoc="0" locked="0" layoutInCell="1" allowOverlap="1">
                      <wp:simplePos x="0" y="0"/>
                      <wp:positionH relativeFrom="column">
                        <wp:posOffset>19050</wp:posOffset>
                      </wp:positionH>
                      <wp:positionV relativeFrom="paragraph">
                        <wp:posOffset>790575</wp:posOffset>
                      </wp:positionV>
                      <wp:extent cx="762000" cy="0"/>
                      <wp:effectExtent l="0" t="38100" r="0" b="38100"/>
                      <wp:wrapNone/>
                      <wp:docPr id="8" name="直接连接符 8"/>
                      <wp:cNvGraphicFramePr/>
                      <a:graphic xmlns:a="http://schemas.openxmlformats.org/drawingml/2006/main">
                        <a:graphicData uri="http://schemas.microsoft.com/office/word/2010/wordprocessingShape">
                          <wps:wsp>
                            <wps:cNvCnPr/>
                            <wps:spPr>
                              <a:xfrm>
                                <a:off x="0" y="0"/>
                                <a:ext cx="7620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pt;margin-top:62.25pt;height:0pt;width:60pt;z-index:251742208;mso-width-relative:page;mso-height-relative:page;" filled="f" stroked="t" coordsize="21600,21600" o:gfxdata="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xOvM1gAAAAkBAAAPAAAAAAAAAAEAIAAAACIAAABkcnMvZG93bnJl&#10;di54bWxQSwECFAAUAAAACACHTuJACP7x0v8BAAD1AwAADgAAAAAAAAABACAAAAAlAQAAZHJzL2Uy&#10;b0RvYy54bWxQSwUGAAAAAAYABgBZAQAAlgU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020"/>
            </w:tblGrid>
            <w:tr>
              <w:tblPrEx>
                <w:tblCellMar>
                  <w:top w:w="0" w:type="dxa"/>
                  <w:left w:w="0" w:type="dxa"/>
                  <w:bottom w:w="0" w:type="dxa"/>
                  <w:right w:w="0" w:type="dxa"/>
                </w:tblCellMar>
              </w:tblPrEx>
              <w:trPr>
                <w:trHeight w:val="1740" w:hRule="atLeast"/>
                <w:tblCellSpacing w:w="0" w:type="dxa"/>
              </w:trPr>
              <w:tc>
                <w:tcPr>
                  <w:tcW w:w="1220" w:type="dxa"/>
                  <w:tcBorders>
                    <w:top w:val="nil"/>
                    <w:left w:val="nil"/>
                    <w:bottom w:val="nil"/>
                    <w:right w:val="single" w:color="auto" w:sz="4" w:space="0"/>
                  </w:tcBorders>
                  <w:noWrap w:val="0"/>
                  <w:vAlign w:val="center"/>
                </w:tcPr>
                <w:p>
                  <w:pPr>
                    <w:widowControl/>
                    <w:jc w:val="center"/>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联系评审中心下达评审委托</w:t>
                  </w:r>
                </w:p>
              </w:tc>
            </w:tr>
          </w:tbl>
          <w:p>
            <w:pPr>
              <w:widowControl/>
              <w:jc w:val="left"/>
              <w:rPr>
                <w:rFonts w:ascii="宋体" w:hAnsi="宋体" w:cs="宋体"/>
                <w:color w:val="auto"/>
                <w:kern w:val="0"/>
                <w:sz w:val="24"/>
              </w:rPr>
            </w:pPr>
          </w:p>
        </w:tc>
        <w:tc>
          <w:tcPr>
            <w:tcW w:w="145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需要评审的项目需按要求进行内审及评审</w:t>
            </w:r>
          </w:p>
        </w:tc>
        <w:tc>
          <w:tcPr>
            <w:tcW w:w="137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3232" behindDoc="0" locked="0" layoutInCell="1" allowOverlap="1">
                      <wp:simplePos x="0" y="0"/>
                      <wp:positionH relativeFrom="column">
                        <wp:posOffset>19050</wp:posOffset>
                      </wp:positionH>
                      <wp:positionV relativeFrom="paragraph">
                        <wp:posOffset>762000</wp:posOffset>
                      </wp:positionV>
                      <wp:extent cx="847725" cy="0"/>
                      <wp:effectExtent l="0" t="38100" r="9525" b="38100"/>
                      <wp:wrapNone/>
                      <wp:docPr id="3" name="直接连接符 3"/>
                      <wp:cNvGraphicFramePr/>
                      <a:graphic xmlns:a="http://schemas.openxmlformats.org/drawingml/2006/main">
                        <a:graphicData uri="http://schemas.microsoft.com/office/word/2010/wordprocessingShape">
                          <wps:wsp>
                            <wps:cNvCnPr/>
                            <wps:spPr>
                              <a:xfrm>
                                <a:off x="0" y="0"/>
                                <a:ext cx="8477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5pt;margin-top:60pt;height:0pt;width:66.75pt;z-index:251743232;mso-width-relative:page;mso-height-relative:page;" filled="f" stroked="t" coordsize="21600,21600" o:gfxdata="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P9AbXAAAACQEAAA8AAAAAAAAAAQAgAAAAIgAAAGRycy9kb3du&#10;cmV2LnhtbFBLAQIUABQAAAAIAIdO4kBB/lmtAAIAAPUDAAAOAAAAAAAAAAEAIAAAACYBAABkcnMv&#10;ZTJvRG9jLnhtbFBLBQYAAAAABgAGAFkBAACYBQ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160"/>
            </w:tblGrid>
            <w:tr>
              <w:tblPrEx>
                <w:tblCellMar>
                  <w:top w:w="0" w:type="dxa"/>
                  <w:left w:w="0" w:type="dxa"/>
                  <w:bottom w:w="0" w:type="dxa"/>
                  <w:right w:w="0" w:type="dxa"/>
                </w:tblCellMar>
              </w:tblPrEx>
              <w:trPr>
                <w:trHeight w:val="1740" w:hRule="atLeast"/>
                <w:tblCellSpacing w:w="0" w:type="dxa"/>
              </w:trPr>
              <w:tc>
                <w:tcPr>
                  <w:tcW w:w="1360" w:type="dxa"/>
                  <w:tcBorders>
                    <w:top w:val="nil"/>
                    <w:left w:val="nil"/>
                    <w:bottom w:val="nil"/>
                    <w:right w:val="nil"/>
                  </w:tcBorders>
                  <w:noWrap w:val="0"/>
                  <w:vAlign w:val="center"/>
                </w:tcPr>
                <w:p>
                  <w:pPr>
                    <w:widowControl/>
                    <w:jc w:val="left"/>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指导项目单位完善相关资料</w:t>
                  </w:r>
                </w:p>
              </w:tc>
            </w:tr>
          </w:tbl>
          <w:p>
            <w:pPr>
              <w:widowControl/>
              <w:jc w:val="left"/>
              <w:rPr>
                <w:rFonts w:ascii="宋体" w:hAnsi="宋体" w:cs="宋体"/>
                <w:color w:val="auto"/>
                <w:kern w:val="0"/>
                <w:sz w:val="24"/>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财政审核，需报新区领导签批的报送新区领导</w:t>
            </w:r>
          </w:p>
        </w:tc>
      </w:tr>
      <w:tr>
        <w:tblPrEx>
          <w:tblCellMar>
            <w:top w:w="0" w:type="dxa"/>
            <w:left w:w="108" w:type="dxa"/>
            <w:bottom w:w="0" w:type="dxa"/>
            <w:right w:w="108" w:type="dxa"/>
          </w:tblCellMar>
        </w:tblPrEx>
        <w:trPr>
          <w:trHeight w:val="750" w:hRule="atLeast"/>
        </w:trPr>
        <w:tc>
          <w:tcPr>
            <w:tcW w:w="109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85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79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545"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2235"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23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45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376" w:type="dxa"/>
            <w:tcBorders>
              <w:top w:val="nil"/>
              <w:left w:val="nil"/>
              <w:bottom w:val="nil"/>
              <w:right w:val="nil"/>
            </w:tcBorders>
            <w:noWrap/>
            <w:vAlign w:val="bottom"/>
          </w:tcPr>
          <w:p>
            <w:pPr>
              <w:widowControl/>
              <w:jc w:val="left"/>
              <w:rPr>
                <w:rFonts w:ascii="宋体" w:hAnsi="宋体" w:cs="宋体"/>
                <w:color w:val="auto"/>
                <w:kern w:val="0"/>
                <w:sz w:val="24"/>
              </w:rPr>
            </w:pPr>
          </w:p>
        </w:tc>
        <w:tc>
          <w:tcPr>
            <w:tcW w:w="157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4256" behindDoc="0" locked="0" layoutInCell="1" allowOverlap="1">
                      <wp:simplePos x="0" y="0"/>
                      <wp:positionH relativeFrom="column">
                        <wp:posOffset>400050</wp:posOffset>
                      </wp:positionH>
                      <wp:positionV relativeFrom="paragraph">
                        <wp:posOffset>9525</wp:posOffset>
                      </wp:positionV>
                      <wp:extent cx="0" cy="466725"/>
                      <wp:effectExtent l="38100" t="0" r="38100" b="9525"/>
                      <wp:wrapNone/>
                      <wp:docPr id="4" name="直接连接符 4"/>
                      <wp:cNvGraphicFramePr/>
                      <a:graphic xmlns:a="http://schemas.openxmlformats.org/drawingml/2006/main">
                        <a:graphicData uri="http://schemas.microsoft.com/office/word/2010/wordprocessingShape">
                          <wps:wsp>
                            <wps:cNvCnPr/>
                            <wps:spPr>
                              <a:xfrm>
                                <a:off x="0" y="0"/>
                                <a:ext cx="0" cy="4667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1.5pt;margin-top:0.75pt;height:36.75pt;width:0pt;z-index:251744256;mso-width-relative:page;mso-height-relative:page;" filled="f" stroked="t" coordsize="21600,21600" o:gfxdata="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x69ftYAAAAGAQAADwAAAAAAAAABACAAAAAiAAAAZHJzL2Rvd25yZXYu&#10;eG1sUEsBAhQAFAAAAAgAh07iQEhWpA/9AQAA9QMAAA4AAAAAAAAAAQAgAAAAJQEAAGRycy9lMm9E&#10;b2MueG1sUEsFBgAAAAAGAAYAWQEAAJQFA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360"/>
            </w:tblGrid>
            <w:tr>
              <w:tblPrEx>
                <w:tblCellMar>
                  <w:top w:w="0" w:type="dxa"/>
                  <w:left w:w="0" w:type="dxa"/>
                  <w:bottom w:w="0" w:type="dxa"/>
                  <w:right w:w="0" w:type="dxa"/>
                </w:tblCellMar>
              </w:tblPrEx>
              <w:trPr>
                <w:trHeight w:val="750" w:hRule="atLeast"/>
                <w:tblCellSpacing w:w="0" w:type="dxa"/>
              </w:trPr>
              <w:tc>
                <w:tcPr>
                  <w:tcW w:w="1360" w:type="dxa"/>
                  <w:tcBorders>
                    <w:top w:val="nil"/>
                    <w:left w:val="nil"/>
                    <w:bottom w:val="nil"/>
                    <w:right w:val="nil"/>
                  </w:tcBorders>
                  <w:noWrap/>
                  <w:vAlign w:val="bottom"/>
                </w:tcPr>
                <w:p>
                  <w:pPr>
                    <w:widowControl/>
                    <w:jc w:val="left"/>
                    <w:rPr>
                      <w:rFonts w:ascii="宋体" w:hAnsi="宋体" w:cs="宋体"/>
                      <w:color w:val="auto"/>
                      <w:kern w:val="0"/>
                      <w:sz w:val="24"/>
                    </w:rPr>
                  </w:pPr>
                </w:p>
              </w:tc>
            </w:tr>
          </w:tbl>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2160" w:hRule="atLeast"/>
        </w:trPr>
        <w:tc>
          <w:tcPr>
            <w:tcW w:w="109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8352" behindDoc="0" locked="0" layoutInCell="1" allowOverlap="1">
                      <wp:simplePos x="0" y="0"/>
                      <wp:positionH relativeFrom="column">
                        <wp:posOffset>676275</wp:posOffset>
                      </wp:positionH>
                      <wp:positionV relativeFrom="paragraph">
                        <wp:posOffset>990600</wp:posOffset>
                      </wp:positionV>
                      <wp:extent cx="523875" cy="0"/>
                      <wp:effectExtent l="0" t="38100" r="9525" b="38100"/>
                      <wp:wrapNone/>
                      <wp:docPr id="5" name="直接连接符 5"/>
                      <wp:cNvGraphicFramePr/>
                      <a:graphic xmlns:a="http://schemas.openxmlformats.org/drawingml/2006/main">
                        <a:graphicData uri="http://schemas.microsoft.com/office/word/2010/wordprocessingShape">
                          <wps:wsp>
                            <wps:cNvCnPr/>
                            <wps:spPr>
                              <a:xfrm flipH="1">
                                <a:off x="0" y="0"/>
                                <a:ext cx="52387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3.25pt;margin-top:78pt;height:0pt;width:41.25pt;z-index:251748352;mso-width-relative:page;mso-height-relative:page;" filled="f" stroked="t" coordsize="21600,21600" o:gfxdata="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mdImzWAAAACwEAAA8AAAAAAAAAAQAgAAAAIgAAAGRy&#10;cy9kb3ducmV2LnhtbFBLAQIUABQAAAAIAIdO4kDAcCkEBwIAAP8DAAAOAAAAAAAAAAEAIAAAACUB&#10;AABkcnMvZTJvRG9jLnhtbFBLBQYAAAAABgAGAFkBAACeBQ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875"/>
            </w:tblGrid>
            <w:tr>
              <w:trPr>
                <w:trHeight w:val="2160" w:hRule="atLeast"/>
                <w:tblCellSpacing w:w="0" w:type="dxa"/>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项目竣工，资金拨付完成</w:t>
                  </w:r>
                </w:p>
              </w:tc>
            </w:tr>
          </w:tbl>
          <w:p>
            <w:pPr>
              <w:widowControl/>
              <w:jc w:val="left"/>
              <w:rPr>
                <w:rFonts w:ascii="宋体" w:hAnsi="宋体" w:cs="宋体"/>
                <w:color w:val="auto"/>
                <w:kern w:val="0"/>
                <w:sz w:val="24"/>
              </w:rPr>
            </w:pPr>
          </w:p>
        </w:tc>
        <w:tc>
          <w:tcPr>
            <w:tcW w:w="856" w:type="dxa"/>
            <w:tcBorders>
              <w:top w:val="nil"/>
              <w:left w:val="nil"/>
              <w:bottom w:val="nil"/>
              <w:right w:val="nil"/>
            </w:tcBorders>
            <w:noWrap w:val="0"/>
            <w:vAlign w:val="center"/>
          </w:tcPr>
          <w:p>
            <w:pPr>
              <w:widowControl/>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项目情况汇报相关新区领导</w:t>
            </w:r>
          </w:p>
        </w:tc>
        <w:tc>
          <w:tcPr>
            <w:tcW w:w="179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7328" behindDoc="0" locked="0" layoutInCell="1" allowOverlap="1">
                      <wp:simplePos x="0" y="0"/>
                      <wp:positionH relativeFrom="column">
                        <wp:posOffset>1123950</wp:posOffset>
                      </wp:positionH>
                      <wp:positionV relativeFrom="paragraph">
                        <wp:posOffset>971550</wp:posOffset>
                      </wp:positionV>
                      <wp:extent cx="1009650" cy="0"/>
                      <wp:effectExtent l="0" t="38100" r="0" b="38100"/>
                      <wp:wrapNone/>
                      <wp:docPr id="2" name="直接连接符 2"/>
                      <wp:cNvGraphicFramePr/>
                      <a:graphic xmlns:a="http://schemas.openxmlformats.org/drawingml/2006/main">
                        <a:graphicData uri="http://schemas.microsoft.com/office/word/2010/wordprocessingShape">
                          <wps:wsp>
                            <wps:cNvCnPr/>
                            <wps:spPr>
                              <a:xfrm flipH="1" flipV="1">
                                <a:off x="0" y="0"/>
                                <a:ext cx="10096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88.5pt;margin-top:76.5pt;height:0pt;width:79.5pt;z-index:251747328;mso-width-relative:page;mso-height-relative:page;" filled="f" stroked="t" coordsize="21600,21600" o:gfxdata="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LCWe1QAAAAsBAAAPAAAAAAAAAAEAIAAAACIA&#10;AABkcnMvZG93bnJldi54bWxQSwECFAAUAAAACACHTuJA9ItCpgwCAAAKBAAADgAAAAAAAAABACAA&#10;AAAkAQAAZHJzL2Uyb0RvYy54bWxQSwUGAAAAAAYABgBZAQAAogU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575"/>
            </w:tblGrid>
            <w:tr>
              <w:tblPrEx>
                <w:tblCellMar>
                  <w:top w:w="0" w:type="dxa"/>
                  <w:left w:w="0" w:type="dxa"/>
                  <w:bottom w:w="0" w:type="dxa"/>
                  <w:right w:w="0" w:type="dxa"/>
                </w:tblCellMar>
              </w:tblPrEx>
              <w:trPr>
                <w:trHeight w:val="2160" w:hRule="atLeast"/>
                <w:tblCellSpacing w:w="0" w:type="dxa"/>
              </w:trPr>
              <w:tc>
                <w:tcPr>
                  <w:tcW w:w="17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验收合格后</w:t>
                  </w:r>
                  <w:r>
                    <w:rPr>
                      <w:rFonts w:hint="eastAsia" w:ascii="宋体" w:hAnsi="宋体" w:cs="宋体"/>
                      <w:color w:val="auto"/>
                      <w:kern w:val="0"/>
                      <w:sz w:val="24"/>
                      <w:lang w:val="en-US" w:eastAsia="zh-CN"/>
                    </w:rPr>
                    <w:t>,在质保期满无质量问题</w:t>
                  </w:r>
                  <w:r>
                    <w:rPr>
                      <w:rFonts w:hint="eastAsia" w:ascii="宋体" w:hAnsi="宋体" w:cs="宋体"/>
                      <w:color w:val="auto"/>
                      <w:kern w:val="0"/>
                      <w:sz w:val="24"/>
                    </w:rPr>
                    <w:t>拨付5%质量保证金。如验收出现质量问题将5%质量保证金转做维修费，并追究相关责任人责任</w:t>
                  </w:r>
                </w:p>
              </w:tc>
            </w:tr>
          </w:tbl>
          <w:p>
            <w:pPr>
              <w:widowControl/>
              <w:jc w:val="left"/>
              <w:rPr>
                <w:rFonts w:ascii="宋体" w:hAnsi="宋体" w:cs="宋体"/>
                <w:color w:val="auto"/>
                <w:kern w:val="0"/>
                <w:sz w:val="24"/>
              </w:rPr>
            </w:pPr>
          </w:p>
        </w:tc>
        <w:tc>
          <w:tcPr>
            <w:tcW w:w="1545" w:type="dxa"/>
            <w:tcBorders>
              <w:top w:val="nil"/>
              <w:left w:val="nil"/>
              <w:bottom w:val="nil"/>
              <w:right w:val="nil"/>
            </w:tcBorders>
            <w:noWrap w:val="0"/>
            <w:vAlign w:val="center"/>
          </w:tcPr>
          <w:p>
            <w:pPr>
              <w:widowControl/>
              <w:jc w:val="center"/>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七个工作日内</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建设项目完工一个月内建设单位提出申请，财政部门会同相关部门对项目进行验收</w:t>
            </w:r>
          </w:p>
        </w:tc>
        <w:tc>
          <w:tcPr>
            <w:tcW w:w="123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6304" behindDoc="0" locked="0" layoutInCell="1" allowOverlap="1">
                      <wp:simplePos x="0" y="0"/>
                      <wp:positionH relativeFrom="column">
                        <wp:posOffset>19050</wp:posOffset>
                      </wp:positionH>
                      <wp:positionV relativeFrom="paragraph">
                        <wp:posOffset>1019175</wp:posOffset>
                      </wp:positionV>
                      <wp:extent cx="723900" cy="0"/>
                      <wp:effectExtent l="0" t="38100" r="0" b="38100"/>
                      <wp:wrapNone/>
                      <wp:docPr id="7" name="直接连接符 7"/>
                      <wp:cNvGraphicFramePr/>
                      <a:graphic xmlns:a="http://schemas.openxmlformats.org/drawingml/2006/main">
                        <a:graphicData uri="http://schemas.microsoft.com/office/word/2010/wordprocessingShape">
                          <wps:wsp>
                            <wps:cNvCnPr/>
                            <wps:spPr>
                              <a:xfrm flipH="1">
                                <a:off x="0" y="0"/>
                                <a:ext cx="723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pt;margin-top:80.25pt;height:0pt;width:57pt;z-index:251746304;mso-width-relative:page;mso-height-relative:page;" filled="f" stroked="t" coordsize="21600,21600" o:gfxdata="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m7wy1gAAAAkBAAAPAAAAAAAAAAEAIAAAACIAAABk&#10;cnMvZG93bnJldi54bWxQSwECFAAUAAAACACHTuJA9/40WwgCAAD/AwAADgAAAAAAAAABACAAAAAl&#10;AQAAZHJzL2Uyb0RvYy54bWxQSwUGAAAAAAYABgBZAQAAnwU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020"/>
            </w:tblGrid>
            <w:tr>
              <w:tblPrEx>
                <w:tblCellMar>
                  <w:top w:w="0" w:type="dxa"/>
                  <w:left w:w="0" w:type="dxa"/>
                  <w:bottom w:w="0" w:type="dxa"/>
                  <w:right w:w="0" w:type="dxa"/>
                </w:tblCellMar>
              </w:tblPrEx>
              <w:trPr>
                <w:trHeight w:val="2160" w:hRule="atLeast"/>
                <w:tblCellSpacing w:w="0" w:type="dxa"/>
              </w:trPr>
              <w:tc>
                <w:tcPr>
                  <w:tcW w:w="1220" w:type="dxa"/>
                  <w:tcBorders>
                    <w:top w:val="nil"/>
                    <w:left w:val="nil"/>
                    <w:bottom w:val="nil"/>
                    <w:right w:val="nil"/>
                  </w:tcBorders>
                  <w:noWrap w:val="0"/>
                  <w:vAlign w:val="center"/>
                </w:tcPr>
                <w:p>
                  <w:pPr>
                    <w:widowControl/>
                    <w:jc w:val="center"/>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对专项资金进行检查，出现问题收回资金</w:t>
                  </w:r>
                </w:p>
              </w:tc>
            </w:tr>
          </w:tbl>
          <w:p>
            <w:pPr>
              <w:widowControl/>
              <w:jc w:val="left"/>
              <w:rPr>
                <w:rFonts w:ascii="宋体" w:hAnsi="宋体" w:cs="宋体"/>
                <w:color w:val="auto"/>
                <w:kern w:val="0"/>
                <w:sz w:val="24"/>
              </w:rPr>
            </w:pPr>
          </w:p>
        </w:tc>
        <w:tc>
          <w:tcPr>
            <w:tcW w:w="1456" w:type="dxa"/>
            <w:tcBorders>
              <w:top w:val="nil"/>
              <w:left w:val="nil"/>
              <w:bottom w:val="nil"/>
              <w:right w:val="nil"/>
            </w:tcBorders>
            <w:noWrap/>
            <w:vAlign w:val="bottom"/>
          </w:tcPr>
          <w:p>
            <w:pPr>
              <w:widowControl/>
              <w:jc w:val="left"/>
              <w:rPr>
                <w:rFonts w:ascii="宋体" w:hAnsi="宋体" w:cs="宋体"/>
                <w:color w:val="auto"/>
                <w:kern w:val="0"/>
                <w:sz w:val="24"/>
              </w:rPr>
            </w:pPr>
            <w:r>
              <w:rPr>
                <w:rFonts w:ascii="宋体" w:hAnsi="宋体" w:cs="宋体"/>
                <w:color w:val="auto"/>
                <w:kern w:val="0"/>
                <w:sz w:val="24"/>
              </w:rPr>
              <mc:AlternateContent>
                <mc:Choice Requires="wps">
                  <w:drawing>
                    <wp:anchor distT="0" distB="0" distL="114300" distR="114300" simplePos="0" relativeHeight="251745280" behindDoc="0" locked="0" layoutInCell="1" allowOverlap="1">
                      <wp:simplePos x="0" y="0"/>
                      <wp:positionH relativeFrom="column">
                        <wp:posOffset>914400</wp:posOffset>
                      </wp:positionH>
                      <wp:positionV relativeFrom="paragraph">
                        <wp:posOffset>990600</wp:posOffset>
                      </wp:positionV>
                      <wp:extent cx="781050" cy="0"/>
                      <wp:effectExtent l="0" t="38100" r="0" b="38100"/>
                      <wp:wrapNone/>
                      <wp:docPr id="6" name="直接连接符 6"/>
                      <wp:cNvGraphicFramePr/>
                      <a:graphic xmlns:a="http://schemas.openxmlformats.org/drawingml/2006/main">
                        <a:graphicData uri="http://schemas.microsoft.com/office/word/2010/wordprocessingShape">
                          <wps:wsp>
                            <wps:cNvCnPr/>
                            <wps:spPr>
                              <a:xfrm flipH="1">
                                <a:off x="0" y="0"/>
                                <a:ext cx="7810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72pt;margin-top:78pt;height:0pt;width:61.5pt;z-index:251745280;mso-width-relative:page;mso-height-relative:page;" filled="f" stroked="t" coordsize="21600,21600" o:gfxdata="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zKI7WAAAACwEAAA8AAAAAAAAAAQAgAAAAIgAAAGRy&#10;cy9kb3ducmV2LnhtbFBLAQIUABQAAAAIAIdO4kCgWKrQBwIAAP8DAAAOAAAAAAAAAAEAIAAAACUB&#10;AABkcnMvZTJvRG9jLnhtbFBLBQYAAAAABgAGAFkBAACeBQ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235"/>
            </w:tblGrid>
            <w:tr>
              <w:trPr>
                <w:trHeight w:val="2160" w:hRule="atLeast"/>
                <w:tblCellSpacing w:w="0" w:type="dxa"/>
              </w:trPr>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累计拨付资金不得超过工程造价或投资计划的80%，工程完工后预留5%质量保证金</w:t>
                  </w:r>
                </w:p>
              </w:tc>
            </w:tr>
          </w:tbl>
          <w:p>
            <w:pPr>
              <w:widowControl/>
              <w:jc w:val="left"/>
              <w:rPr>
                <w:rFonts w:ascii="宋体" w:hAnsi="宋体" w:cs="宋体"/>
                <w:color w:val="auto"/>
                <w:kern w:val="0"/>
                <w:sz w:val="24"/>
              </w:rPr>
            </w:pPr>
          </w:p>
        </w:tc>
        <w:tc>
          <w:tcPr>
            <w:tcW w:w="1376" w:type="dxa"/>
            <w:tcBorders>
              <w:top w:val="nil"/>
              <w:left w:val="nil"/>
              <w:bottom w:val="nil"/>
              <w:right w:val="nil"/>
            </w:tcBorders>
            <w:noWrap w:val="0"/>
            <w:vAlign w:val="center"/>
          </w:tcPr>
          <w:p>
            <w:pPr>
              <w:widowControl/>
              <w:jc w:val="center"/>
              <w:rPr>
                <w:rFonts w:ascii="仿宋_GB2312" w:hAnsi="宋体" w:eastAsia="仿宋_GB2312" w:cs="宋体"/>
                <w:color w:val="auto"/>
                <w:kern w:val="0"/>
                <w:sz w:val="20"/>
                <w:szCs w:val="20"/>
              </w:rPr>
            </w:pPr>
            <w:r>
              <w:rPr>
                <w:rFonts w:hint="eastAsia" w:ascii="仿宋_GB2312" w:hAnsi="宋体" w:eastAsia="仿宋_GB2312" w:cs="宋体"/>
                <w:color w:val="auto"/>
                <w:kern w:val="0"/>
                <w:sz w:val="20"/>
                <w:szCs w:val="20"/>
              </w:rPr>
              <w:t>全程跟踪项目进展和资金使用情况</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24"/>
              </w:rPr>
            </w:pPr>
            <w:r>
              <w:rPr>
                <w:rFonts w:hint="eastAsia" w:ascii="宋体" w:hAnsi="宋体" w:cs="宋体"/>
                <w:color w:val="auto"/>
                <w:kern w:val="0"/>
                <w:sz w:val="24"/>
              </w:rPr>
              <w:t>财政部门按项目进度和实际情况下达指标</w:t>
            </w:r>
          </w:p>
        </w:tc>
      </w:tr>
    </w:tbl>
    <w:p>
      <w:pPr>
        <w:widowControl/>
        <w:spacing w:line="600" w:lineRule="exact"/>
        <w:jc w:val="left"/>
        <w:rPr>
          <w:rFonts w:hint="eastAsia"/>
          <w:snapToGrid w:val="0"/>
          <w:color w:val="auto"/>
          <w:kern w:val="0"/>
        </w:rPr>
        <w:sectPr>
          <w:footerReference r:id="rId8" w:type="default"/>
          <w:pgSz w:w="16838" w:h="11906" w:orient="landscape"/>
          <w:pgMar w:top="1800" w:right="1440" w:bottom="1800" w:left="144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320" w:firstLineChars="100"/>
        <w:jc w:val="center"/>
        <w:textAlignment w:val="auto"/>
        <w:outlineLvl w:val="0"/>
        <w:rPr>
          <w:rFonts w:hint="eastAsia"/>
          <w:color w:val="000000"/>
          <w:sz w:val="32"/>
          <w:szCs w:val="32"/>
        </w:rPr>
      </w:pPr>
      <w:bookmarkStart w:id="148" w:name="_Toc25842"/>
      <w:bookmarkStart w:id="149" w:name="_Toc9815"/>
      <w:bookmarkStart w:id="150" w:name="_Toc12551"/>
      <w:bookmarkStart w:id="151" w:name="_Toc16522"/>
      <w:bookmarkStart w:id="152" w:name="_Toc17065"/>
      <w:r>
        <w:rPr>
          <w:rFonts w:hint="eastAsia" w:ascii="黑体" w:hAnsi="黑体" w:eastAsia="黑体"/>
          <w:color w:val="auto"/>
          <w:sz w:val="32"/>
          <w:szCs w:val="32"/>
        </w:rPr>
        <w:t>第</w:t>
      </w:r>
      <w:r>
        <w:rPr>
          <w:rFonts w:hint="eastAsia" w:ascii="黑体" w:hAnsi="黑体" w:eastAsia="黑体"/>
          <w:color w:val="auto"/>
          <w:sz w:val="32"/>
          <w:szCs w:val="32"/>
          <w:lang w:val="en-US" w:eastAsia="zh-CN"/>
        </w:rPr>
        <w:t>七</w:t>
      </w:r>
      <w:r>
        <w:rPr>
          <w:rFonts w:hint="eastAsia" w:ascii="黑体" w:hAnsi="黑体" w:eastAsia="黑体"/>
          <w:color w:val="auto"/>
          <w:sz w:val="32"/>
          <w:szCs w:val="32"/>
        </w:rPr>
        <w:t>章</w:t>
      </w:r>
      <w:bookmarkEnd w:id="148"/>
      <w:bookmarkEnd w:id="149"/>
      <w:bookmarkEnd w:id="150"/>
      <w:bookmarkEnd w:id="151"/>
      <w:bookmarkEnd w:id="152"/>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征地拆迁资金管理办法</w:t>
      </w:r>
      <w:r>
        <w:rPr>
          <w:rFonts w:hint="eastAsia"/>
          <w:color w:val="000000"/>
          <w:sz w:val="32"/>
          <w:szCs w:val="32"/>
        </w:rPr>
        <w:t>　</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三十二</w:t>
      </w:r>
      <w:r>
        <w:rPr>
          <w:rFonts w:hint="eastAsia" w:ascii="楷体" w:hAnsi="楷体" w:eastAsia="楷体"/>
          <w:b/>
          <w:color w:val="auto"/>
          <w:sz w:val="32"/>
          <w:szCs w:val="32"/>
        </w:rPr>
        <w:t>条</w:t>
      </w:r>
      <w:r>
        <w:rPr>
          <w:rFonts w:hint="eastAsia" w:ascii="仿宋" w:hAnsi="仿宋" w:eastAsia="仿宋"/>
          <w:color w:val="auto"/>
          <w:sz w:val="32"/>
          <w:szCs w:val="32"/>
        </w:rPr>
        <w:t xml:space="preserve"> 为规范白城市生态新区征地拆迁资金的管理，保障生态新区征地拆迁工作的顺利进行，根据《中华人民共和国会计法》、《中华人民共和国物权法》、《白城市国有土地上房屋征收与补偿条例》等相关法律、法规，结合生态新区征地拆迁资金管理、使用、监督的实际情况，特制定本办法。</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三十三</w:t>
      </w:r>
      <w:r>
        <w:rPr>
          <w:rFonts w:hint="eastAsia" w:ascii="楷体" w:hAnsi="楷体" w:eastAsia="楷体"/>
          <w:b/>
          <w:color w:val="auto"/>
          <w:sz w:val="32"/>
          <w:szCs w:val="32"/>
        </w:rPr>
        <w:t>条</w:t>
      </w:r>
      <w:r>
        <w:rPr>
          <w:rFonts w:hint="eastAsia" w:ascii="仿宋" w:hAnsi="仿宋" w:eastAsia="仿宋"/>
          <w:color w:val="auto"/>
          <w:sz w:val="32"/>
          <w:szCs w:val="32"/>
        </w:rPr>
        <w:t xml:space="preserve"> 本办法所称征地拆迁资金是指通过生态新区项目建设单位自有资金、金融机构贷款资金、财政资金、政府债券资金等方式建立的专门用于生态新区的土地补偿、安置补助、青苗补偿、地面附着物补偿、建(构)筑物拆迁补偿、征地拆迁管理和其他相关方面的专项资金。</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三十四</w:t>
      </w:r>
      <w:r>
        <w:rPr>
          <w:rFonts w:hint="eastAsia" w:ascii="楷体" w:hAnsi="楷体" w:eastAsia="楷体"/>
          <w:b/>
          <w:color w:val="auto"/>
          <w:sz w:val="32"/>
          <w:szCs w:val="32"/>
        </w:rPr>
        <w:t>条</w:t>
      </w:r>
      <w:r>
        <w:rPr>
          <w:rFonts w:hint="eastAsia" w:ascii="仿宋" w:hAnsi="仿宋" w:eastAsia="仿宋"/>
          <w:color w:val="auto"/>
          <w:sz w:val="32"/>
          <w:szCs w:val="32"/>
        </w:rPr>
        <w:t xml:space="preserve"> 征地拆迁资金管理原则：专户储存、专账核算、专款专用的原则；切实保障被征地拆迁单位和个人合法利益的原则；确保资金安全运行的原则；节约筹资成本、提高资金使用效益的原则。</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三十五</w:t>
      </w:r>
      <w:r>
        <w:rPr>
          <w:rFonts w:hint="eastAsia" w:ascii="楷体" w:hAnsi="楷体" w:eastAsia="楷体"/>
          <w:b/>
          <w:color w:val="auto"/>
          <w:sz w:val="32"/>
          <w:szCs w:val="32"/>
        </w:rPr>
        <w:t>条</w:t>
      </w:r>
      <w:r>
        <w:rPr>
          <w:rFonts w:hint="eastAsia" w:ascii="仿宋" w:hAnsi="仿宋" w:eastAsia="仿宋"/>
          <w:b/>
          <w:color w:val="auto"/>
          <w:sz w:val="32"/>
          <w:szCs w:val="32"/>
        </w:rPr>
        <w:t xml:space="preserve"> </w:t>
      </w:r>
      <w:r>
        <w:rPr>
          <w:rFonts w:hint="eastAsia" w:ascii="仿宋" w:hAnsi="仿宋" w:eastAsia="仿宋"/>
          <w:color w:val="auto"/>
          <w:sz w:val="32"/>
          <w:szCs w:val="32"/>
        </w:rPr>
        <w:t>资金拨付流程：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（一）征地拆迁部门依据征地拆迁工作进度，提出征地拆迁补偿用款计划。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（二）财政部门及时组织、筹措资金，复核用款计划。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（三）资金拨付到财政部门监管的生态新区征地拆迁资金专户。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（四）根据联审组审定的片收补偿协议</w:t>
      </w:r>
      <w:r>
        <w:rPr>
          <w:rFonts w:hint="eastAsia" w:ascii="仿宋" w:hAnsi="仿宋"/>
          <w:color w:val="auto"/>
          <w:sz w:val="32"/>
          <w:szCs w:val="32"/>
          <w:lang w:eastAsia="zh-CN"/>
        </w:rPr>
        <w:t>，</w:t>
      </w:r>
      <w:r>
        <w:rPr>
          <w:rFonts w:hint="eastAsia" w:ascii="仿宋" w:hAnsi="仿宋" w:eastAsia="仿宋"/>
          <w:color w:val="auto"/>
          <w:sz w:val="32"/>
          <w:szCs w:val="32"/>
        </w:rPr>
        <w:t>补偿到被拆迁户。</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三十六</w:t>
      </w:r>
      <w:r>
        <w:rPr>
          <w:rFonts w:hint="eastAsia" w:ascii="楷体" w:hAnsi="楷体" w:eastAsia="楷体"/>
          <w:b/>
          <w:color w:val="auto"/>
          <w:sz w:val="32"/>
          <w:szCs w:val="32"/>
        </w:rPr>
        <w:t>条</w:t>
      </w:r>
      <w:r>
        <w:rPr>
          <w:rFonts w:hint="eastAsia" w:ascii="仿宋" w:hAnsi="仿宋" w:eastAsia="仿宋"/>
          <w:color w:val="auto"/>
          <w:sz w:val="32"/>
          <w:szCs w:val="32"/>
        </w:rPr>
        <w:t xml:space="preserve"> 征地拆迁补偿资金必须及时足额支付给被征地拆迁的单位和个人，不得以任何理由挤占、截留、挪用。</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三十七</w:t>
      </w:r>
      <w:r>
        <w:rPr>
          <w:rFonts w:hint="eastAsia" w:ascii="楷体" w:hAnsi="楷体" w:eastAsia="楷体"/>
          <w:b/>
          <w:color w:val="auto"/>
          <w:sz w:val="32"/>
          <w:szCs w:val="32"/>
        </w:rPr>
        <w:t>条</w:t>
      </w:r>
      <w:r>
        <w:rPr>
          <w:rFonts w:hint="eastAsia" w:ascii="仿宋" w:hAnsi="仿宋" w:eastAsia="仿宋"/>
          <w:color w:val="auto"/>
          <w:sz w:val="32"/>
          <w:szCs w:val="32"/>
        </w:rPr>
        <w:t xml:space="preserve"> 各部门必须把好资金的使用审批关，层层建立责任制度，要依据本办法制定相关的内部财务管理制度，配备专(兼)职的财务管理人员，切实管好、用好征地拆迁专项资金。财政、审计、监察、国土、征收、城管、规划明确任务落实责任。</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bCs/>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三十八</w:t>
      </w:r>
      <w:r>
        <w:rPr>
          <w:rFonts w:hint="eastAsia" w:ascii="楷体" w:hAnsi="楷体" w:eastAsia="楷体"/>
          <w:b/>
          <w:color w:val="auto"/>
          <w:sz w:val="32"/>
          <w:szCs w:val="32"/>
        </w:rPr>
        <w:t>条</w:t>
      </w:r>
      <w:r>
        <w:rPr>
          <w:rFonts w:hint="eastAsia" w:ascii="仿宋" w:hAnsi="仿宋" w:eastAsia="仿宋"/>
          <w:color w:val="auto"/>
          <w:sz w:val="32"/>
          <w:szCs w:val="32"/>
        </w:rPr>
        <w:t xml:space="preserve"> </w:t>
      </w:r>
      <w:r>
        <w:rPr>
          <w:rFonts w:hint="eastAsia" w:ascii="仿宋" w:hAnsi="仿宋" w:eastAsia="仿宋"/>
          <w:bCs/>
          <w:color w:val="auto"/>
          <w:sz w:val="32"/>
          <w:szCs w:val="32"/>
        </w:rPr>
        <w:t>征地拆迁补偿安置资金中兑付给被征地个人的资金经审核后审批兑付，并严格管理财务凭证。兑付时应先清理—汇总—公示—审批—签字（签协议）支付。工作人员应依据征地协议或合同，将被征地个人补偿资金登记造册上报审批后予以发放。征地个人凭身份证及协议领取补偿金，原则上委托银行代发。做到协议、付款通知书、发放表三统一，并妥善保存，便于查询与监督检查。严格执行补偿标准，杜绝多补、少补、欠补、漏补、无据补偿情况发生。</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cs="宋体"/>
          <w:b/>
          <w:snapToGrid w:val="0"/>
          <w:color w:val="auto"/>
          <w:kern w:val="0"/>
          <w:sz w:val="32"/>
          <w:szCs w:val="32"/>
          <w:lang w:val="en-US" w:eastAsia="zh-CN"/>
        </w:rPr>
        <w:t>三十九</w:t>
      </w:r>
      <w:r>
        <w:rPr>
          <w:rFonts w:hint="eastAsia" w:ascii="楷体" w:hAnsi="楷体" w:eastAsia="楷体"/>
          <w:b/>
          <w:color w:val="auto"/>
          <w:sz w:val="32"/>
          <w:szCs w:val="32"/>
        </w:rPr>
        <w:t>条</w:t>
      </w:r>
      <w:r>
        <w:rPr>
          <w:rFonts w:hint="eastAsia" w:ascii="仿宋" w:hAnsi="仿宋" w:eastAsia="仿宋"/>
          <w:color w:val="auto"/>
          <w:sz w:val="32"/>
          <w:szCs w:val="32"/>
        </w:rPr>
        <w:t xml:space="preserve"> 征地拆迁补偿安置资金中兑付给被征地单位的资金经审核后兑付。</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b/>
          <w:color w:val="auto"/>
          <w:sz w:val="32"/>
          <w:szCs w:val="32"/>
          <w:lang w:val="en-US" w:eastAsia="zh-CN"/>
        </w:rPr>
        <w:t>四十</w:t>
      </w:r>
      <w:r>
        <w:rPr>
          <w:rFonts w:hint="eastAsia" w:ascii="楷体" w:hAnsi="楷体" w:eastAsia="楷体"/>
          <w:b/>
          <w:color w:val="auto"/>
          <w:sz w:val="32"/>
          <w:szCs w:val="32"/>
        </w:rPr>
        <w:t>条</w:t>
      </w:r>
      <w:r>
        <w:rPr>
          <w:rFonts w:hint="eastAsia" w:ascii="仿宋" w:hAnsi="仿宋" w:eastAsia="仿宋"/>
          <w:color w:val="auto"/>
          <w:sz w:val="32"/>
          <w:szCs w:val="32"/>
        </w:rPr>
        <w:t xml:space="preserve"> 会计核算严格按《会计法》及国家、省、市有关规定办理,各部门要按照有关规定在银行开设“生态新区征地拆迁资金专用存款账户”，专门存储征地拆迁资金。支出明细科目统一设置如下：土地补偿支出(含征用的土地补偿支出和处理土地补偿中遗留问题的支出)；安置补助支出;青苗补偿支出;地面附着物补偿支出；建筑物征拆补偿支出；管理费支出;其他支出(与征地拆迁相关的其它支出)。</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b/>
          <w:color w:val="auto"/>
          <w:sz w:val="32"/>
          <w:szCs w:val="32"/>
          <w:lang w:val="en-US" w:eastAsia="zh-CN"/>
        </w:rPr>
        <w:t>四十一</w:t>
      </w:r>
      <w:r>
        <w:rPr>
          <w:rFonts w:hint="eastAsia" w:ascii="楷体" w:hAnsi="楷体" w:eastAsia="楷体"/>
          <w:b/>
          <w:color w:val="auto"/>
          <w:sz w:val="32"/>
          <w:szCs w:val="32"/>
        </w:rPr>
        <w:t xml:space="preserve">条 </w:t>
      </w:r>
      <w:r>
        <w:rPr>
          <w:rFonts w:hint="eastAsia" w:ascii="楷体" w:hAnsi="楷体" w:eastAsia="楷体"/>
          <w:color w:val="auto"/>
          <w:sz w:val="32"/>
          <w:szCs w:val="32"/>
        </w:rPr>
        <w:t>财政</w:t>
      </w:r>
      <w:r>
        <w:rPr>
          <w:rFonts w:hint="eastAsia" w:ascii="仿宋" w:hAnsi="仿宋" w:eastAsia="仿宋"/>
          <w:color w:val="auto"/>
          <w:sz w:val="32"/>
          <w:szCs w:val="32"/>
        </w:rPr>
        <w:t>审计、监察等相关部门定期和不定期对新区征地拆迁资金管理和使用情况进行事前、事中、事后审计监督，对群众反映强烈的问题应进行重点监督，对资金管理和使用中违法违纪案件及时严肃查处。新区财政部门要落实专人对征地拆迁补偿安置资金予以业务指导和监督。</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b/>
          <w:color w:val="auto"/>
          <w:sz w:val="32"/>
          <w:szCs w:val="32"/>
          <w:lang w:val="en-US" w:eastAsia="zh-CN"/>
        </w:rPr>
        <w:t>四十二</w:t>
      </w:r>
      <w:r>
        <w:rPr>
          <w:rFonts w:hint="eastAsia" w:ascii="楷体" w:hAnsi="楷体" w:eastAsia="楷体"/>
          <w:b/>
          <w:color w:val="auto"/>
          <w:sz w:val="32"/>
          <w:szCs w:val="32"/>
        </w:rPr>
        <w:t>条</w:t>
      </w:r>
      <w:r>
        <w:rPr>
          <w:rFonts w:hint="eastAsia" w:ascii="仿宋" w:hAnsi="仿宋" w:eastAsia="仿宋"/>
          <w:color w:val="auto"/>
          <w:sz w:val="32"/>
          <w:szCs w:val="32"/>
        </w:rPr>
        <w:t xml:space="preserve"> 生态新区征地拆迁补偿安置资金原则上每半年审计1次。经生态新区领导同意，可以随时对个别项目开展专项审计。</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olor w:val="auto"/>
          <w:sz w:val="32"/>
          <w:szCs w:val="32"/>
        </w:rPr>
      </w:pPr>
      <w:r>
        <w:rPr>
          <w:rFonts w:hint="eastAsia" w:ascii="楷体" w:hAnsi="楷体" w:eastAsia="楷体"/>
          <w:b/>
          <w:color w:val="auto"/>
          <w:sz w:val="32"/>
          <w:szCs w:val="32"/>
        </w:rPr>
        <w:t>第</w:t>
      </w:r>
      <w:r>
        <w:rPr>
          <w:rFonts w:hint="eastAsia" w:ascii="楷体" w:hAnsi="楷体" w:eastAsia="楷体"/>
          <w:b/>
          <w:color w:val="auto"/>
          <w:sz w:val="32"/>
          <w:szCs w:val="32"/>
          <w:lang w:val="en-US" w:eastAsia="zh-CN"/>
        </w:rPr>
        <w:t>四十三</w:t>
      </w:r>
      <w:r>
        <w:rPr>
          <w:rFonts w:hint="eastAsia" w:ascii="楷体" w:hAnsi="楷体" w:eastAsia="楷体"/>
          <w:b/>
          <w:color w:val="auto"/>
          <w:sz w:val="32"/>
          <w:szCs w:val="32"/>
        </w:rPr>
        <w:t>条</w:t>
      </w:r>
      <w:r>
        <w:rPr>
          <w:rFonts w:hint="eastAsia" w:ascii="仿宋" w:hAnsi="仿宋" w:eastAsia="仿宋"/>
          <w:color w:val="auto"/>
          <w:sz w:val="32"/>
          <w:szCs w:val="32"/>
        </w:rPr>
        <w:t xml:space="preserve"> 要坚决杜绝征地拆迁资金在使用过程中的违规、违纪、违法行为，如出现问题将依法、依纪追究法人及相关人员责任。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olor w:val="auto"/>
          <w:sz w:val="32"/>
          <w:szCs w:val="32"/>
        </w:rPr>
      </w:pPr>
      <w:bookmarkStart w:id="153" w:name="_Toc20067"/>
      <w:bookmarkStart w:id="154" w:name="_Toc9093"/>
      <w:bookmarkStart w:id="155" w:name="_Toc19127"/>
      <w:bookmarkStart w:id="156" w:name="_Toc19585"/>
      <w:bookmarkStart w:id="157" w:name="_Toc2771"/>
      <w:r>
        <w:rPr>
          <w:rFonts w:hint="eastAsia" w:ascii="黑体" w:hAnsi="黑体" w:eastAsia="黑体"/>
          <w:color w:val="auto"/>
          <w:sz w:val="32"/>
          <w:szCs w:val="32"/>
        </w:rPr>
        <w:t>第</w:t>
      </w:r>
      <w:r>
        <w:rPr>
          <w:rFonts w:hint="eastAsia" w:ascii="黑体" w:hAnsi="黑体" w:eastAsia="黑体"/>
          <w:color w:val="auto"/>
          <w:sz w:val="32"/>
          <w:szCs w:val="32"/>
          <w:lang w:val="en-US" w:eastAsia="zh-CN"/>
        </w:rPr>
        <w:t>八</w:t>
      </w:r>
      <w:r>
        <w:rPr>
          <w:rFonts w:hint="eastAsia" w:ascii="黑体" w:hAnsi="黑体" w:eastAsia="黑体"/>
          <w:color w:val="auto"/>
          <w:sz w:val="32"/>
          <w:szCs w:val="32"/>
        </w:rPr>
        <w:t>章</w:t>
      </w:r>
      <w:r>
        <w:rPr>
          <w:rFonts w:hint="eastAsia" w:ascii="黑体" w:hAnsi="黑体" w:eastAsia="黑体"/>
          <w:color w:val="auto"/>
          <w:sz w:val="32"/>
          <w:szCs w:val="32"/>
          <w:lang w:val="en-US" w:eastAsia="zh-CN"/>
        </w:rPr>
        <w:t xml:space="preserve"> </w:t>
      </w:r>
      <w:r>
        <w:rPr>
          <w:rFonts w:hint="eastAsia" w:ascii="黑体" w:hAnsi="黑体" w:eastAsia="黑体"/>
          <w:color w:val="auto"/>
          <w:sz w:val="32"/>
          <w:szCs w:val="32"/>
        </w:rPr>
        <w:t xml:space="preserve"> </w:t>
      </w:r>
      <w:bookmarkEnd w:id="153"/>
      <w:bookmarkEnd w:id="154"/>
      <w:bookmarkEnd w:id="155"/>
      <w:bookmarkEnd w:id="156"/>
      <w:bookmarkEnd w:id="157"/>
      <w:r>
        <w:rPr>
          <w:rFonts w:hint="eastAsia" w:ascii="黑体" w:hAnsi="黑体" w:eastAsia="黑体"/>
          <w:color w:val="auto"/>
          <w:sz w:val="32"/>
          <w:szCs w:val="32"/>
        </w:rPr>
        <w:t>项目建设资金管理</w:t>
      </w:r>
    </w:p>
    <w:p>
      <w:pPr>
        <w:bidi w:val="0"/>
        <w:ind w:firstLine="643" w:firstLineChars="200"/>
        <w:rPr>
          <w:rFonts w:hint="eastAsia" w:ascii="仿宋" w:hAnsi="仿宋" w:eastAsia="仿宋"/>
          <w:color w:val="auto"/>
          <w:sz w:val="32"/>
          <w:szCs w:val="32"/>
        </w:rPr>
      </w:pPr>
      <w:r>
        <w:rPr>
          <w:rFonts w:hint="eastAsia" w:ascii="仿宋" w:hAnsi="仿宋" w:eastAsia="仿宋"/>
          <w:b/>
          <w:bCs/>
          <w:color w:val="auto"/>
          <w:sz w:val="32"/>
          <w:szCs w:val="32"/>
          <w:lang w:val="en-US" w:eastAsia="zh-CN"/>
        </w:rPr>
        <w:t>第</w:t>
      </w:r>
      <w:r>
        <w:rPr>
          <w:rFonts w:hint="eastAsia" w:ascii="楷体" w:hAnsi="楷体" w:eastAsia="楷体"/>
          <w:b/>
          <w:color w:val="auto"/>
          <w:sz w:val="32"/>
          <w:szCs w:val="32"/>
          <w:lang w:val="en-US" w:eastAsia="zh-CN"/>
        </w:rPr>
        <w:t>四十四</w:t>
      </w:r>
      <w:r>
        <w:rPr>
          <w:rFonts w:hint="eastAsia" w:ascii="仿宋" w:hAnsi="仿宋" w:eastAsia="仿宋"/>
          <w:b/>
          <w:bCs/>
          <w:color w:val="auto"/>
          <w:sz w:val="32"/>
          <w:szCs w:val="32"/>
          <w:lang w:val="en-US" w:eastAsia="zh-CN"/>
        </w:rPr>
        <w:t>条</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为了进一步加强项目建设资金管理，规范政府投资建设行为，合理控制投资成本，提高资金使用效益，保障新区项目建设顺利进行，按照《白城市财政性资金基本建设投资评审管理暂行办法》（白城市人民政府令</w:t>
      </w:r>
      <w:r>
        <w:rPr>
          <w:rFonts w:ascii="仿宋" w:hAnsi="仿宋" w:eastAsia="仿宋"/>
          <w:color w:val="auto"/>
          <w:sz w:val="32"/>
          <w:szCs w:val="32"/>
        </w:rPr>
        <w:t>[2008]19</w:t>
      </w:r>
      <w:r>
        <w:rPr>
          <w:rFonts w:hint="eastAsia" w:ascii="仿宋" w:hAnsi="仿宋" w:eastAsia="仿宋"/>
          <w:color w:val="auto"/>
          <w:sz w:val="32"/>
          <w:szCs w:val="32"/>
        </w:rPr>
        <w:t>号）、《白城市财政性资金基本建设投资评审细则》（白城市人民政府令</w:t>
      </w:r>
      <w:r>
        <w:rPr>
          <w:rFonts w:ascii="仿宋" w:hAnsi="仿宋" w:eastAsia="仿宋"/>
          <w:color w:val="auto"/>
          <w:sz w:val="32"/>
          <w:szCs w:val="32"/>
        </w:rPr>
        <w:t>[2009]21</w:t>
      </w:r>
      <w:r>
        <w:rPr>
          <w:rFonts w:hint="eastAsia" w:ascii="仿宋" w:hAnsi="仿宋" w:eastAsia="仿宋"/>
          <w:color w:val="auto"/>
          <w:sz w:val="32"/>
          <w:szCs w:val="32"/>
        </w:rPr>
        <w:t>号）和《白城市生态新区专项资金管理暂行办法》等相关文件规定，结合当前实际情况，补充规定如下：</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olor w:val="auto"/>
          <w:sz w:val="32"/>
          <w:szCs w:val="32"/>
        </w:rPr>
      </w:pPr>
      <w:bookmarkStart w:id="158" w:name="_Toc31906"/>
      <w:bookmarkStart w:id="159" w:name="_Toc19044"/>
      <w:bookmarkStart w:id="160" w:name="_Toc9014"/>
      <w:bookmarkStart w:id="161" w:name="_Toc9857"/>
      <w:bookmarkStart w:id="162" w:name="_Toc28807"/>
      <w:r>
        <w:rPr>
          <w:rFonts w:hint="eastAsia" w:ascii="黑体" w:hAnsi="黑体" w:eastAsia="黑体"/>
          <w:color w:val="auto"/>
          <w:sz w:val="32"/>
          <w:szCs w:val="32"/>
          <w:lang w:eastAsia="zh-CN"/>
        </w:rPr>
        <w:t>（</w:t>
      </w:r>
      <w:r>
        <w:rPr>
          <w:rFonts w:hint="eastAsia" w:ascii="黑体" w:hAnsi="黑体" w:eastAsia="黑体"/>
          <w:color w:val="auto"/>
          <w:sz w:val="32"/>
          <w:szCs w:val="32"/>
        </w:rPr>
        <w:t>一</w:t>
      </w:r>
      <w:r>
        <w:rPr>
          <w:rFonts w:hint="eastAsia" w:ascii="黑体" w:hAnsi="黑体" w:eastAsia="黑体"/>
          <w:color w:val="auto"/>
          <w:sz w:val="32"/>
          <w:szCs w:val="32"/>
          <w:lang w:eastAsia="zh-CN"/>
        </w:rPr>
        <w:t>）</w:t>
      </w:r>
      <w:r>
        <w:rPr>
          <w:rFonts w:hint="eastAsia" w:ascii="黑体" w:hAnsi="黑体" w:eastAsia="黑体"/>
          <w:color w:val="auto"/>
          <w:sz w:val="32"/>
          <w:szCs w:val="32"/>
        </w:rPr>
        <w:t>投资主体</w:t>
      </w:r>
      <w:bookmarkEnd w:id="158"/>
      <w:bookmarkEnd w:id="159"/>
      <w:bookmarkEnd w:id="160"/>
      <w:bookmarkEnd w:id="161"/>
      <w:bookmarkEnd w:id="162"/>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投资主体为白城市生态新区建设领导小组办公室。</w:t>
      </w:r>
    </w:p>
    <w:p>
      <w:pPr>
        <w:pStyle w:val="16"/>
        <w:keepNext w:val="0"/>
        <w:keepLines w:val="0"/>
        <w:pageBreakBefore w:val="0"/>
        <w:kinsoku/>
        <w:wordWrap/>
        <w:overflowPunct/>
        <w:topLinePunct w:val="0"/>
        <w:autoSpaceDE/>
        <w:autoSpaceDN/>
        <w:bidi w:val="0"/>
        <w:adjustRightInd/>
        <w:snapToGrid/>
        <w:spacing w:line="360" w:lineRule="auto"/>
        <w:ind w:firstLine="640"/>
        <w:textAlignment w:val="auto"/>
        <w:outlineLvl w:val="0"/>
        <w:rPr>
          <w:rFonts w:ascii="黑体" w:hAnsi="黑体" w:eastAsia="黑体"/>
          <w:color w:val="auto"/>
          <w:sz w:val="32"/>
          <w:szCs w:val="32"/>
        </w:rPr>
      </w:pPr>
      <w:bookmarkStart w:id="163" w:name="_Toc25077"/>
      <w:bookmarkStart w:id="164" w:name="_Toc13550"/>
      <w:bookmarkStart w:id="165" w:name="_Toc26898"/>
      <w:bookmarkStart w:id="166" w:name="_Toc3530"/>
      <w:bookmarkStart w:id="167" w:name="_Toc20513"/>
      <w:r>
        <w:rPr>
          <w:rFonts w:hint="eastAsia" w:ascii="黑体" w:hAnsi="黑体" w:eastAsia="黑体"/>
          <w:color w:val="auto"/>
          <w:sz w:val="32"/>
          <w:szCs w:val="32"/>
          <w:lang w:eastAsia="zh-CN"/>
        </w:rPr>
        <w:t>（</w:t>
      </w:r>
      <w:r>
        <w:rPr>
          <w:rFonts w:hint="eastAsia" w:ascii="黑体" w:hAnsi="黑体" w:eastAsia="黑体"/>
          <w:color w:val="auto"/>
          <w:sz w:val="32"/>
          <w:szCs w:val="32"/>
        </w:rPr>
        <w:t>二</w:t>
      </w:r>
      <w:r>
        <w:rPr>
          <w:rFonts w:hint="eastAsia" w:ascii="黑体" w:hAnsi="黑体" w:eastAsia="黑体"/>
          <w:color w:val="auto"/>
          <w:sz w:val="32"/>
          <w:szCs w:val="32"/>
          <w:lang w:eastAsia="zh-CN"/>
        </w:rPr>
        <w:t>）</w:t>
      </w:r>
      <w:r>
        <w:rPr>
          <w:rFonts w:hint="eastAsia" w:ascii="黑体" w:hAnsi="黑体" w:eastAsia="黑体"/>
          <w:color w:val="auto"/>
          <w:sz w:val="32"/>
          <w:szCs w:val="32"/>
        </w:rPr>
        <w:t>明确管理范围</w:t>
      </w:r>
      <w:bookmarkEnd w:id="163"/>
      <w:bookmarkEnd w:id="164"/>
      <w:bookmarkEnd w:id="165"/>
      <w:bookmarkEnd w:id="166"/>
      <w:bookmarkEnd w:id="167"/>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凡是财政性基本建设资金安排的项目都是进一步加强财务管理的范围，具体包括：中央、省专项资金安排的建设项目；市财政预算内资金安排的建设项目；生态新区预算外资金和自筹资金安排的建设项目；政府性基金安排的建设项目；银行贷款、融资安排的建设项目；生态新区企业以政府信用或政府资产担保进行贷款或融资的项目；其他财政性资金投资的建设项目。</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ascii="黑体" w:hAnsi="黑体" w:eastAsia="黑体"/>
          <w:color w:val="auto"/>
          <w:sz w:val="32"/>
          <w:szCs w:val="32"/>
        </w:rPr>
      </w:pPr>
      <w:bookmarkStart w:id="168" w:name="_Toc24408"/>
      <w:bookmarkStart w:id="169" w:name="_Toc26324"/>
      <w:bookmarkStart w:id="170" w:name="_Toc6055"/>
      <w:bookmarkStart w:id="171" w:name="_Toc10280"/>
      <w:bookmarkStart w:id="172" w:name="_Toc16594"/>
      <w:r>
        <w:rPr>
          <w:rFonts w:hint="eastAsia" w:ascii="黑体" w:hAnsi="黑体" w:eastAsia="黑体"/>
          <w:color w:val="auto"/>
          <w:sz w:val="32"/>
          <w:szCs w:val="32"/>
          <w:lang w:eastAsia="zh-CN"/>
        </w:rPr>
        <w:t>（</w:t>
      </w:r>
      <w:r>
        <w:rPr>
          <w:rFonts w:hint="eastAsia" w:ascii="黑体" w:hAnsi="黑体" w:eastAsia="黑体"/>
          <w:color w:val="auto"/>
          <w:sz w:val="32"/>
          <w:szCs w:val="32"/>
        </w:rPr>
        <w:t>三</w:t>
      </w:r>
      <w:r>
        <w:rPr>
          <w:rFonts w:hint="eastAsia" w:ascii="黑体" w:hAnsi="黑体" w:eastAsia="黑体"/>
          <w:color w:val="auto"/>
          <w:sz w:val="32"/>
          <w:szCs w:val="32"/>
          <w:lang w:eastAsia="zh-CN"/>
        </w:rPr>
        <w:t>）</w:t>
      </w:r>
      <w:r>
        <w:rPr>
          <w:rFonts w:hint="eastAsia" w:ascii="黑体" w:hAnsi="黑体" w:eastAsia="黑体"/>
          <w:color w:val="auto"/>
          <w:sz w:val="32"/>
          <w:szCs w:val="32"/>
        </w:rPr>
        <w:t>项目投资评审</w:t>
      </w:r>
      <w:bookmarkEnd w:id="168"/>
      <w:bookmarkEnd w:id="169"/>
      <w:bookmarkEnd w:id="170"/>
      <w:bookmarkEnd w:id="171"/>
      <w:bookmarkEnd w:id="172"/>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财政性资金建设项目，其概、预（结）算、竣工决算必须经过生态新区财政金融审计局预审并会同市财政投资评审机构审核。审查的主要内容包括：项目前期工作、工程预算、工程招标标底、工程价款计算、重大设计变更、工程竣工财务决（结）算等。建设项目招标控制价需经生态新区财政金融审计局预审并会同市财政评审中心审定后，方可报定额站备案，招标办招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ascii="黑体" w:hAnsi="黑体" w:eastAsia="黑体"/>
          <w:color w:val="auto"/>
          <w:sz w:val="32"/>
          <w:szCs w:val="32"/>
        </w:rPr>
      </w:pPr>
      <w:bookmarkStart w:id="173" w:name="_Toc13463"/>
      <w:bookmarkStart w:id="174" w:name="_Toc12952"/>
      <w:bookmarkStart w:id="175" w:name="_Toc32043"/>
      <w:bookmarkStart w:id="176" w:name="_Toc20192"/>
      <w:bookmarkStart w:id="177" w:name="_Toc26825"/>
      <w:r>
        <w:rPr>
          <w:rFonts w:hint="eastAsia" w:ascii="黑体" w:hAnsi="黑体" w:eastAsia="黑体"/>
          <w:color w:val="auto"/>
          <w:sz w:val="32"/>
          <w:szCs w:val="32"/>
          <w:lang w:eastAsia="zh-CN"/>
        </w:rPr>
        <w:t>（</w:t>
      </w:r>
      <w:r>
        <w:rPr>
          <w:rFonts w:hint="eastAsia" w:ascii="黑体" w:hAnsi="黑体" w:eastAsia="黑体"/>
          <w:color w:val="auto"/>
          <w:sz w:val="32"/>
          <w:szCs w:val="32"/>
          <w:lang w:val="en-US" w:eastAsia="zh-CN"/>
        </w:rPr>
        <w:t>四</w:t>
      </w:r>
      <w:r>
        <w:rPr>
          <w:rFonts w:hint="eastAsia" w:ascii="黑体" w:hAnsi="黑体" w:eastAsia="黑体"/>
          <w:color w:val="auto"/>
          <w:sz w:val="32"/>
          <w:szCs w:val="32"/>
          <w:lang w:eastAsia="zh-CN"/>
        </w:rPr>
        <w:t>）</w:t>
      </w:r>
      <w:r>
        <w:rPr>
          <w:rFonts w:hint="eastAsia" w:ascii="黑体" w:hAnsi="黑体" w:eastAsia="黑体"/>
          <w:color w:val="auto"/>
          <w:sz w:val="32"/>
          <w:szCs w:val="32"/>
        </w:rPr>
        <w:t>资金专户管理</w:t>
      </w:r>
      <w:bookmarkEnd w:id="173"/>
      <w:bookmarkEnd w:id="174"/>
      <w:bookmarkEnd w:id="175"/>
      <w:bookmarkEnd w:id="176"/>
      <w:bookmarkEnd w:id="177"/>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财政部门要建立基本建设资金专户，财政性基本建设（除维修、装潢外）资金必须存入财政基建专户，并按相关规定对资金进行管理；建设单位也要设立基建专户，对从财政基建专户拨入的基建资金实行专人、专账、专户管理。</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ascii="黑体" w:hAnsi="黑体" w:eastAsia="黑体"/>
          <w:color w:val="auto"/>
          <w:sz w:val="32"/>
          <w:szCs w:val="32"/>
        </w:rPr>
      </w:pPr>
      <w:bookmarkStart w:id="178" w:name="_Toc2011"/>
      <w:bookmarkStart w:id="179" w:name="_Toc31585"/>
      <w:bookmarkStart w:id="180" w:name="_Toc15060"/>
      <w:bookmarkStart w:id="181" w:name="_Toc10200"/>
      <w:bookmarkStart w:id="182" w:name="_Toc22006"/>
      <w:r>
        <w:rPr>
          <w:rFonts w:hint="eastAsia" w:ascii="黑体" w:hAnsi="黑体" w:eastAsia="黑体"/>
          <w:color w:val="auto"/>
          <w:sz w:val="32"/>
          <w:szCs w:val="32"/>
          <w:lang w:eastAsia="zh-CN"/>
        </w:rPr>
        <w:t>（</w:t>
      </w:r>
      <w:r>
        <w:rPr>
          <w:rFonts w:hint="eastAsia" w:ascii="黑体" w:hAnsi="黑体" w:eastAsia="黑体"/>
          <w:color w:val="auto"/>
          <w:sz w:val="32"/>
          <w:szCs w:val="32"/>
          <w:lang w:val="en-US" w:eastAsia="zh-CN"/>
        </w:rPr>
        <w:t>五</w:t>
      </w:r>
      <w:r>
        <w:rPr>
          <w:rFonts w:hint="eastAsia" w:ascii="黑体" w:hAnsi="黑体" w:eastAsia="黑体"/>
          <w:color w:val="auto"/>
          <w:sz w:val="32"/>
          <w:szCs w:val="32"/>
          <w:lang w:eastAsia="zh-CN"/>
        </w:rPr>
        <w:t>）</w:t>
      </w:r>
      <w:r>
        <w:rPr>
          <w:rFonts w:hint="eastAsia" w:ascii="黑体" w:hAnsi="黑体" w:eastAsia="黑体"/>
          <w:color w:val="auto"/>
          <w:sz w:val="32"/>
          <w:szCs w:val="32"/>
        </w:rPr>
        <w:t>项目变更管理</w:t>
      </w:r>
      <w:bookmarkEnd w:id="178"/>
      <w:bookmarkEnd w:id="179"/>
      <w:bookmarkEnd w:id="180"/>
      <w:bookmarkEnd w:id="181"/>
      <w:bookmarkEnd w:id="182"/>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建设项目总投资500万元以内变更超过总投资20%的项目，总投资500万元以上变更超过总投资10%的项目应向白城市新区财政等相关部门提出申请，经研究审定。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olor w:val="auto"/>
          <w:sz w:val="32"/>
          <w:szCs w:val="32"/>
        </w:rPr>
      </w:pPr>
      <w:bookmarkStart w:id="183" w:name="_Toc26871"/>
      <w:bookmarkStart w:id="184" w:name="_Toc9977"/>
      <w:bookmarkStart w:id="185" w:name="_Toc31010"/>
      <w:bookmarkStart w:id="186" w:name="_Toc819"/>
      <w:bookmarkStart w:id="187" w:name="_Toc21532"/>
      <w:r>
        <w:rPr>
          <w:rFonts w:hint="eastAsia" w:ascii="黑体" w:hAnsi="黑体" w:eastAsia="黑体"/>
          <w:color w:val="auto"/>
          <w:sz w:val="32"/>
          <w:szCs w:val="32"/>
          <w:lang w:eastAsia="zh-CN"/>
        </w:rPr>
        <w:t>（</w:t>
      </w:r>
      <w:r>
        <w:rPr>
          <w:rFonts w:hint="eastAsia" w:ascii="黑体" w:hAnsi="黑体" w:eastAsia="黑体"/>
          <w:color w:val="auto"/>
          <w:sz w:val="32"/>
          <w:szCs w:val="32"/>
          <w:lang w:val="en-US" w:eastAsia="zh-CN"/>
        </w:rPr>
        <w:t>六</w:t>
      </w:r>
      <w:r>
        <w:rPr>
          <w:rFonts w:hint="eastAsia" w:ascii="黑体" w:hAnsi="黑体" w:eastAsia="黑体"/>
          <w:color w:val="auto"/>
          <w:sz w:val="32"/>
          <w:szCs w:val="32"/>
          <w:lang w:eastAsia="zh-CN"/>
        </w:rPr>
        <w:t>）</w:t>
      </w:r>
      <w:r>
        <w:rPr>
          <w:rFonts w:hint="eastAsia" w:ascii="黑体" w:hAnsi="黑体" w:eastAsia="黑体"/>
          <w:color w:val="auto"/>
          <w:sz w:val="32"/>
          <w:szCs w:val="32"/>
        </w:rPr>
        <w:t>严格拨款程序</w:t>
      </w:r>
      <w:bookmarkEnd w:id="183"/>
      <w:bookmarkEnd w:id="184"/>
      <w:bookmarkEnd w:id="185"/>
      <w:bookmarkEnd w:id="186"/>
      <w:bookmarkEnd w:id="187"/>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生态新区财政金融审计局根据预审会同市评审中心审核后的年度投资计划和项目单位申请，按工程建设进度分期拨付建设资金。未经评审的项目财政部门不予拨付资金。工程建设期间，累计拨付的资金不得超过工程造价或投资计划的</w:t>
      </w:r>
      <w:r>
        <w:rPr>
          <w:rFonts w:ascii="仿宋" w:hAnsi="仿宋" w:eastAsia="仿宋"/>
          <w:color w:val="auto"/>
          <w:sz w:val="32"/>
          <w:szCs w:val="32"/>
        </w:rPr>
        <w:t>80</w:t>
      </w:r>
      <w:r>
        <w:rPr>
          <w:rFonts w:hint="eastAsia" w:ascii="仿宋" w:hAnsi="仿宋" w:eastAsia="仿宋"/>
          <w:color w:val="auto"/>
          <w:sz w:val="32"/>
          <w:szCs w:val="32"/>
        </w:rPr>
        <w:t>％，工程决算后应按工程决算金额的</w:t>
      </w:r>
      <w:r>
        <w:rPr>
          <w:rFonts w:ascii="仿宋" w:hAnsi="仿宋" w:eastAsia="仿宋"/>
          <w:color w:val="auto"/>
          <w:sz w:val="32"/>
          <w:szCs w:val="32"/>
        </w:rPr>
        <w:t>5</w:t>
      </w:r>
      <w:r>
        <w:rPr>
          <w:rFonts w:hint="eastAsia" w:ascii="仿宋" w:hAnsi="仿宋" w:eastAsia="仿宋"/>
          <w:color w:val="auto"/>
          <w:sz w:val="32"/>
          <w:szCs w:val="32"/>
        </w:rPr>
        <w:t>％预留工程质量保证金，作为保修期内的维修费。</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olor w:val="auto"/>
          <w:sz w:val="32"/>
          <w:szCs w:val="32"/>
        </w:rPr>
      </w:pPr>
      <w:bookmarkStart w:id="188" w:name="_Toc14986"/>
      <w:bookmarkStart w:id="189" w:name="_Toc2007"/>
      <w:bookmarkStart w:id="190" w:name="_Toc9964"/>
      <w:bookmarkStart w:id="191" w:name="_Toc11066"/>
      <w:bookmarkStart w:id="192" w:name="_Toc709"/>
      <w:r>
        <w:rPr>
          <w:rFonts w:hint="eastAsia" w:ascii="黑体" w:hAnsi="黑体" w:eastAsia="黑体"/>
          <w:color w:val="auto"/>
          <w:sz w:val="32"/>
          <w:szCs w:val="32"/>
          <w:lang w:eastAsia="zh-CN"/>
        </w:rPr>
        <w:t>（</w:t>
      </w:r>
      <w:r>
        <w:rPr>
          <w:rFonts w:hint="eastAsia" w:ascii="黑体" w:hAnsi="黑体" w:eastAsia="黑体"/>
          <w:color w:val="auto"/>
          <w:sz w:val="32"/>
          <w:szCs w:val="32"/>
          <w:lang w:val="en-US" w:eastAsia="zh-CN"/>
        </w:rPr>
        <w:t>七</w:t>
      </w:r>
      <w:r>
        <w:rPr>
          <w:rFonts w:hint="eastAsia" w:ascii="黑体" w:hAnsi="黑体" w:eastAsia="黑体"/>
          <w:color w:val="auto"/>
          <w:sz w:val="32"/>
          <w:szCs w:val="32"/>
          <w:lang w:eastAsia="zh-CN"/>
        </w:rPr>
        <w:t>）</w:t>
      </w:r>
      <w:r>
        <w:rPr>
          <w:rFonts w:hint="eastAsia" w:ascii="黑体" w:hAnsi="黑体" w:eastAsia="黑体"/>
          <w:color w:val="auto"/>
          <w:sz w:val="32"/>
          <w:szCs w:val="32"/>
        </w:rPr>
        <w:t>项目单位申请资金需提供的资料</w:t>
      </w:r>
      <w:bookmarkEnd w:id="188"/>
      <w:bookmarkEnd w:id="189"/>
      <w:bookmarkEnd w:id="190"/>
      <w:bookmarkEnd w:id="191"/>
      <w:bookmarkEnd w:id="192"/>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项目单位申请资金需提供：项目立项文件、可行性研究报告、工程预算书、招投标文件、工程监理及施工合同、基建项目评审结论等。 </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s="宋体"/>
          <w:color w:val="auto"/>
          <w:kern w:val="0"/>
          <w:sz w:val="32"/>
          <w:szCs w:val="32"/>
        </w:rPr>
      </w:pPr>
      <w:r>
        <w:rPr>
          <w:rFonts w:hint="eastAsia" w:ascii="仿宋" w:hAnsi="仿宋" w:eastAsia="仿宋"/>
          <w:color w:val="auto"/>
          <w:sz w:val="32"/>
          <w:szCs w:val="32"/>
        </w:rPr>
        <w:t>被审核的基本建设工程决算需提供：工程决算书、工程竣工验收报告、招标文、投标文件、中标通知书、施工合同、协议、施工图或竣工图、工程量计算书、劳</w:t>
      </w:r>
      <w:r>
        <w:rPr>
          <w:rFonts w:hint="eastAsia" w:ascii="仿宋" w:hAnsi="仿宋" w:eastAsia="仿宋" w:cs="宋体"/>
          <w:color w:val="auto"/>
          <w:kern w:val="0"/>
          <w:sz w:val="32"/>
          <w:szCs w:val="32"/>
        </w:rPr>
        <w:t>保取费证明、</w:t>
      </w:r>
      <w:r>
        <w:rPr>
          <w:rFonts w:hint="eastAsia" w:ascii="仿宋" w:hAnsi="仿宋" w:cs="宋体"/>
          <w:color w:val="auto"/>
          <w:kern w:val="0"/>
          <w:sz w:val="32"/>
          <w:szCs w:val="32"/>
          <w:lang w:eastAsia="zh-CN"/>
        </w:rPr>
        <w:t>影像</w:t>
      </w:r>
      <w:r>
        <w:rPr>
          <w:rFonts w:hint="eastAsia" w:ascii="仿宋" w:hAnsi="仿宋" w:eastAsia="仿宋" w:cs="宋体"/>
          <w:color w:val="auto"/>
          <w:kern w:val="0"/>
          <w:sz w:val="32"/>
          <w:szCs w:val="32"/>
        </w:rPr>
        <w:t>资料、经批准的施工组织设计、工程变更签证资料、隐蔽工程资料等。</w:t>
      </w:r>
    </w:p>
    <w:p>
      <w:pPr>
        <w:keepNext w:val="0"/>
        <w:keepLines w:val="0"/>
        <w:pageBreakBefore w:val="0"/>
        <w:kinsoku/>
        <w:wordWrap/>
        <w:overflowPunct/>
        <w:topLinePunct w:val="0"/>
        <w:autoSpaceDE/>
        <w:autoSpaceDN/>
        <w:bidi w:val="0"/>
        <w:adjustRightInd/>
        <w:snapToGrid/>
        <w:spacing w:line="360" w:lineRule="auto"/>
        <w:ind w:firstLine="627" w:firstLineChars="196"/>
        <w:textAlignment w:val="auto"/>
        <w:outlineLvl w:val="0"/>
        <w:rPr>
          <w:rFonts w:ascii="黑体" w:hAnsi="黑体" w:eastAsia="黑体"/>
          <w:color w:val="auto"/>
          <w:sz w:val="32"/>
          <w:szCs w:val="32"/>
        </w:rPr>
      </w:pPr>
      <w:bookmarkStart w:id="193" w:name="_Toc12967"/>
      <w:bookmarkStart w:id="194" w:name="_Toc20399"/>
      <w:bookmarkStart w:id="195" w:name="_Toc8354"/>
      <w:bookmarkStart w:id="196" w:name="_Toc23260"/>
      <w:bookmarkStart w:id="197" w:name="_Toc13648"/>
      <w:r>
        <w:rPr>
          <w:rFonts w:hint="eastAsia" w:ascii="黑体" w:hAnsi="黑体" w:eastAsia="黑体"/>
          <w:color w:val="auto"/>
          <w:sz w:val="32"/>
          <w:szCs w:val="32"/>
          <w:lang w:eastAsia="zh-CN"/>
        </w:rPr>
        <w:t>（</w:t>
      </w:r>
      <w:r>
        <w:rPr>
          <w:rFonts w:hint="eastAsia" w:ascii="黑体" w:hAnsi="黑体" w:eastAsia="黑体"/>
          <w:color w:val="auto"/>
          <w:sz w:val="32"/>
          <w:szCs w:val="32"/>
          <w:lang w:val="en-US" w:eastAsia="zh-CN"/>
        </w:rPr>
        <w:t>八</w:t>
      </w:r>
      <w:r>
        <w:rPr>
          <w:rFonts w:hint="eastAsia" w:ascii="黑体" w:hAnsi="黑体" w:eastAsia="黑体"/>
          <w:color w:val="auto"/>
          <w:sz w:val="32"/>
          <w:szCs w:val="32"/>
          <w:lang w:eastAsia="zh-CN"/>
        </w:rPr>
        <w:t>）</w:t>
      </w:r>
      <w:r>
        <w:rPr>
          <w:rFonts w:hint="eastAsia" w:ascii="黑体" w:hAnsi="黑体" w:eastAsia="黑体"/>
          <w:color w:val="auto"/>
          <w:sz w:val="32"/>
          <w:szCs w:val="32"/>
        </w:rPr>
        <w:t>项目决算管理</w:t>
      </w:r>
      <w:bookmarkEnd w:id="193"/>
      <w:bookmarkEnd w:id="194"/>
      <w:bookmarkEnd w:id="195"/>
      <w:bookmarkEnd w:id="196"/>
      <w:bookmarkEnd w:id="197"/>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建设项目完工一个月内，必须将工程决算报生态新区财政金融审计局，生态新区财政金融审计局会同市财政投资评审中心审核，审核后办理项目竣工验收手续，逾期不报的，财政部门不予拨付建设项目尾款。</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outlineLvl w:val="0"/>
        <w:rPr>
          <w:rFonts w:ascii="黑体" w:hAnsi="黑体" w:eastAsia="黑体"/>
          <w:color w:val="auto"/>
          <w:sz w:val="32"/>
          <w:szCs w:val="32"/>
        </w:rPr>
      </w:pPr>
      <w:bookmarkStart w:id="198" w:name="_Toc4965"/>
      <w:bookmarkStart w:id="199" w:name="_Toc31480"/>
      <w:bookmarkStart w:id="200" w:name="_Toc3920"/>
      <w:bookmarkStart w:id="201" w:name="_Toc19733"/>
      <w:bookmarkStart w:id="202" w:name="_Toc26947"/>
      <w:r>
        <w:rPr>
          <w:rFonts w:hint="eastAsia" w:ascii="黑体" w:hAnsi="黑体" w:eastAsia="黑体"/>
          <w:color w:val="auto"/>
          <w:sz w:val="32"/>
          <w:szCs w:val="32"/>
          <w:lang w:eastAsia="zh-CN"/>
        </w:rPr>
        <w:t>（</w:t>
      </w:r>
      <w:r>
        <w:rPr>
          <w:rFonts w:hint="eastAsia" w:ascii="黑体" w:hAnsi="黑体" w:eastAsia="黑体"/>
          <w:color w:val="auto"/>
          <w:sz w:val="32"/>
          <w:szCs w:val="32"/>
          <w:lang w:val="en-US" w:eastAsia="zh-CN"/>
        </w:rPr>
        <w:t>九</w:t>
      </w:r>
      <w:r>
        <w:rPr>
          <w:rFonts w:hint="eastAsia" w:ascii="黑体" w:hAnsi="黑体" w:eastAsia="黑体"/>
          <w:color w:val="auto"/>
          <w:sz w:val="32"/>
          <w:szCs w:val="32"/>
          <w:lang w:eastAsia="zh-CN"/>
        </w:rPr>
        <w:t>）</w:t>
      </w:r>
      <w:r>
        <w:rPr>
          <w:rFonts w:hint="eastAsia" w:ascii="黑体" w:hAnsi="黑体" w:eastAsia="黑体"/>
          <w:color w:val="auto"/>
          <w:sz w:val="32"/>
          <w:szCs w:val="32"/>
        </w:rPr>
        <w:t>明确法人责任</w:t>
      </w:r>
      <w:bookmarkEnd w:id="198"/>
      <w:bookmarkEnd w:id="199"/>
      <w:bookmarkEnd w:id="200"/>
      <w:bookmarkEnd w:id="201"/>
      <w:bookmarkEnd w:id="202"/>
    </w:p>
    <w:p>
      <w:pPr>
        <w:keepNext w:val="0"/>
        <w:keepLines w:val="0"/>
        <w:pageBreakBefore w:val="0"/>
        <w:widowControl/>
        <w:kinsoku/>
        <w:wordWrap w:val="0"/>
        <w:overflowPunct/>
        <w:topLinePunct w:val="0"/>
        <w:autoSpaceDE/>
        <w:autoSpaceDN/>
        <w:bidi w:val="0"/>
        <w:adjustRightInd/>
        <w:snapToGrid/>
        <w:spacing w:line="432" w:lineRule="atLeast"/>
        <w:ind w:firstLine="640" w:firstLineChars="200"/>
        <w:jc w:val="left"/>
        <w:textAlignment w:val="auto"/>
        <w:rPr>
          <w:rFonts w:hint="default" w:ascii="仿宋" w:hAnsi="仿宋"/>
          <w:b/>
          <w:bCs/>
          <w:color w:val="auto"/>
          <w:sz w:val="32"/>
          <w:szCs w:val="32"/>
          <w:lang w:val="en-US" w:eastAsia="zh-CN"/>
        </w:rPr>
      </w:pPr>
      <w:r>
        <w:rPr>
          <w:rFonts w:hint="eastAsia" w:ascii="仿宋" w:hAnsi="仿宋" w:eastAsia="仿宋"/>
          <w:color w:val="auto"/>
          <w:sz w:val="32"/>
          <w:szCs w:val="32"/>
        </w:rPr>
        <w:t>项目单位法人对基本建设项目财务管理负直接领导责任，要坚决杜绝项目资金在使用和建设过程中的违纪、违法行为，如出现问题将依法、依纪追究法人及相关人员责任。</w:t>
      </w:r>
      <w:r>
        <w:rPr>
          <w:rFonts w:hint="eastAsia" w:ascii="仿宋" w:hAnsi="仿宋" w:eastAsia="仿宋"/>
          <w:color w:val="auto"/>
          <w:sz w:val="32"/>
          <w:szCs w:val="32"/>
          <w:lang w:val="en-US" w:eastAsia="zh-CN"/>
        </w:rPr>
        <w:t xml:space="preserve">                 </w:t>
      </w:r>
      <w:r>
        <w:rPr>
          <w:rFonts w:hint="eastAsia" w:ascii="仿宋" w:hAnsi="仿宋"/>
          <w:b/>
          <w:bCs/>
          <w:color w:val="auto"/>
          <w:sz w:val="32"/>
          <w:szCs w:val="32"/>
          <w:lang w:val="en-US" w:eastAsia="zh-CN"/>
        </w:rPr>
        <w:t>第九章  财务审批制度</w:t>
      </w:r>
    </w:p>
    <w:p>
      <w:pPr>
        <w:keepNext w:val="0"/>
        <w:keepLines w:val="0"/>
        <w:pageBreakBefore w:val="0"/>
        <w:widowControl/>
        <w:kinsoku/>
        <w:wordWrap w:val="0"/>
        <w:overflowPunct/>
        <w:topLinePunct w:val="0"/>
        <w:autoSpaceDE/>
        <w:autoSpaceDN/>
        <w:bidi w:val="0"/>
        <w:adjustRightInd/>
        <w:snapToGrid/>
        <w:spacing w:line="432" w:lineRule="atLeast"/>
        <w:ind w:firstLine="643" w:firstLineChars="200"/>
        <w:jc w:val="left"/>
        <w:textAlignment w:val="auto"/>
        <w:rPr>
          <w:rFonts w:hint="eastAsia" w:ascii="仿宋" w:hAnsi="仿宋" w:eastAsia="仿宋"/>
          <w:color w:val="auto"/>
          <w:sz w:val="32"/>
          <w:szCs w:val="32"/>
        </w:rPr>
      </w:pPr>
      <w:r>
        <w:rPr>
          <w:rFonts w:hint="eastAsia" w:ascii="仿宋" w:hAnsi="仿宋" w:eastAsia="仿宋"/>
          <w:b/>
          <w:bCs/>
          <w:color w:val="auto"/>
          <w:sz w:val="32"/>
          <w:szCs w:val="32"/>
          <w:lang w:val="en-US" w:eastAsia="zh-CN"/>
        </w:rPr>
        <w:t>第</w:t>
      </w:r>
      <w:r>
        <w:rPr>
          <w:rFonts w:hint="eastAsia" w:ascii="楷体" w:hAnsi="楷体" w:eastAsia="楷体"/>
          <w:b/>
          <w:color w:val="auto"/>
          <w:sz w:val="32"/>
          <w:szCs w:val="32"/>
          <w:lang w:val="en-US" w:eastAsia="zh-CN"/>
        </w:rPr>
        <w:t>四十五</w:t>
      </w:r>
      <w:r>
        <w:rPr>
          <w:rFonts w:hint="eastAsia" w:ascii="仿宋" w:hAnsi="仿宋" w:eastAsia="仿宋"/>
          <w:b/>
          <w:bCs/>
          <w:color w:val="auto"/>
          <w:sz w:val="32"/>
          <w:szCs w:val="32"/>
          <w:lang w:val="en-US" w:eastAsia="zh-CN"/>
        </w:rPr>
        <w:t>条</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为了加强财务管理，规范财务工作程序，提高资金的使用效能，现将财务签批权限及审签顺序通知你们，望接此通知后遵照执行。</w:t>
      </w:r>
    </w:p>
    <w:p>
      <w:pPr>
        <w:ind w:firstLine="640" w:firstLineChars="200"/>
        <w:outlineLvl w:val="0"/>
        <w:rPr>
          <w:rFonts w:hint="eastAsia" w:ascii="黑体" w:hAnsi="黑体" w:eastAsia="黑体"/>
          <w:color w:val="auto"/>
          <w:sz w:val="32"/>
          <w:szCs w:val="32"/>
        </w:rPr>
      </w:pPr>
      <w:bookmarkStart w:id="203" w:name="_Toc11389"/>
      <w:bookmarkStart w:id="204" w:name="_Toc15"/>
      <w:bookmarkStart w:id="205" w:name="_Toc17181"/>
      <w:bookmarkStart w:id="206" w:name="_Toc19077"/>
      <w:bookmarkStart w:id="207" w:name="_Toc22173"/>
      <w:r>
        <w:rPr>
          <w:rFonts w:hint="eastAsia" w:ascii="黑体" w:hAnsi="黑体" w:eastAsia="黑体"/>
          <w:color w:val="auto"/>
          <w:sz w:val="32"/>
          <w:szCs w:val="32"/>
          <w:lang w:val="en-US" w:eastAsia="zh-CN"/>
        </w:rPr>
        <w:t>一.</w:t>
      </w:r>
      <w:r>
        <w:rPr>
          <w:rFonts w:hint="eastAsia" w:ascii="黑体" w:hAnsi="黑体" w:eastAsia="黑体"/>
          <w:color w:val="auto"/>
          <w:sz w:val="32"/>
          <w:szCs w:val="32"/>
        </w:rPr>
        <w:t>借款的签批顺序</w:t>
      </w:r>
      <w:bookmarkEnd w:id="203"/>
      <w:bookmarkEnd w:id="204"/>
      <w:bookmarkEnd w:id="205"/>
      <w:bookmarkEnd w:id="206"/>
      <w:bookmarkEnd w:id="207"/>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经办人提出申请，所在部门负责人和分管领导在申请上签批，财务签批顺序是：主管会计―财政局长－分管财政副主任—金额较大的须经主要领导和领导班子研究决定。</w:t>
      </w:r>
    </w:p>
    <w:p>
      <w:pPr>
        <w:ind w:firstLine="640" w:firstLineChars="200"/>
        <w:outlineLvl w:val="0"/>
        <w:rPr>
          <w:rFonts w:hint="eastAsia" w:ascii="黑体" w:hAnsi="黑体" w:eastAsia="黑体"/>
          <w:color w:val="auto"/>
          <w:sz w:val="32"/>
          <w:szCs w:val="32"/>
        </w:rPr>
      </w:pPr>
      <w:bookmarkStart w:id="208" w:name="_Toc17060"/>
      <w:bookmarkStart w:id="209" w:name="_Toc29053"/>
      <w:bookmarkStart w:id="210" w:name="_Toc28390"/>
      <w:bookmarkStart w:id="211" w:name="_Toc19498"/>
      <w:bookmarkStart w:id="212" w:name="_Toc19740"/>
      <w:r>
        <w:rPr>
          <w:rFonts w:hint="eastAsia" w:ascii="黑体" w:hAnsi="黑体" w:eastAsia="黑体"/>
          <w:color w:val="auto"/>
          <w:sz w:val="32"/>
          <w:szCs w:val="32"/>
          <w:lang w:val="en-US" w:eastAsia="zh-CN"/>
        </w:rPr>
        <w:t>二.</w:t>
      </w:r>
      <w:r>
        <w:rPr>
          <w:rFonts w:hint="eastAsia" w:ascii="黑体" w:hAnsi="黑体" w:eastAsia="黑体"/>
          <w:color w:val="auto"/>
          <w:sz w:val="32"/>
          <w:szCs w:val="32"/>
        </w:rPr>
        <w:t>资金拨款的签批顺序</w:t>
      </w:r>
      <w:bookmarkEnd w:id="208"/>
      <w:bookmarkEnd w:id="209"/>
      <w:bookmarkEnd w:id="210"/>
      <w:bookmarkEnd w:id="211"/>
      <w:bookmarkEnd w:id="212"/>
    </w:p>
    <w:p>
      <w:pPr>
        <w:ind w:firstLine="643" w:firstLineChars="200"/>
        <w:rPr>
          <w:rFonts w:hint="eastAsia" w:ascii="楷体" w:hAnsi="楷体" w:eastAsia="楷体"/>
          <w:b/>
          <w:color w:val="auto"/>
          <w:sz w:val="32"/>
          <w:szCs w:val="32"/>
        </w:rPr>
      </w:pPr>
      <w:r>
        <w:rPr>
          <w:rFonts w:hint="eastAsia" w:ascii="楷体" w:hAnsi="楷体" w:eastAsia="楷体"/>
          <w:b/>
          <w:color w:val="auto"/>
          <w:sz w:val="32"/>
          <w:szCs w:val="32"/>
          <w:lang w:val="en-US" w:eastAsia="zh-CN"/>
        </w:rPr>
        <w:t>（一）</w:t>
      </w:r>
      <w:r>
        <w:rPr>
          <w:rFonts w:hint="eastAsia" w:ascii="楷体" w:hAnsi="楷体" w:eastAsia="楷体"/>
          <w:b/>
          <w:color w:val="auto"/>
          <w:sz w:val="32"/>
          <w:szCs w:val="32"/>
        </w:rPr>
        <w:t>专项资金</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lang w:val="en-US" w:eastAsia="zh-CN"/>
        </w:rPr>
        <w:t>1.</w:t>
      </w:r>
      <w:r>
        <w:rPr>
          <w:rFonts w:hint="eastAsia" w:ascii="仿宋" w:hAnsi="仿宋" w:eastAsia="仿宋"/>
          <w:color w:val="auto"/>
          <w:sz w:val="32"/>
          <w:szCs w:val="32"/>
        </w:rPr>
        <w:t>由用款单位提出用款申请，并按财务要求附相关资料手续（相关手续参照《白城市生态新区专项资金管理办法》和《白城市生态新区征地拆迁资金管理办法》）。</w:t>
      </w:r>
    </w:p>
    <w:p>
      <w:pPr>
        <w:tabs>
          <w:tab w:val="left" w:pos="720"/>
        </w:tabs>
        <w:ind w:firstLine="640" w:firstLineChars="200"/>
        <w:rPr>
          <w:rFonts w:hint="eastAsia" w:ascii="仿宋" w:hAnsi="仿宋" w:eastAsia="仿宋"/>
          <w:color w:val="auto"/>
          <w:sz w:val="32"/>
          <w:szCs w:val="32"/>
        </w:rPr>
      </w:pPr>
      <w:r>
        <w:rPr>
          <w:rFonts w:hint="eastAsia" w:ascii="仿宋" w:hAnsi="仿宋" w:eastAsia="仿宋"/>
          <w:color w:val="auto"/>
          <w:sz w:val="32"/>
          <w:szCs w:val="32"/>
          <w:lang w:val="en-US" w:eastAsia="zh-CN"/>
        </w:rPr>
        <w:t>2.</w:t>
      </w:r>
      <w:r>
        <w:rPr>
          <w:rFonts w:hint="eastAsia" w:ascii="仿宋" w:hAnsi="仿宋" w:eastAsia="仿宋"/>
          <w:color w:val="auto"/>
          <w:sz w:val="32"/>
          <w:szCs w:val="32"/>
        </w:rPr>
        <w:t>经办人提出申请，所在部门负责人和分管领导在专项资金申请单上签批，专项拨款签批的顺序是：预算总会计－财政局长－分管财政副主任—金额较大的须经主要领导和领导班子研究决定。</w:t>
      </w:r>
    </w:p>
    <w:p>
      <w:pPr>
        <w:ind w:firstLine="643" w:firstLineChars="200"/>
        <w:rPr>
          <w:rFonts w:hint="eastAsia" w:ascii="楷体" w:hAnsi="楷体" w:eastAsia="楷体"/>
          <w:b/>
          <w:color w:val="auto"/>
          <w:sz w:val="32"/>
          <w:szCs w:val="32"/>
        </w:rPr>
      </w:pPr>
      <w:r>
        <w:rPr>
          <w:rFonts w:hint="eastAsia" w:ascii="楷体" w:hAnsi="楷体" w:eastAsia="楷体"/>
          <w:b/>
          <w:color w:val="auto"/>
          <w:sz w:val="32"/>
          <w:szCs w:val="32"/>
          <w:lang w:val="en-US" w:eastAsia="zh-CN"/>
        </w:rPr>
        <w:t>（二）</w:t>
      </w:r>
      <w:r>
        <w:rPr>
          <w:rFonts w:hint="eastAsia" w:ascii="楷体" w:hAnsi="楷体" w:eastAsia="楷体"/>
          <w:b/>
          <w:color w:val="auto"/>
          <w:sz w:val="32"/>
          <w:szCs w:val="32"/>
        </w:rPr>
        <w:t>经费支出</w:t>
      </w:r>
    </w:p>
    <w:p>
      <w:pPr>
        <w:tabs>
          <w:tab w:val="left" w:pos="360"/>
          <w:tab w:val="left" w:pos="540"/>
        </w:tabs>
        <w:ind w:left="-80" w:leftChars="-100" w:hanging="240" w:hangingChars="75"/>
        <w:rPr>
          <w:rFonts w:hint="eastAsia" w:ascii="仿宋" w:hAnsi="仿宋" w:eastAsia="仿宋"/>
          <w:color w:val="auto"/>
          <w:sz w:val="32"/>
          <w:szCs w:val="32"/>
        </w:rPr>
      </w:pPr>
      <w:r>
        <w:rPr>
          <w:rFonts w:hint="eastAsia" w:ascii="仿宋" w:hAnsi="仿宋" w:eastAsia="仿宋"/>
          <w:color w:val="auto"/>
          <w:sz w:val="32"/>
          <w:szCs w:val="32"/>
        </w:rPr>
        <w:t>　　　经办人提出申请，所在部门负责人和分管领导在报销审批单上签批，在经费支出付款单上签批的顺序是：主管会计－财政局长－分管财政副主任—金额较大的须经主要领导和领导班子研究决定。</w:t>
      </w:r>
    </w:p>
    <w:p>
      <w:pPr>
        <w:ind w:firstLine="800" w:firstLineChars="250"/>
        <w:outlineLvl w:val="0"/>
        <w:rPr>
          <w:rFonts w:hint="eastAsia" w:ascii="黑体" w:hAnsi="黑体" w:eastAsia="黑体"/>
          <w:color w:val="auto"/>
          <w:sz w:val="32"/>
          <w:szCs w:val="32"/>
        </w:rPr>
      </w:pPr>
      <w:bookmarkStart w:id="213" w:name="_Toc32237"/>
      <w:bookmarkStart w:id="214" w:name="_Toc8064"/>
      <w:bookmarkStart w:id="215" w:name="_Toc17963"/>
      <w:bookmarkStart w:id="216" w:name="_Toc11838"/>
      <w:bookmarkStart w:id="217" w:name="_Toc14023"/>
      <w:r>
        <w:rPr>
          <w:rFonts w:hint="eastAsia" w:ascii="黑体" w:hAnsi="黑体" w:eastAsia="黑体"/>
          <w:color w:val="auto"/>
          <w:sz w:val="32"/>
          <w:szCs w:val="32"/>
          <w:lang w:val="en-US" w:eastAsia="zh-CN"/>
        </w:rPr>
        <w:t>三.</w:t>
      </w:r>
      <w:r>
        <w:rPr>
          <w:rFonts w:hint="eastAsia" w:ascii="黑体" w:hAnsi="黑体" w:eastAsia="黑体"/>
          <w:color w:val="auto"/>
          <w:sz w:val="32"/>
          <w:szCs w:val="32"/>
        </w:rPr>
        <w:t>付款额度权限</w:t>
      </w:r>
      <w:bookmarkEnd w:id="213"/>
      <w:bookmarkEnd w:id="214"/>
      <w:bookmarkEnd w:id="215"/>
      <w:bookmarkEnd w:id="216"/>
      <w:bookmarkEnd w:id="217"/>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受新区办委托，所有付款均由分管财政副主任签批，涉及金额</w:t>
      </w:r>
      <w:r>
        <w:rPr>
          <w:rFonts w:hint="eastAsia" w:ascii="仿宋" w:hAnsi="仿宋"/>
          <w:color w:val="auto"/>
          <w:sz w:val="32"/>
          <w:szCs w:val="32"/>
          <w:lang w:eastAsia="zh-CN"/>
        </w:rPr>
        <w:t>较</w:t>
      </w:r>
      <w:r>
        <w:rPr>
          <w:rFonts w:hint="eastAsia" w:ascii="仿宋" w:hAnsi="仿宋" w:eastAsia="仿宋"/>
          <w:color w:val="auto"/>
          <w:sz w:val="32"/>
          <w:szCs w:val="32"/>
        </w:rPr>
        <w:t>大的需经主要领导和领导班子研究决定。</w:t>
      </w:r>
    </w:p>
    <w:p>
      <w:pPr>
        <w:ind w:left="420"/>
        <w:rPr>
          <w:rFonts w:hint="eastAsia" w:ascii="仿宋" w:hAnsi="仿宋" w:eastAsia="仿宋"/>
          <w:color w:val="auto"/>
          <w:sz w:val="32"/>
          <w:szCs w:val="32"/>
        </w:rPr>
      </w:pPr>
    </w:p>
    <w:p>
      <w:pPr>
        <w:ind w:left="420"/>
        <w:rPr>
          <w:rFonts w:hint="eastAsia" w:ascii="仿宋" w:hAnsi="仿宋" w:eastAsia="仿宋"/>
          <w:color w:val="auto"/>
          <w:sz w:val="32"/>
          <w:szCs w:val="32"/>
        </w:rPr>
      </w:pPr>
      <w:r>
        <w:rPr>
          <w:rFonts w:hint="eastAsia" w:ascii="仿宋" w:hAnsi="仿宋" w:eastAsia="仿宋"/>
          <w:color w:val="auto"/>
          <w:sz w:val="32"/>
          <w:szCs w:val="32"/>
        </w:rPr>
        <w:t>　　　　　　　　</w:t>
      </w:r>
    </w:p>
    <w:p>
      <w:pPr>
        <w:widowControl/>
        <w:spacing w:line="600" w:lineRule="exact"/>
        <w:jc w:val="left"/>
        <w:rPr>
          <w:rFonts w:hint="eastAsia"/>
          <w:color w:val="auto"/>
        </w:rPr>
      </w:pPr>
    </w:p>
    <w:p>
      <w:pPr>
        <w:widowControl/>
        <w:spacing w:line="600" w:lineRule="exact"/>
        <w:jc w:val="left"/>
        <w:rPr>
          <w:rFonts w:hint="eastAsia"/>
          <w:color w:val="auto"/>
        </w:rPr>
      </w:pPr>
    </w:p>
    <w:p>
      <w:pPr>
        <w:widowControl/>
        <w:wordWrap w:val="0"/>
        <w:spacing w:line="432" w:lineRule="atLeast"/>
        <w:ind w:firstLine="640"/>
        <w:jc w:val="left"/>
        <w:rPr>
          <w:rFonts w:ascii="仿宋" w:hAnsi="仿宋" w:eastAsia="仿宋" w:cs="Arial"/>
          <w:color w:val="000000"/>
          <w:kern w:val="0"/>
          <w:sz w:val="32"/>
          <w:szCs w:val="32"/>
        </w:rPr>
      </w:pPr>
    </w:p>
    <w:p>
      <w:pPr>
        <w:widowControl/>
        <w:wordWrap w:val="0"/>
        <w:spacing w:line="432" w:lineRule="atLeast"/>
        <w:ind w:firstLine="640"/>
        <w:jc w:val="left"/>
        <w:rPr>
          <w:rFonts w:ascii="仿宋" w:hAnsi="仿宋" w:eastAsia="仿宋" w:cs="Arial"/>
          <w:color w:val="000000"/>
          <w:kern w:val="0"/>
          <w:sz w:val="32"/>
          <w:szCs w:val="32"/>
        </w:rPr>
      </w:pPr>
    </w:p>
    <w:p>
      <w:pPr>
        <w:widowControl/>
        <w:wordWrap w:val="0"/>
        <w:spacing w:line="432" w:lineRule="atLeast"/>
        <w:ind w:firstLine="640"/>
        <w:jc w:val="left"/>
        <w:rPr>
          <w:rFonts w:ascii="仿宋" w:hAnsi="仿宋" w:eastAsia="仿宋" w:cs="Arial"/>
          <w:color w:val="000000"/>
          <w:kern w:val="0"/>
          <w:sz w:val="32"/>
          <w:szCs w:val="32"/>
        </w:rPr>
      </w:pPr>
    </w:p>
    <w:p>
      <w:pPr>
        <w:rPr>
          <w:rFonts w:hint="eastAsia"/>
          <w:lang w:val="en-US" w:eastAsia="zh-CN"/>
        </w:rPr>
      </w:pPr>
    </w:p>
    <w:p>
      <w:pPr>
        <w:pStyle w:val="2"/>
        <w:bidi w:val="0"/>
        <w:jc w:val="center"/>
        <w:rPr>
          <w:rFonts w:hint="eastAsia"/>
          <w:color w:val="auto"/>
        </w:rPr>
      </w:pPr>
      <w:r>
        <w:rPr>
          <w:rFonts w:hint="eastAsia"/>
          <w:color w:val="auto"/>
          <w:lang w:val="en-US" w:eastAsia="zh-CN"/>
        </w:rPr>
        <w:t>10、</w:t>
      </w:r>
      <w:r>
        <w:rPr>
          <w:rFonts w:hint="eastAsia"/>
          <w:color w:val="auto"/>
          <w:lang w:eastAsia="zh-CN"/>
        </w:rPr>
        <w:t>公务接待管理制度</w:t>
      </w:r>
      <w:bookmarkEnd w:id="141"/>
    </w:p>
    <w:p>
      <w:pPr>
        <w:ind w:firstLine="640" w:firstLineChars="200"/>
        <w:outlineLvl w:val="0"/>
        <w:rPr>
          <w:rFonts w:hint="eastAsia" w:ascii="黑体" w:hAnsi="黑体" w:eastAsia="黑体" w:cs="黑体"/>
          <w:b w:val="0"/>
          <w:bCs/>
          <w:color w:val="auto"/>
          <w:sz w:val="32"/>
          <w:szCs w:val="32"/>
        </w:rPr>
      </w:pPr>
      <w:bookmarkStart w:id="218" w:name="_Toc25796"/>
      <w:bookmarkStart w:id="219" w:name="_Toc17365"/>
      <w:bookmarkStart w:id="220" w:name="_Toc23408"/>
      <w:bookmarkStart w:id="221" w:name="_Toc2383"/>
      <w:bookmarkStart w:id="222" w:name="_Toc26733"/>
      <w:bookmarkStart w:id="223" w:name="_Toc15333"/>
      <w:bookmarkStart w:id="224" w:name="_Toc3194"/>
      <w:r>
        <w:rPr>
          <w:rFonts w:hint="eastAsia" w:ascii="黑体" w:hAnsi="黑体" w:eastAsia="黑体" w:cs="黑体"/>
          <w:b w:val="0"/>
          <w:bCs/>
          <w:color w:val="auto"/>
          <w:sz w:val="32"/>
          <w:szCs w:val="32"/>
        </w:rPr>
        <w:t>一</w:t>
      </w:r>
      <w:r>
        <w:rPr>
          <w:rFonts w:hint="eastAsia" w:ascii="黑体" w:hAnsi="黑体" w:eastAsia="黑体" w:cs="黑体"/>
          <w:b w:val="0"/>
          <w:bCs/>
          <w:color w:val="auto"/>
          <w:sz w:val="32"/>
          <w:szCs w:val="32"/>
          <w:lang w:eastAsia="zh-CN"/>
        </w:rPr>
        <w:t>、</w:t>
      </w:r>
      <w:r>
        <w:rPr>
          <w:rFonts w:hint="eastAsia" w:ascii="黑体" w:hAnsi="黑体" w:eastAsia="黑体" w:cs="黑体"/>
          <w:b w:val="0"/>
          <w:bCs/>
          <w:color w:val="auto"/>
          <w:sz w:val="32"/>
          <w:szCs w:val="32"/>
        </w:rPr>
        <w:t>公务接待规定</w:t>
      </w:r>
      <w:bookmarkEnd w:id="218"/>
      <w:bookmarkEnd w:id="219"/>
      <w:bookmarkEnd w:id="220"/>
      <w:bookmarkEnd w:id="221"/>
      <w:bookmarkEnd w:id="222"/>
      <w:bookmarkEnd w:id="223"/>
      <w:bookmarkEnd w:id="224"/>
    </w:p>
    <w:p>
      <w:pPr>
        <w:rPr>
          <w:rFonts w:hint="eastAsia"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 w:hAnsi="仿宋" w:eastAsia="仿宋" w:cs="仿宋"/>
          <w:color w:val="auto"/>
          <w:sz w:val="32"/>
          <w:szCs w:val="32"/>
        </w:rPr>
        <w:t xml:space="preserve"> 新区各类公务活动要严格控制时间、内容和人员数量，禁止重复性考察，禁止以各种名义和方式变相旅游，禁止违反规定到风景名胜区举办会议和活动。禁止以公务活动为借口，开展部门之间无特别需要的一般性学习交流、考察调研。确实因工作需要接待的，必须出示接待公函，并经新区主要领导审批同意后，报行政办公室统一安排接待。</w:t>
      </w:r>
    </w:p>
    <w:p>
      <w:pPr>
        <w:ind w:firstLine="640" w:firstLineChars="200"/>
        <w:outlineLvl w:val="0"/>
        <w:rPr>
          <w:rFonts w:hint="eastAsia" w:ascii="黑体" w:hAnsi="黑体" w:eastAsia="黑体" w:cs="黑体"/>
          <w:b w:val="0"/>
          <w:bCs/>
          <w:color w:val="auto"/>
          <w:sz w:val="32"/>
          <w:szCs w:val="32"/>
          <w:lang w:eastAsia="zh-CN"/>
        </w:rPr>
      </w:pPr>
      <w:bookmarkStart w:id="225" w:name="_Toc11321"/>
      <w:bookmarkStart w:id="226" w:name="_Toc31278"/>
      <w:bookmarkStart w:id="227" w:name="_Toc15069"/>
      <w:bookmarkStart w:id="228" w:name="_Toc19429"/>
      <w:bookmarkStart w:id="229" w:name="_Toc30307"/>
      <w:bookmarkStart w:id="230" w:name="_Toc23781"/>
      <w:bookmarkStart w:id="231" w:name="_Toc26172"/>
      <w:bookmarkStart w:id="232" w:name="_Toc22572"/>
      <w:r>
        <w:rPr>
          <w:rFonts w:hint="eastAsia" w:ascii="黑体" w:hAnsi="黑体" w:eastAsia="黑体" w:cs="黑体"/>
          <w:b w:val="0"/>
          <w:bCs/>
          <w:color w:val="auto"/>
          <w:sz w:val="32"/>
          <w:szCs w:val="32"/>
          <w:lang w:eastAsia="zh-CN"/>
        </w:rPr>
        <w:t>二、公务接待范围</w:t>
      </w:r>
      <w:bookmarkEnd w:id="225"/>
      <w:bookmarkEnd w:id="226"/>
      <w:bookmarkEnd w:id="227"/>
      <w:bookmarkEnd w:id="228"/>
      <w:bookmarkEnd w:id="229"/>
      <w:bookmarkEnd w:id="230"/>
      <w:bookmarkEnd w:id="231"/>
      <w:bookmarkEnd w:id="232"/>
    </w:p>
    <w:p>
      <w:pPr>
        <w:rPr>
          <w:rFonts w:hint="eastAsia" w:ascii="仿宋" w:hAnsi="仿宋" w:eastAsia="仿宋" w:cs="仿宋"/>
          <w:color w:val="auto"/>
          <w:sz w:val="32"/>
          <w:szCs w:val="32"/>
        </w:rPr>
      </w:pPr>
      <w:r>
        <w:rPr>
          <w:rFonts w:hint="eastAsia" w:ascii="仿宋_GB2312" w:eastAsia="仿宋_GB2312"/>
          <w:color w:val="auto"/>
          <w:sz w:val="32"/>
          <w:szCs w:val="32"/>
        </w:rPr>
        <w:t xml:space="preserve">    </w:t>
      </w:r>
      <w:r>
        <w:rPr>
          <w:rFonts w:hint="eastAsia" w:ascii="仿宋" w:hAnsi="仿宋" w:eastAsia="仿宋" w:cs="仿宋"/>
          <w:color w:val="auto"/>
          <w:sz w:val="32"/>
          <w:szCs w:val="32"/>
          <w:lang w:eastAsia="zh-CN"/>
        </w:rPr>
        <w:t>（一）</w:t>
      </w:r>
      <w:r>
        <w:rPr>
          <w:rFonts w:hint="eastAsia" w:ascii="仿宋" w:hAnsi="仿宋" w:eastAsia="仿宋" w:cs="仿宋"/>
          <w:color w:val="auto"/>
          <w:sz w:val="32"/>
          <w:szCs w:val="32"/>
        </w:rPr>
        <w:t>出席会议、考察调研、执行任务、学习交流、检查指导、请示汇报工作等公务活动，属于公务接待范围。</w:t>
      </w:r>
    </w:p>
    <w:p>
      <w:pPr>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（二）</w:t>
      </w:r>
      <w:r>
        <w:rPr>
          <w:rFonts w:hint="eastAsia" w:ascii="仿宋" w:hAnsi="仿宋" w:eastAsia="仿宋" w:cs="仿宋"/>
          <w:color w:val="auto"/>
          <w:sz w:val="32"/>
          <w:szCs w:val="32"/>
        </w:rPr>
        <w:t>严格控制接待范围。严格按照相关规定的范围执行，不得用公款报销或支付应由个人负担的费用。干部职工不得要求将休假、探亲、旅游等活动纳入公务接待范围。</w:t>
      </w:r>
    </w:p>
    <w:p>
      <w:pPr>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公休日、节假日不应安排公务活动。同城的公务活动不安排公务接待。</w:t>
      </w:r>
    </w:p>
    <w:p>
      <w:pPr>
        <w:ind w:firstLine="640" w:firstLineChars="200"/>
        <w:outlineLvl w:val="0"/>
        <w:rPr>
          <w:rFonts w:hint="eastAsia" w:ascii="楷体_GB2312" w:eastAsia="楷体_GB2312"/>
          <w:b/>
          <w:color w:val="auto"/>
          <w:sz w:val="32"/>
          <w:szCs w:val="32"/>
        </w:rPr>
      </w:pPr>
      <w:bookmarkStart w:id="233" w:name="_Toc27516"/>
      <w:bookmarkStart w:id="234" w:name="_Toc20959"/>
      <w:bookmarkStart w:id="235" w:name="_Toc8532"/>
      <w:bookmarkStart w:id="236" w:name="_Toc4673"/>
      <w:bookmarkStart w:id="237" w:name="_Toc19437"/>
      <w:bookmarkStart w:id="238" w:name="_Toc30536"/>
      <w:bookmarkStart w:id="239" w:name="_Toc9909"/>
      <w:bookmarkStart w:id="240" w:name="_Toc23181"/>
      <w:r>
        <w:rPr>
          <w:rFonts w:hint="eastAsia" w:ascii="黑体" w:hAnsi="黑体" w:eastAsia="黑体" w:cs="黑体"/>
          <w:b w:val="0"/>
          <w:bCs/>
          <w:color w:val="auto"/>
          <w:sz w:val="32"/>
          <w:szCs w:val="32"/>
          <w:lang w:eastAsia="zh-CN"/>
        </w:rPr>
        <w:t>三、公务接待标准</w:t>
      </w:r>
      <w:bookmarkEnd w:id="233"/>
      <w:bookmarkEnd w:id="234"/>
      <w:bookmarkEnd w:id="235"/>
      <w:bookmarkEnd w:id="236"/>
      <w:bookmarkEnd w:id="237"/>
      <w:bookmarkEnd w:id="238"/>
      <w:bookmarkEnd w:id="239"/>
      <w:bookmarkEnd w:id="240"/>
    </w:p>
    <w:p>
      <w:pPr>
        <w:ind w:firstLine="640"/>
        <w:rPr>
          <w:rFonts w:hint="eastAsia" w:ascii="仿宋" w:hAnsi="仿宋" w:eastAsia="仿宋" w:cs="仿宋"/>
          <w:color w:val="auto"/>
          <w:sz w:val="32"/>
          <w:szCs w:val="32"/>
        </w:rPr>
      </w:pPr>
      <w:r>
        <w:rPr>
          <w:rFonts w:hint="eastAsia" w:ascii="仿宋_GB2312" w:eastAsia="仿宋_GB2312"/>
          <w:color w:val="auto"/>
          <w:sz w:val="32"/>
          <w:szCs w:val="32"/>
          <w:lang w:eastAsia="zh-CN"/>
        </w:rPr>
        <w:t>（一）</w:t>
      </w:r>
      <w:r>
        <w:rPr>
          <w:rFonts w:hint="eastAsia" w:ascii="仿宋" w:hAnsi="仿宋" w:eastAsia="仿宋" w:cs="仿宋"/>
          <w:color w:val="auto"/>
          <w:sz w:val="32"/>
          <w:szCs w:val="32"/>
        </w:rPr>
        <w:t>接待住宿应当严格执行差旅、会议管理的有关规定。应当坚持勤俭节约原则，住宿用房以标准间为主，接待省部级干部可以安排普通套间。不得超标准安排接待住房，不得额外配发洗漱用品。</w:t>
      </w:r>
    </w:p>
    <w:p>
      <w:pPr>
        <w:ind w:firstLine="64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（二）</w:t>
      </w:r>
      <w:r>
        <w:rPr>
          <w:rFonts w:hint="eastAsia" w:ascii="仿宋" w:hAnsi="仿宋" w:eastAsia="仿宋" w:cs="仿宋"/>
          <w:color w:val="auto"/>
          <w:sz w:val="32"/>
          <w:szCs w:val="32"/>
        </w:rPr>
        <w:t>接待对象应当按照规定标准自行用餐。确因工作需要，接待单位可以安排工作餐一次，并严格控制陪餐人数。接待对象在10人以内的，陪餐人数不得超过3人；超过10人的，不得超过接待对象人数的三分之一。工作餐应当供应家常菜，不得提供鱼翅、燕窝等高档菜肴和用野生保护动物制作的菜肴，不得提供香烟和高档酒水，不得使用私人会所、高消费餐饮场所。</w:t>
      </w:r>
    </w:p>
    <w:p>
      <w:pPr>
        <w:ind w:firstLine="66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公务接待的出行活动应当安排集中乘车，合理使用车型，严格控制随行车辆。</w:t>
      </w:r>
    </w:p>
    <w:p>
      <w:pPr>
        <w:outlineLvl w:val="0"/>
        <w:rPr>
          <w:rFonts w:hint="eastAsia" w:ascii="楷体_GB2312" w:eastAsia="楷体_GB2312"/>
          <w:b/>
          <w:color w:val="auto"/>
          <w:sz w:val="32"/>
          <w:szCs w:val="32"/>
        </w:rPr>
      </w:pPr>
      <w:r>
        <w:rPr>
          <w:rFonts w:hint="eastAsia" w:ascii="仿宋_GB2312" w:eastAsia="仿宋_GB2312"/>
          <w:color w:val="auto"/>
          <w:sz w:val="32"/>
          <w:szCs w:val="32"/>
        </w:rPr>
        <w:t xml:space="preserve">    </w:t>
      </w:r>
      <w:bookmarkStart w:id="241" w:name="_Toc21003"/>
      <w:bookmarkStart w:id="242" w:name="_Toc32667"/>
      <w:bookmarkStart w:id="243" w:name="_Toc9479"/>
      <w:bookmarkStart w:id="244" w:name="_Toc18808"/>
      <w:bookmarkStart w:id="245" w:name="_Toc30775"/>
      <w:bookmarkStart w:id="246" w:name="_Toc12883"/>
      <w:bookmarkStart w:id="247" w:name="_Toc5179"/>
      <w:bookmarkStart w:id="248" w:name="_Toc2492"/>
      <w:r>
        <w:rPr>
          <w:rFonts w:hint="eastAsia" w:ascii="黑体" w:hAnsi="黑体" w:eastAsia="黑体" w:cs="黑体"/>
          <w:b w:val="0"/>
          <w:bCs/>
          <w:color w:val="auto"/>
          <w:sz w:val="32"/>
          <w:szCs w:val="32"/>
          <w:lang w:eastAsia="zh-CN"/>
        </w:rPr>
        <w:t>四、公务接待审批制度</w:t>
      </w:r>
      <w:bookmarkEnd w:id="241"/>
      <w:bookmarkEnd w:id="242"/>
      <w:bookmarkEnd w:id="243"/>
      <w:bookmarkEnd w:id="244"/>
      <w:bookmarkEnd w:id="245"/>
      <w:bookmarkEnd w:id="246"/>
      <w:bookmarkEnd w:id="247"/>
      <w:bookmarkEnd w:id="248"/>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根据规定的接待范围，严格接待审批控制，对能够合并的公务接待统筹安排。无公函的公务活动和来访人员一律不予接待。</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公务活动结束后，如实填写接待清单。接待清单包括接待对象的单位、姓名、职务和公务活动项目、时间、场所、费用等内容。</w:t>
      </w:r>
    </w:p>
    <w:p>
      <w:pPr>
        <w:outlineLvl w:val="0"/>
        <w:rPr>
          <w:rFonts w:hint="eastAsia" w:ascii="楷体_GB2312" w:eastAsia="楷体_GB2312"/>
          <w:b/>
          <w:color w:val="auto"/>
          <w:sz w:val="32"/>
          <w:szCs w:val="32"/>
        </w:rPr>
      </w:pPr>
      <w:r>
        <w:rPr>
          <w:rFonts w:hint="eastAsia" w:ascii="仿宋_GB2312" w:eastAsia="仿宋_GB2312"/>
          <w:color w:val="auto"/>
          <w:sz w:val="32"/>
          <w:szCs w:val="32"/>
        </w:rPr>
        <w:t xml:space="preserve">   </w:t>
      </w:r>
      <w:r>
        <w:rPr>
          <w:rFonts w:hint="eastAsia" w:ascii="黑体" w:eastAsia="黑体"/>
          <w:color w:val="auto"/>
          <w:sz w:val="32"/>
          <w:szCs w:val="32"/>
        </w:rPr>
        <w:t xml:space="preserve"> </w:t>
      </w:r>
      <w:bookmarkStart w:id="249" w:name="_Toc26716"/>
      <w:bookmarkStart w:id="250" w:name="_Toc5521"/>
      <w:bookmarkStart w:id="251" w:name="_Toc16988"/>
      <w:bookmarkStart w:id="252" w:name="_Toc12315"/>
      <w:bookmarkStart w:id="253" w:name="_Toc3447"/>
      <w:bookmarkStart w:id="254" w:name="_Toc26365"/>
      <w:bookmarkStart w:id="255" w:name="_Toc12776"/>
      <w:bookmarkStart w:id="256" w:name="_Toc2803"/>
      <w:r>
        <w:rPr>
          <w:rFonts w:hint="eastAsia" w:ascii="黑体" w:hAnsi="黑体" w:eastAsia="黑体" w:cs="黑体"/>
          <w:b w:val="0"/>
          <w:bCs/>
          <w:color w:val="auto"/>
          <w:sz w:val="32"/>
          <w:szCs w:val="32"/>
          <w:lang w:eastAsia="zh-CN"/>
        </w:rPr>
        <w:t>五、公务接待报销办法</w:t>
      </w:r>
      <w:bookmarkEnd w:id="249"/>
      <w:bookmarkEnd w:id="250"/>
      <w:bookmarkEnd w:id="251"/>
      <w:bookmarkEnd w:id="252"/>
      <w:bookmarkEnd w:id="253"/>
      <w:bookmarkEnd w:id="254"/>
      <w:bookmarkEnd w:id="255"/>
      <w:bookmarkEnd w:id="256"/>
    </w:p>
    <w:p>
      <w:pPr>
        <w:ind w:firstLine="640"/>
        <w:rPr>
          <w:rFonts w:hint="eastAsia" w:ascii="仿宋" w:hAnsi="仿宋" w:eastAsia="仿宋" w:cs="仿宋"/>
          <w:color w:val="auto"/>
          <w:sz w:val="32"/>
          <w:szCs w:val="32"/>
        </w:rPr>
      </w:pPr>
      <w:r>
        <w:rPr>
          <w:rFonts w:hint="eastAsia" w:ascii="仿宋" w:hAnsi="仿宋" w:eastAsia="仿宋" w:cs="仿宋"/>
          <w:color w:val="auto"/>
          <w:sz w:val="32"/>
          <w:szCs w:val="32"/>
        </w:rPr>
        <w:t>接待费用应及时核报，接待费报销凭证应当包括规范的财务发票、消费明细清单、派出单位公函或通知（包括内容、行程、人员等）、生态新区公务接待审批单（见附件）。经办人填写接待审批单，由所在部门负责人、主管会计、部门分管主任、财政局局长、分管财政的副主任逐一审核签字。未经审批或单据不全的费用不予报销。</w:t>
      </w:r>
    </w:p>
    <w:p>
      <w:pPr>
        <w:ind w:firstLine="640"/>
        <w:rPr>
          <w:rFonts w:hint="eastAsia" w:ascii="仿宋" w:hAnsi="仿宋" w:eastAsia="仿宋" w:cs="仿宋"/>
          <w:color w:val="auto"/>
          <w:sz w:val="32"/>
          <w:szCs w:val="32"/>
        </w:rPr>
      </w:pPr>
    </w:p>
    <w:p>
      <w:pPr>
        <w:ind w:firstLine="640"/>
        <w:rPr>
          <w:rFonts w:hint="eastAsia" w:ascii="仿宋" w:hAnsi="仿宋" w:eastAsia="仿宋" w:cs="仿宋"/>
          <w:color w:val="auto"/>
          <w:sz w:val="32"/>
          <w:szCs w:val="32"/>
        </w:rPr>
      </w:pPr>
    </w:p>
    <w:p>
      <w:pPr>
        <w:ind w:firstLine="640"/>
        <w:rPr>
          <w:rFonts w:hint="eastAsia" w:ascii="仿宋" w:hAnsi="仿宋" w:eastAsia="仿宋" w:cs="仿宋"/>
          <w:color w:val="auto"/>
          <w:sz w:val="32"/>
          <w:szCs w:val="32"/>
        </w:rPr>
      </w:pPr>
    </w:p>
    <w:p>
      <w:pPr>
        <w:ind w:firstLine="64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574665" cy="5126355"/>
            <wp:effectExtent l="0" t="0" r="6985" b="17145"/>
            <wp:docPr id="115" name="图片 115" descr="公务接待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公务接待流程"/>
                    <pic:cNvPicPr>
                      <a:picLocks noChangeAspect="1"/>
                    </pic:cNvPicPr>
                  </pic:nvPicPr>
                  <pic:blipFill>
                    <a:blip r:embed="rId17"/>
                    <a:stretch>
                      <a:fillRect/>
                    </a:stretch>
                  </pic:blipFill>
                  <pic:spPr>
                    <a:xfrm>
                      <a:off x="0" y="0"/>
                      <a:ext cx="5574665" cy="5126355"/>
                    </a:xfrm>
                    <a:prstGeom prst="rect">
                      <a:avLst/>
                    </a:prstGeom>
                  </pic:spPr>
                </pic:pic>
              </a:graphicData>
            </a:graphic>
          </wp:inline>
        </w:drawing>
      </w:r>
    </w:p>
    <w:p>
      <w:pPr>
        <w:ind w:firstLine="640"/>
        <w:rPr>
          <w:rFonts w:hint="eastAsia" w:ascii="仿宋" w:hAnsi="仿宋" w:eastAsia="仿宋" w:cs="仿宋"/>
          <w:color w:val="auto"/>
          <w:sz w:val="32"/>
          <w:szCs w:val="32"/>
        </w:rPr>
      </w:pPr>
    </w:p>
    <w:p>
      <w:pPr>
        <w:ind w:firstLine="640"/>
        <w:rPr>
          <w:rFonts w:hint="eastAsia" w:ascii="仿宋" w:hAnsi="仿宋" w:eastAsia="仿宋" w:cs="仿宋"/>
          <w:color w:val="auto"/>
          <w:sz w:val="32"/>
          <w:szCs w:val="32"/>
        </w:rPr>
      </w:pPr>
    </w:p>
    <w:p>
      <w:pPr>
        <w:ind w:firstLine="640"/>
        <w:rPr>
          <w:rFonts w:hint="eastAsia" w:ascii="仿宋" w:hAnsi="仿宋" w:eastAsia="仿宋" w:cs="仿宋"/>
          <w:color w:val="auto"/>
          <w:sz w:val="32"/>
          <w:szCs w:val="32"/>
        </w:rPr>
      </w:pPr>
    </w:p>
    <w:p>
      <w:pPr>
        <w:ind w:firstLine="640"/>
        <w:rPr>
          <w:rFonts w:hint="eastAsia" w:ascii="仿宋" w:hAnsi="仿宋" w:eastAsia="仿宋" w:cs="仿宋"/>
          <w:color w:val="auto"/>
          <w:sz w:val="32"/>
          <w:szCs w:val="32"/>
        </w:rPr>
      </w:pPr>
    </w:p>
    <w:p>
      <w:pPr>
        <w:rPr>
          <w:rFonts w:hint="eastAsia" w:ascii="仿宋" w:hAnsi="仿宋" w:eastAsia="仿宋" w:cs="仿宋"/>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附件</w:t>
      </w:r>
    </w:p>
    <w:p>
      <w:pPr>
        <w:jc w:val="center"/>
        <w:rPr>
          <w:rFonts w:hint="eastAsia" w:ascii="宋体" w:hAnsi="宋体"/>
          <w:b/>
          <w:color w:val="auto"/>
          <w:sz w:val="48"/>
          <w:szCs w:val="48"/>
        </w:rPr>
      </w:pPr>
      <w:r>
        <w:rPr>
          <w:rFonts w:hint="eastAsia" w:ascii="宋体" w:hAnsi="宋体"/>
          <w:b/>
          <w:color w:val="auto"/>
          <w:sz w:val="48"/>
          <w:szCs w:val="48"/>
        </w:rPr>
        <w:t>生态新区公务接待审批单</w:t>
      </w:r>
    </w:p>
    <w:p>
      <w:pPr>
        <w:jc w:val="center"/>
        <w:rPr>
          <w:rFonts w:hint="eastAsia" w:ascii="宋体" w:hAnsi="宋体"/>
          <w:b/>
          <w:color w:val="auto"/>
          <w:sz w:val="44"/>
          <w:szCs w:val="4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881"/>
        <w:gridCol w:w="882"/>
        <w:gridCol w:w="1751"/>
        <w:gridCol w:w="1763"/>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908"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承办部门</w:t>
            </w:r>
          </w:p>
        </w:tc>
        <w:tc>
          <w:tcPr>
            <w:tcW w:w="2700" w:type="dxa"/>
            <w:gridSpan w:val="2"/>
            <w:noWrap w:val="0"/>
            <w:vAlign w:val="center"/>
          </w:tcPr>
          <w:p>
            <w:pPr>
              <w:jc w:val="center"/>
              <w:rPr>
                <w:rFonts w:hint="eastAsia" w:ascii="宋体" w:hAnsi="宋体"/>
                <w:color w:val="auto"/>
                <w:sz w:val="32"/>
                <w:szCs w:val="32"/>
              </w:rPr>
            </w:pPr>
          </w:p>
        </w:tc>
        <w:tc>
          <w:tcPr>
            <w:tcW w:w="1800" w:type="dxa"/>
            <w:noWrap w:val="0"/>
            <w:vAlign w:val="center"/>
          </w:tcPr>
          <w:p>
            <w:pPr>
              <w:jc w:val="center"/>
              <w:rPr>
                <w:rFonts w:hint="eastAsia" w:ascii="宋体" w:hAnsi="宋体"/>
                <w:color w:val="auto"/>
                <w:sz w:val="32"/>
                <w:szCs w:val="32"/>
              </w:rPr>
            </w:pPr>
            <w:r>
              <w:rPr>
                <w:rFonts w:hint="eastAsia" w:ascii="宋体" w:hAnsi="宋体"/>
                <w:color w:val="auto"/>
                <w:sz w:val="32"/>
                <w:szCs w:val="32"/>
              </w:rPr>
              <w:t>就餐时间</w:t>
            </w:r>
          </w:p>
        </w:tc>
        <w:tc>
          <w:tcPr>
            <w:tcW w:w="2312" w:type="dxa"/>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08"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来宾单位</w:t>
            </w:r>
          </w:p>
        </w:tc>
        <w:tc>
          <w:tcPr>
            <w:tcW w:w="2700" w:type="dxa"/>
            <w:gridSpan w:val="2"/>
            <w:noWrap w:val="0"/>
            <w:vAlign w:val="center"/>
          </w:tcPr>
          <w:p>
            <w:pPr>
              <w:jc w:val="center"/>
              <w:rPr>
                <w:rFonts w:hint="eastAsia" w:ascii="宋体" w:hAnsi="宋体"/>
                <w:color w:val="auto"/>
                <w:sz w:val="32"/>
                <w:szCs w:val="32"/>
              </w:rPr>
            </w:pPr>
          </w:p>
        </w:tc>
        <w:tc>
          <w:tcPr>
            <w:tcW w:w="1800" w:type="dxa"/>
            <w:noWrap w:val="0"/>
            <w:vAlign w:val="center"/>
          </w:tcPr>
          <w:p>
            <w:pPr>
              <w:jc w:val="center"/>
              <w:rPr>
                <w:rFonts w:hint="eastAsia" w:ascii="宋体" w:hAnsi="宋体"/>
                <w:color w:val="auto"/>
                <w:sz w:val="32"/>
                <w:szCs w:val="32"/>
              </w:rPr>
            </w:pPr>
            <w:r>
              <w:rPr>
                <w:rFonts w:hint="eastAsia" w:ascii="宋体" w:hAnsi="宋体"/>
                <w:color w:val="auto"/>
                <w:sz w:val="32"/>
                <w:szCs w:val="32"/>
              </w:rPr>
              <w:t>来宾级别</w:t>
            </w:r>
          </w:p>
        </w:tc>
        <w:tc>
          <w:tcPr>
            <w:tcW w:w="2312" w:type="dxa"/>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908"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来宾人数</w:t>
            </w:r>
          </w:p>
        </w:tc>
        <w:tc>
          <w:tcPr>
            <w:tcW w:w="2700" w:type="dxa"/>
            <w:gridSpan w:val="2"/>
            <w:noWrap w:val="0"/>
            <w:vAlign w:val="center"/>
          </w:tcPr>
          <w:p>
            <w:pPr>
              <w:jc w:val="center"/>
              <w:rPr>
                <w:rFonts w:hint="eastAsia" w:ascii="宋体" w:hAnsi="宋体"/>
                <w:color w:val="auto"/>
                <w:sz w:val="32"/>
                <w:szCs w:val="32"/>
              </w:rPr>
            </w:pPr>
          </w:p>
        </w:tc>
        <w:tc>
          <w:tcPr>
            <w:tcW w:w="1800" w:type="dxa"/>
            <w:noWrap w:val="0"/>
            <w:vAlign w:val="center"/>
          </w:tcPr>
          <w:p>
            <w:pPr>
              <w:jc w:val="center"/>
              <w:rPr>
                <w:rFonts w:hint="eastAsia" w:ascii="宋体" w:hAnsi="宋体"/>
                <w:color w:val="auto"/>
                <w:sz w:val="32"/>
                <w:szCs w:val="32"/>
              </w:rPr>
            </w:pPr>
            <w:r>
              <w:rPr>
                <w:rFonts w:hint="eastAsia" w:ascii="宋体" w:hAnsi="宋体"/>
                <w:color w:val="auto"/>
                <w:sz w:val="32"/>
                <w:szCs w:val="32"/>
              </w:rPr>
              <w:t>陪餐人数</w:t>
            </w:r>
          </w:p>
        </w:tc>
        <w:tc>
          <w:tcPr>
            <w:tcW w:w="2312" w:type="dxa"/>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720" w:type="dxa"/>
            <w:gridSpan w:val="6"/>
            <w:noWrap w:val="0"/>
            <w:vAlign w:val="center"/>
          </w:tcPr>
          <w:p>
            <w:pPr>
              <w:rPr>
                <w:rFonts w:hint="eastAsia" w:ascii="宋体" w:hAnsi="宋体"/>
                <w:color w:val="auto"/>
                <w:sz w:val="32"/>
                <w:szCs w:val="32"/>
              </w:rPr>
            </w:pPr>
            <w:r>
              <w:rPr>
                <w:rFonts w:hint="eastAsia" w:ascii="宋体" w:hAnsi="宋体"/>
                <w:color w:val="auto"/>
                <w:sz w:val="32"/>
                <w:szCs w:val="32"/>
              </w:rPr>
              <w:t>消费金额（大写）：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008" w:type="dxa"/>
            <w:vMerge w:val="restart"/>
            <w:noWrap w:val="0"/>
            <w:vAlign w:val="center"/>
          </w:tcPr>
          <w:p>
            <w:pPr>
              <w:jc w:val="center"/>
              <w:rPr>
                <w:rFonts w:hint="eastAsia" w:ascii="宋体" w:hAnsi="宋体"/>
                <w:color w:val="auto"/>
                <w:sz w:val="32"/>
                <w:szCs w:val="32"/>
              </w:rPr>
            </w:pPr>
            <w:r>
              <w:rPr>
                <w:rFonts w:hint="eastAsia" w:ascii="宋体" w:hAnsi="宋体"/>
                <w:color w:val="auto"/>
                <w:sz w:val="32"/>
                <w:szCs w:val="32"/>
              </w:rPr>
              <w:t>审</w:t>
            </w:r>
          </w:p>
          <w:p>
            <w:pPr>
              <w:jc w:val="center"/>
              <w:rPr>
                <w:rFonts w:hint="eastAsia" w:ascii="宋体" w:hAnsi="宋体"/>
                <w:color w:val="auto"/>
                <w:sz w:val="32"/>
                <w:szCs w:val="32"/>
              </w:rPr>
            </w:pPr>
            <w:r>
              <w:rPr>
                <w:rFonts w:hint="eastAsia" w:ascii="宋体" w:hAnsi="宋体"/>
                <w:color w:val="auto"/>
                <w:sz w:val="32"/>
                <w:szCs w:val="32"/>
              </w:rPr>
              <w:t>批</w:t>
            </w:r>
          </w:p>
          <w:p>
            <w:pPr>
              <w:jc w:val="center"/>
              <w:rPr>
                <w:rFonts w:hint="eastAsia" w:ascii="宋体" w:hAnsi="宋体"/>
                <w:color w:val="auto"/>
                <w:sz w:val="32"/>
                <w:szCs w:val="32"/>
              </w:rPr>
            </w:pPr>
            <w:r>
              <w:rPr>
                <w:rFonts w:hint="eastAsia" w:ascii="宋体" w:hAnsi="宋体"/>
                <w:color w:val="auto"/>
                <w:sz w:val="32"/>
                <w:szCs w:val="32"/>
              </w:rPr>
              <w:t>意</w:t>
            </w:r>
          </w:p>
          <w:p>
            <w:pPr>
              <w:jc w:val="center"/>
              <w:rPr>
                <w:rFonts w:hint="eastAsia" w:ascii="宋体" w:hAnsi="宋体"/>
                <w:color w:val="auto"/>
                <w:sz w:val="32"/>
                <w:szCs w:val="32"/>
              </w:rPr>
            </w:pPr>
            <w:r>
              <w:rPr>
                <w:rFonts w:hint="eastAsia" w:ascii="宋体" w:hAnsi="宋体"/>
                <w:color w:val="auto"/>
                <w:sz w:val="32"/>
                <w:szCs w:val="32"/>
              </w:rPr>
              <w:t>见</w:t>
            </w:r>
          </w:p>
        </w:tc>
        <w:tc>
          <w:tcPr>
            <w:tcW w:w="1800"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分管财政</w:t>
            </w:r>
          </w:p>
          <w:p>
            <w:pPr>
              <w:jc w:val="center"/>
              <w:rPr>
                <w:rFonts w:hint="eastAsia" w:ascii="宋体" w:hAnsi="宋体"/>
                <w:color w:val="auto"/>
                <w:sz w:val="32"/>
                <w:szCs w:val="32"/>
              </w:rPr>
            </w:pPr>
            <w:r>
              <w:rPr>
                <w:rFonts w:hint="eastAsia" w:ascii="宋体" w:hAnsi="宋体"/>
                <w:color w:val="auto"/>
                <w:sz w:val="32"/>
                <w:szCs w:val="32"/>
              </w:rPr>
              <w:t>领导</w:t>
            </w:r>
          </w:p>
        </w:tc>
        <w:tc>
          <w:tcPr>
            <w:tcW w:w="5912" w:type="dxa"/>
            <w:gridSpan w:val="3"/>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008" w:type="dxa"/>
            <w:vMerge w:val="continue"/>
            <w:noWrap w:val="0"/>
            <w:vAlign w:val="center"/>
          </w:tcPr>
          <w:p>
            <w:pPr>
              <w:jc w:val="center"/>
              <w:rPr>
                <w:rFonts w:hint="eastAsia" w:ascii="宋体" w:hAnsi="宋体"/>
                <w:color w:val="auto"/>
                <w:sz w:val="32"/>
                <w:szCs w:val="32"/>
              </w:rPr>
            </w:pPr>
          </w:p>
        </w:tc>
        <w:tc>
          <w:tcPr>
            <w:tcW w:w="1800"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所在部门</w:t>
            </w:r>
          </w:p>
          <w:p>
            <w:pPr>
              <w:jc w:val="center"/>
              <w:rPr>
                <w:rFonts w:hint="eastAsia" w:ascii="宋体" w:hAnsi="宋体"/>
                <w:color w:val="auto"/>
                <w:sz w:val="32"/>
                <w:szCs w:val="32"/>
              </w:rPr>
            </w:pPr>
            <w:r>
              <w:rPr>
                <w:rFonts w:hint="eastAsia" w:ascii="宋体" w:hAnsi="宋体"/>
                <w:color w:val="auto"/>
                <w:sz w:val="32"/>
                <w:szCs w:val="32"/>
              </w:rPr>
              <w:t>分管领导</w:t>
            </w:r>
          </w:p>
        </w:tc>
        <w:tc>
          <w:tcPr>
            <w:tcW w:w="5912" w:type="dxa"/>
            <w:gridSpan w:val="3"/>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08" w:type="dxa"/>
            <w:vMerge w:val="continue"/>
            <w:noWrap w:val="0"/>
            <w:vAlign w:val="center"/>
          </w:tcPr>
          <w:p>
            <w:pPr>
              <w:jc w:val="center"/>
              <w:rPr>
                <w:rFonts w:hint="eastAsia" w:ascii="宋体" w:hAnsi="宋体"/>
                <w:color w:val="auto"/>
                <w:sz w:val="32"/>
                <w:szCs w:val="32"/>
              </w:rPr>
            </w:pPr>
          </w:p>
        </w:tc>
        <w:tc>
          <w:tcPr>
            <w:tcW w:w="1800"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主管会计</w:t>
            </w:r>
          </w:p>
        </w:tc>
        <w:tc>
          <w:tcPr>
            <w:tcW w:w="5912" w:type="dxa"/>
            <w:gridSpan w:val="3"/>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008" w:type="dxa"/>
            <w:vMerge w:val="continue"/>
            <w:noWrap w:val="0"/>
            <w:vAlign w:val="center"/>
          </w:tcPr>
          <w:p>
            <w:pPr>
              <w:jc w:val="center"/>
              <w:rPr>
                <w:rFonts w:hint="eastAsia" w:ascii="宋体" w:hAnsi="宋体"/>
                <w:color w:val="auto"/>
                <w:sz w:val="32"/>
                <w:szCs w:val="32"/>
              </w:rPr>
            </w:pPr>
          </w:p>
        </w:tc>
        <w:tc>
          <w:tcPr>
            <w:tcW w:w="1800"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部门</w:t>
            </w:r>
          </w:p>
          <w:p>
            <w:pPr>
              <w:jc w:val="center"/>
              <w:rPr>
                <w:rFonts w:hint="eastAsia" w:ascii="宋体" w:hAnsi="宋体"/>
                <w:color w:val="auto"/>
                <w:sz w:val="32"/>
                <w:szCs w:val="32"/>
              </w:rPr>
            </w:pPr>
            <w:r>
              <w:rPr>
                <w:rFonts w:hint="eastAsia" w:ascii="宋体" w:hAnsi="宋体"/>
                <w:color w:val="auto"/>
                <w:sz w:val="32"/>
                <w:szCs w:val="32"/>
              </w:rPr>
              <w:t>负责人</w:t>
            </w:r>
          </w:p>
        </w:tc>
        <w:tc>
          <w:tcPr>
            <w:tcW w:w="5912" w:type="dxa"/>
            <w:gridSpan w:val="3"/>
            <w:noWrap w:val="0"/>
            <w:vAlign w:val="center"/>
          </w:tcPr>
          <w:p>
            <w:pPr>
              <w:jc w:val="center"/>
              <w:rPr>
                <w:rFonts w:hint="eastAsia" w:ascii="宋体" w:hAnsi="宋体"/>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008" w:type="dxa"/>
            <w:vMerge w:val="continue"/>
            <w:noWrap w:val="0"/>
            <w:vAlign w:val="center"/>
          </w:tcPr>
          <w:p>
            <w:pPr>
              <w:jc w:val="center"/>
              <w:rPr>
                <w:rFonts w:hint="eastAsia" w:ascii="宋体" w:hAnsi="宋体"/>
                <w:color w:val="auto"/>
                <w:sz w:val="32"/>
                <w:szCs w:val="32"/>
              </w:rPr>
            </w:pPr>
          </w:p>
        </w:tc>
        <w:tc>
          <w:tcPr>
            <w:tcW w:w="1800" w:type="dxa"/>
            <w:gridSpan w:val="2"/>
            <w:noWrap w:val="0"/>
            <w:vAlign w:val="center"/>
          </w:tcPr>
          <w:p>
            <w:pPr>
              <w:jc w:val="center"/>
              <w:rPr>
                <w:rFonts w:hint="eastAsia" w:ascii="宋体" w:hAnsi="宋体"/>
                <w:color w:val="auto"/>
                <w:sz w:val="32"/>
                <w:szCs w:val="32"/>
              </w:rPr>
            </w:pPr>
            <w:r>
              <w:rPr>
                <w:rFonts w:hint="eastAsia" w:ascii="宋体" w:hAnsi="宋体"/>
                <w:color w:val="auto"/>
                <w:sz w:val="32"/>
                <w:szCs w:val="32"/>
              </w:rPr>
              <w:t>经办人</w:t>
            </w:r>
          </w:p>
        </w:tc>
        <w:tc>
          <w:tcPr>
            <w:tcW w:w="5912" w:type="dxa"/>
            <w:gridSpan w:val="3"/>
            <w:noWrap w:val="0"/>
            <w:vAlign w:val="center"/>
          </w:tcPr>
          <w:p>
            <w:pPr>
              <w:jc w:val="center"/>
              <w:rPr>
                <w:rFonts w:hint="eastAsia" w:ascii="宋体" w:hAnsi="宋体"/>
                <w:color w:val="auto"/>
                <w:sz w:val="32"/>
                <w:szCs w:val="32"/>
              </w:rPr>
            </w:pPr>
          </w:p>
        </w:tc>
      </w:tr>
    </w:tbl>
    <w:p>
      <w:pPr>
        <w:pStyle w:val="2"/>
        <w:bidi w:val="0"/>
        <w:rPr>
          <w:rFonts w:hint="eastAsia"/>
          <w:color w:val="auto"/>
        </w:rPr>
      </w:pPr>
      <w:bookmarkStart w:id="257" w:name="_Toc18486"/>
      <w:r>
        <w:rPr>
          <w:rFonts w:hint="eastAsia"/>
          <w:color w:val="auto"/>
          <w:lang w:val="en-US" w:eastAsia="zh-CN"/>
        </w:rPr>
        <w:t>11、</w:t>
      </w:r>
      <w:r>
        <w:rPr>
          <w:rFonts w:hint="eastAsia"/>
          <w:color w:val="auto"/>
        </w:rPr>
        <w:t>生态新区差旅费管理办法</w:t>
      </w:r>
      <w:bookmarkEnd w:id="257"/>
    </w:p>
    <w:p>
      <w:pPr>
        <w:widowControl/>
        <w:jc w:val="center"/>
        <w:rPr>
          <w:rFonts w:hint="eastAsia" w:ascii="仿宋" w:hAnsi="仿宋" w:eastAsia="仿宋" w:cs="仿宋"/>
          <w:color w:val="auto"/>
          <w:sz w:val="32"/>
          <w:szCs w:val="32"/>
        </w:rPr>
      </w:pPr>
      <w:r>
        <w:rPr>
          <w:rFonts w:hint="eastAsia" w:ascii="宋体" w:hAnsi="宋体" w:eastAsia="宋体" w:cs="宋体"/>
          <w:kern w:val="0"/>
          <w:sz w:val="32"/>
          <w:szCs w:val="32"/>
          <w:shd w:val="clear" w:color="auto" w:fill="FFFFFF"/>
        </w:rPr>
        <w:t> </w:t>
      </w:r>
      <w:r>
        <w:rPr>
          <w:rFonts w:hint="eastAsia" w:ascii="黑体" w:hAnsi="黑体" w:eastAsia="黑体" w:cs="黑体"/>
          <w:color w:val="auto"/>
          <w:kern w:val="0"/>
          <w:sz w:val="32"/>
          <w:szCs w:val="32"/>
          <w:shd w:val="clear" w:color="auto" w:fill="FFFFFF"/>
        </w:rPr>
        <w:t>第一章 总则</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第一条</w:t>
      </w:r>
      <w:r>
        <w:rPr>
          <w:rFonts w:hint="eastAsia" w:ascii="仿宋" w:hAnsi="仿宋" w:eastAsia="仿宋" w:cs="仿宋"/>
          <w:color w:val="auto"/>
          <w:kern w:val="0"/>
          <w:sz w:val="32"/>
          <w:szCs w:val="32"/>
          <w:shd w:val="clear" w:color="auto" w:fill="FFFFFF"/>
        </w:rPr>
        <w:t> 为加强和规范生态新区差旅费管理，推进厉行节约反对浪费，根据《党政机关厉行节约反对浪费条例》，参照《中央和国家机关差旅费管理办法》，并结合我区实际，制定本办法。</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第二条</w:t>
      </w:r>
      <w:r>
        <w:rPr>
          <w:rFonts w:hint="eastAsia" w:ascii="仿宋" w:hAnsi="仿宋" w:eastAsia="仿宋" w:cs="仿宋"/>
          <w:color w:val="auto"/>
          <w:kern w:val="0"/>
          <w:sz w:val="32"/>
          <w:szCs w:val="32"/>
          <w:shd w:val="clear" w:color="auto" w:fill="FFFFFF"/>
        </w:rPr>
        <w:t> 差旅费是指各部门工作人员临时到常驻地以外地区公务出差所发生的城市间交通费、住宿费、伙食补助费和市内交通费。</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第三条</w:t>
      </w:r>
      <w:r>
        <w:rPr>
          <w:rFonts w:hint="eastAsia" w:ascii="仿宋" w:hAnsi="仿宋" w:eastAsia="仿宋" w:cs="仿宋"/>
          <w:color w:val="auto"/>
          <w:kern w:val="0"/>
          <w:sz w:val="32"/>
          <w:szCs w:val="32"/>
          <w:shd w:val="clear" w:color="auto" w:fill="FFFFFF"/>
        </w:rPr>
        <w:t> 各部门应当建立健全出差审批制度，出差必须按规定报经本部门有关领导批准，从严控制出差人数和天数；严格差旅费预算管理，控制差旅费规模；严禁无实质内容、无明确公务目的的差旅活动，严禁以任何名义和方式变相旅游，严禁异地部门间无实质内容的学习交流和考察调研。</w:t>
      </w:r>
    </w:p>
    <w:p>
      <w:pPr>
        <w:widowControl/>
        <w:wordWrap w:val="0"/>
        <w:spacing w:before="120" w:line="500" w:lineRule="atLeast"/>
        <w:jc w:val="center"/>
        <w:rPr>
          <w:rFonts w:hint="eastAsia" w:ascii="仿宋" w:hAnsi="仿宋" w:eastAsia="仿宋" w:cs="仿宋"/>
          <w:color w:val="auto"/>
          <w:sz w:val="32"/>
          <w:szCs w:val="32"/>
        </w:rPr>
      </w:pPr>
      <w:r>
        <w:rPr>
          <w:rFonts w:hint="eastAsia" w:ascii="黑体" w:hAnsi="黑体" w:eastAsia="黑体" w:cs="黑体"/>
          <w:color w:val="auto"/>
          <w:kern w:val="0"/>
          <w:sz w:val="32"/>
          <w:szCs w:val="32"/>
          <w:shd w:val="clear" w:color="auto" w:fill="FFFFFF"/>
        </w:rPr>
        <w:t>第二章 城市间交通费</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第四条 </w:t>
      </w:r>
      <w:r>
        <w:rPr>
          <w:rFonts w:hint="eastAsia" w:ascii="仿宋" w:hAnsi="仿宋" w:eastAsia="仿宋" w:cs="仿宋"/>
          <w:color w:val="auto"/>
          <w:kern w:val="0"/>
          <w:sz w:val="32"/>
          <w:szCs w:val="32"/>
          <w:shd w:val="clear" w:color="auto" w:fill="FFFFFF"/>
        </w:rPr>
        <w:t>城市间交通费是指各部门工作人员因公临时到常驻地以外地区出差乘坐火车、轮船、飞机等交通工具所发生的费用。</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第五条 </w:t>
      </w:r>
      <w:r>
        <w:rPr>
          <w:rFonts w:hint="eastAsia" w:ascii="仿宋" w:hAnsi="仿宋" w:eastAsia="仿宋" w:cs="仿宋"/>
          <w:color w:val="auto"/>
          <w:kern w:val="0"/>
          <w:sz w:val="32"/>
          <w:szCs w:val="32"/>
          <w:shd w:val="clear" w:color="auto" w:fill="FFFFFF"/>
        </w:rPr>
        <w:t> 出差人员应当按规定等级乘坐交通工具。出差人员乘坐交通工具等级见下表：</w:t>
      </w:r>
    </w:p>
    <w:tbl>
      <w:tblPr>
        <w:tblStyle w:val="10"/>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2268"/>
        <w:gridCol w:w="2280"/>
        <w:gridCol w:w="1324"/>
        <w:gridCol w:w="1179"/>
        <w:gridCol w:w="147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54" w:hRule="atLeast"/>
          <w:jc w:val="center"/>
        </w:trPr>
        <w:tc>
          <w:tcPr>
            <w:tcW w:w="2268"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  交通工具</w:t>
            </w:r>
          </w:p>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 级    别</w:t>
            </w:r>
          </w:p>
        </w:tc>
        <w:tc>
          <w:tcPr>
            <w:tcW w:w="228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火车（含高铁、动车、全列软席列车）</w:t>
            </w:r>
          </w:p>
        </w:tc>
        <w:tc>
          <w:tcPr>
            <w:tcW w:w="1324"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轮船（不包括旅游船）</w:t>
            </w:r>
          </w:p>
        </w:tc>
        <w:tc>
          <w:tcPr>
            <w:tcW w:w="117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飞机</w:t>
            </w:r>
          </w:p>
        </w:tc>
        <w:tc>
          <w:tcPr>
            <w:tcW w:w="147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其他交通工具</w:t>
            </w:r>
          </w:p>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（不包括出租小汽车）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81" w:hRule="atLeast"/>
          <w:jc w:val="center"/>
        </w:trPr>
        <w:tc>
          <w:tcPr>
            <w:tcW w:w="226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省级及相当职务</w:t>
            </w:r>
          </w:p>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人员</w:t>
            </w:r>
          </w:p>
        </w:tc>
        <w:tc>
          <w:tcPr>
            <w:tcW w:w="228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软席（软座、软卧），高铁/动车商务座，全列软席列车一等软座</w:t>
            </w:r>
          </w:p>
        </w:tc>
        <w:tc>
          <w:tcPr>
            <w:tcW w:w="132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一等舱</w:t>
            </w:r>
          </w:p>
        </w:tc>
        <w:tc>
          <w:tcPr>
            <w:tcW w:w="11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头等舱</w:t>
            </w:r>
          </w:p>
        </w:tc>
        <w:tc>
          <w:tcPr>
            <w:tcW w:w="147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凭据报销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11" w:hRule="atLeast"/>
          <w:jc w:val="center"/>
        </w:trPr>
        <w:tc>
          <w:tcPr>
            <w:tcW w:w="226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厅（局）级及相当</w:t>
            </w:r>
          </w:p>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职务人员</w:t>
            </w:r>
          </w:p>
        </w:tc>
        <w:tc>
          <w:tcPr>
            <w:tcW w:w="228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软席（软座、软卧），高铁/动车一等座，全列软席列车一等软座</w:t>
            </w:r>
          </w:p>
        </w:tc>
        <w:tc>
          <w:tcPr>
            <w:tcW w:w="132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二等舱</w:t>
            </w:r>
          </w:p>
        </w:tc>
        <w:tc>
          <w:tcPr>
            <w:tcW w:w="11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经济舱</w:t>
            </w:r>
          </w:p>
        </w:tc>
        <w:tc>
          <w:tcPr>
            <w:tcW w:w="147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凭据报销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03" w:hRule="atLeast"/>
          <w:jc w:val="center"/>
        </w:trPr>
        <w:tc>
          <w:tcPr>
            <w:tcW w:w="226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其他人员</w:t>
            </w:r>
          </w:p>
        </w:tc>
        <w:tc>
          <w:tcPr>
            <w:tcW w:w="228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硬席（硬座、硬卧），高铁/动车二等座，全列软席列车二等软座</w:t>
            </w:r>
          </w:p>
        </w:tc>
        <w:tc>
          <w:tcPr>
            <w:tcW w:w="132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三等舱</w:t>
            </w:r>
          </w:p>
        </w:tc>
        <w:tc>
          <w:tcPr>
            <w:tcW w:w="11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经济舱</w:t>
            </w:r>
          </w:p>
        </w:tc>
        <w:tc>
          <w:tcPr>
            <w:tcW w:w="147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hint="eastAsia" w:ascii="仿宋" w:hAnsi="仿宋" w:eastAsia="仿宋" w:cs="仿宋"/>
                <w:color w:val="auto"/>
                <w:sz w:val="32"/>
                <w:szCs w:val="32"/>
              </w:rPr>
            </w:pPr>
            <w:r>
              <w:rPr>
                <w:rFonts w:hint="eastAsia" w:ascii="仿宋" w:hAnsi="仿宋" w:eastAsia="仿宋" w:cs="仿宋"/>
                <w:b/>
                <w:color w:val="auto"/>
                <w:kern w:val="0"/>
                <w:sz w:val="32"/>
                <w:szCs w:val="32"/>
              </w:rPr>
              <w:t>凭据报销</w:t>
            </w:r>
          </w:p>
        </w:tc>
      </w:tr>
    </w:tbl>
    <w:p>
      <w:pPr>
        <w:widowControl/>
        <w:wordWrap w:val="0"/>
        <w:spacing w:before="120" w:line="500" w:lineRule="atLeast"/>
        <w:ind w:firstLine="640"/>
        <w:rPr>
          <w:rFonts w:hint="eastAsia" w:ascii="仿宋" w:hAnsi="仿宋" w:eastAsia="仿宋" w:cs="仿宋"/>
          <w:color w:val="auto"/>
          <w:sz w:val="32"/>
          <w:szCs w:val="32"/>
        </w:rPr>
      </w:pPr>
      <w:r>
        <w:rPr>
          <w:rFonts w:hint="eastAsia" w:ascii="仿宋" w:hAnsi="仿宋" w:eastAsia="仿宋" w:cs="仿宋"/>
          <w:color w:val="auto"/>
          <w:kern w:val="0"/>
          <w:sz w:val="32"/>
          <w:szCs w:val="32"/>
          <w:shd w:val="clear" w:color="auto" w:fill="FFFFFF"/>
        </w:rPr>
        <w:t>省级及相当职务人员出差，因工作需要，随行一人可乘坐同等级交通工具。</w:t>
      </w:r>
    </w:p>
    <w:p>
      <w:pPr>
        <w:widowControl/>
        <w:wordWrap w:val="0"/>
        <w:spacing w:before="120" w:line="500" w:lineRule="atLeast"/>
        <w:ind w:firstLine="640"/>
        <w:rPr>
          <w:rFonts w:hint="eastAsia" w:ascii="仿宋" w:hAnsi="仿宋" w:eastAsia="仿宋" w:cs="仿宋"/>
          <w:color w:val="auto"/>
          <w:sz w:val="32"/>
          <w:szCs w:val="32"/>
        </w:rPr>
      </w:pPr>
      <w:r>
        <w:rPr>
          <w:rFonts w:hint="eastAsia" w:ascii="仿宋" w:hAnsi="仿宋" w:eastAsia="仿宋" w:cs="仿宋"/>
          <w:color w:val="auto"/>
          <w:kern w:val="0"/>
          <w:sz w:val="32"/>
          <w:szCs w:val="32"/>
          <w:shd w:val="clear" w:color="auto" w:fill="FFFFFF"/>
        </w:rPr>
        <w:t>未按规定等级乘坐交通工具的，超支部分由个人自理。</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第六条</w:t>
      </w:r>
      <w:r>
        <w:rPr>
          <w:rFonts w:hint="eastAsia" w:ascii="仿宋" w:hAnsi="仿宋" w:eastAsia="仿宋" w:cs="仿宋"/>
          <w:color w:val="auto"/>
          <w:kern w:val="0"/>
          <w:sz w:val="32"/>
          <w:szCs w:val="32"/>
          <w:shd w:val="clear" w:color="auto" w:fill="FFFFFF"/>
        </w:rPr>
        <w:t> 到出差目的地有多种交通工具可选择时，出差人员在不影响公务、确保安全的前提下，应当选乘相对经济便捷的交通工具。</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第七条</w:t>
      </w:r>
      <w:r>
        <w:rPr>
          <w:rFonts w:hint="eastAsia" w:ascii="仿宋" w:hAnsi="仿宋" w:eastAsia="仿宋" w:cs="仿宋"/>
          <w:color w:val="auto"/>
          <w:kern w:val="0"/>
          <w:sz w:val="32"/>
          <w:szCs w:val="32"/>
          <w:shd w:val="clear" w:color="auto" w:fill="FFFFFF"/>
        </w:rPr>
        <w:t> 乘坐飞机的，民航发展基金、燃油附加费可以凭据报销。</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第八条</w:t>
      </w:r>
      <w:r>
        <w:rPr>
          <w:rFonts w:hint="eastAsia" w:ascii="仿宋" w:hAnsi="仿宋" w:eastAsia="仿宋" w:cs="仿宋"/>
          <w:color w:val="auto"/>
          <w:kern w:val="0"/>
          <w:sz w:val="32"/>
          <w:szCs w:val="32"/>
          <w:shd w:val="clear" w:color="auto" w:fill="FFFFFF"/>
        </w:rPr>
        <w:t> 乘坐飞机、火车、轮船等交通工具的，每人次可以购买交通意外保险一份。所在单位统一购买交通意外保险的，不再重复购买。</w:t>
      </w:r>
    </w:p>
    <w:p>
      <w:pPr>
        <w:widowControl/>
        <w:wordWrap w:val="0"/>
        <w:spacing w:line="500" w:lineRule="atLeast"/>
        <w:rPr>
          <w:rFonts w:hint="eastAsia" w:ascii="仿宋" w:hAnsi="仿宋" w:eastAsia="仿宋" w:cs="仿宋"/>
          <w:color w:val="auto"/>
          <w:sz w:val="32"/>
          <w:szCs w:val="32"/>
        </w:rPr>
      </w:pPr>
      <w:r>
        <w:rPr>
          <w:rFonts w:hint="eastAsia" w:ascii="仿宋" w:hAnsi="仿宋" w:eastAsia="仿宋" w:cs="仿宋"/>
          <w:color w:val="auto"/>
          <w:kern w:val="0"/>
          <w:sz w:val="32"/>
          <w:szCs w:val="32"/>
          <w:shd w:val="clear" w:color="auto" w:fill="FFFFFF"/>
        </w:rPr>
        <w:t xml:space="preserve">                   </w:t>
      </w:r>
      <w:r>
        <w:rPr>
          <w:rFonts w:hint="eastAsia" w:ascii="黑体" w:hAnsi="黑体" w:eastAsia="黑体" w:cs="黑体"/>
          <w:color w:val="auto"/>
          <w:kern w:val="0"/>
          <w:sz w:val="32"/>
          <w:szCs w:val="32"/>
          <w:shd w:val="clear" w:color="auto" w:fill="FFFFFF"/>
        </w:rPr>
        <w:t>第三章 住宿费</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第九条</w:t>
      </w:r>
      <w:r>
        <w:rPr>
          <w:rFonts w:hint="eastAsia" w:ascii="仿宋" w:hAnsi="仿宋" w:eastAsia="仿宋" w:cs="仿宋"/>
          <w:color w:val="auto"/>
          <w:kern w:val="0"/>
          <w:sz w:val="32"/>
          <w:szCs w:val="32"/>
          <w:shd w:val="clear" w:color="auto" w:fill="FFFFFF"/>
        </w:rPr>
        <w:t> 住宿费是指各部门工作人员因公临时出差期间入住宾馆（包括饭店、招待所等，下同）发生的房租费用。</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第十条 </w:t>
      </w:r>
      <w:r>
        <w:rPr>
          <w:rFonts w:hint="eastAsia" w:ascii="仿宋" w:hAnsi="仿宋" w:eastAsia="仿宋" w:cs="仿宋"/>
          <w:color w:val="auto"/>
          <w:kern w:val="0"/>
          <w:sz w:val="32"/>
          <w:szCs w:val="32"/>
          <w:shd w:val="clear" w:color="auto" w:fill="FFFFFF"/>
        </w:rPr>
        <w:t>各部门工作人员出差住宿费限额标准见下表：</w:t>
      </w:r>
    </w:p>
    <w:p>
      <w:pPr>
        <w:widowControl/>
        <w:wordWrap w:val="0"/>
        <w:spacing w:before="120" w:line="400" w:lineRule="atLeast"/>
        <w:ind w:firstLine="640"/>
        <w:rPr>
          <w:rFonts w:hint="eastAsia" w:ascii="仿宋" w:hAnsi="仿宋" w:eastAsia="仿宋" w:cs="仿宋"/>
          <w:color w:val="auto"/>
          <w:sz w:val="32"/>
          <w:szCs w:val="32"/>
        </w:rPr>
      </w:pPr>
      <w:r>
        <w:rPr>
          <w:rFonts w:hint="eastAsia" w:ascii="仿宋" w:hAnsi="仿宋" w:eastAsia="仿宋" w:cs="仿宋"/>
          <w:color w:val="auto"/>
          <w:kern w:val="0"/>
          <w:sz w:val="32"/>
          <w:szCs w:val="32"/>
          <w:shd w:val="clear" w:color="auto" w:fill="FFFFFF"/>
        </w:rPr>
        <w:t>  单位：元/人天</w:t>
      </w:r>
    </w:p>
    <w:tbl>
      <w:tblPr>
        <w:tblStyle w:val="10"/>
        <w:tblW w:w="822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3118"/>
        <w:gridCol w:w="1701"/>
        <w:gridCol w:w="340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级 别</w:t>
            </w:r>
          </w:p>
        </w:tc>
        <w:tc>
          <w:tcPr>
            <w:tcW w:w="1701" w:type="dxa"/>
            <w:tcBorders>
              <w:top w:val="single" w:color="000000" w:sz="8" w:space="0"/>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省 内</w:t>
            </w:r>
          </w:p>
        </w:tc>
        <w:tc>
          <w:tcPr>
            <w:tcW w:w="3402" w:type="dxa"/>
            <w:tcBorders>
              <w:top w:val="single" w:color="000000" w:sz="8" w:space="0"/>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省 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nil"/>
              <w:left w:val="single" w:color="000000" w:sz="8" w:space="0"/>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省级及相当职务人员</w:t>
            </w:r>
          </w:p>
        </w:tc>
        <w:tc>
          <w:tcPr>
            <w:tcW w:w="1701" w:type="dxa"/>
            <w:tcBorders>
              <w:top w:val="nil"/>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750</w:t>
            </w:r>
          </w:p>
        </w:tc>
        <w:tc>
          <w:tcPr>
            <w:tcW w:w="3402" w:type="dxa"/>
            <w:vMerge w:val="restart"/>
            <w:tcBorders>
              <w:top w:val="nil"/>
              <w:left w:val="nil"/>
              <w:bottom w:val="single" w:color="000000" w:sz="8" w:space="0"/>
              <w:right w:val="single" w:color="000000" w:sz="8" w:space="0"/>
            </w:tcBorders>
            <w:shd w:val="clear" w:color="auto" w:fill="auto"/>
            <w:tcMar>
              <w:left w:w="108" w:type="dxa"/>
              <w:right w:w="108" w:type="dxa"/>
            </w:tcMar>
            <w:vAlign w:val="cente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执行财政部发布的住宿费限额标准（见附表）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厅（局）级及相当职务人员</w:t>
            </w:r>
          </w:p>
        </w:tc>
        <w:tc>
          <w:tcPr>
            <w:tcW w:w="1701" w:type="dxa"/>
            <w:tcBorders>
              <w:top w:val="nil"/>
              <w:left w:val="nil"/>
              <w:bottom w:val="single" w:color="000000" w:sz="8" w:space="0"/>
              <w:right w:val="single" w:color="000000" w:sz="8" w:space="0"/>
            </w:tcBorders>
            <w:shd w:val="clear" w:color="auto" w:fill="auto"/>
            <w:tcMar>
              <w:left w:w="108" w:type="dxa"/>
              <w:right w:w="108" w:type="dxa"/>
            </w:tcMar>
            <w:vAlign w:val="cente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450</w:t>
            </w:r>
          </w:p>
        </w:tc>
        <w:tc>
          <w:tcPr>
            <w:tcW w:w="3402" w:type="dxa"/>
            <w:vMerge w:val="continue"/>
            <w:tcBorders>
              <w:top w:val="nil"/>
              <w:left w:val="nil"/>
              <w:bottom w:val="single" w:color="000000" w:sz="8" w:space="0"/>
              <w:right w:val="single" w:color="000000" w:sz="8" w:space="0"/>
            </w:tcBorders>
            <w:shd w:val="clear" w:color="auto" w:fill="auto"/>
            <w:tcMar>
              <w:left w:w="108" w:type="dxa"/>
              <w:right w:w="108" w:type="dxa"/>
            </w:tcMar>
            <w:vAlign w:val="center"/>
          </w:tcPr>
          <w:p>
            <w:pPr>
              <w:rPr>
                <w:rFonts w:hint="eastAsia" w:ascii="仿宋" w:hAnsi="仿宋" w:eastAsia="仿宋" w:cs="仿宋"/>
                <w:color w:val="auto"/>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nil"/>
              <w:left w:val="single" w:color="000000" w:sz="8" w:space="0"/>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其他人员</w:t>
            </w:r>
          </w:p>
        </w:tc>
        <w:tc>
          <w:tcPr>
            <w:tcW w:w="1701" w:type="dxa"/>
            <w:tcBorders>
              <w:top w:val="nil"/>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hint="eastAsia" w:ascii="仿宋" w:hAnsi="仿宋" w:eastAsia="仿宋" w:cs="仿宋"/>
                <w:color w:val="auto"/>
                <w:sz w:val="32"/>
                <w:szCs w:val="32"/>
              </w:rPr>
            </w:pPr>
            <w:r>
              <w:rPr>
                <w:rFonts w:hint="eastAsia" w:ascii="仿宋" w:hAnsi="仿宋" w:eastAsia="仿宋" w:cs="仿宋"/>
                <w:color w:val="auto"/>
                <w:kern w:val="0"/>
                <w:sz w:val="32"/>
                <w:szCs w:val="32"/>
              </w:rPr>
              <w:t>3</w:t>
            </w:r>
            <w:r>
              <w:rPr>
                <w:rFonts w:hint="eastAsia" w:ascii="仿宋" w:hAnsi="仿宋" w:cs="仿宋"/>
                <w:color w:val="auto"/>
                <w:kern w:val="0"/>
                <w:sz w:val="32"/>
                <w:szCs w:val="32"/>
                <w:lang w:val="en-US" w:eastAsia="zh-CN"/>
              </w:rPr>
              <w:t>5</w:t>
            </w:r>
            <w:r>
              <w:rPr>
                <w:rFonts w:hint="eastAsia" w:ascii="仿宋" w:hAnsi="仿宋" w:eastAsia="仿宋" w:cs="仿宋"/>
                <w:color w:val="auto"/>
                <w:kern w:val="0"/>
                <w:sz w:val="32"/>
                <w:szCs w:val="32"/>
              </w:rPr>
              <w:t>0</w:t>
            </w:r>
          </w:p>
        </w:tc>
        <w:tc>
          <w:tcPr>
            <w:tcW w:w="3402" w:type="dxa"/>
            <w:vMerge w:val="continue"/>
            <w:tcBorders>
              <w:top w:val="nil"/>
              <w:left w:val="nil"/>
              <w:bottom w:val="single" w:color="000000" w:sz="8" w:space="0"/>
              <w:right w:val="single" w:color="000000" w:sz="8" w:space="0"/>
            </w:tcBorders>
            <w:shd w:val="clear" w:color="auto" w:fill="auto"/>
            <w:tcMar>
              <w:left w:w="108" w:type="dxa"/>
              <w:right w:w="108" w:type="dxa"/>
            </w:tcMar>
            <w:vAlign w:val="center"/>
          </w:tcPr>
          <w:p>
            <w:pPr>
              <w:rPr>
                <w:rFonts w:hint="eastAsia" w:ascii="仿宋" w:hAnsi="仿宋" w:eastAsia="仿宋" w:cs="仿宋"/>
                <w:color w:val="auto"/>
                <w:sz w:val="32"/>
                <w:szCs w:val="32"/>
              </w:rPr>
            </w:pPr>
          </w:p>
        </w:tc>
      </w:tr>
    </w:tbl>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第十一条</w:t>
      </w:r>
      <w:r>
        <w:rPr>
          <w:rFonts w:hint="eastAsia" w:ascii="仿宋" w:hAnsi="仿宋" w:eastAsia="仿宋" w:cs="仿宋"/>
          <w:color w:val="auto"/>
          <w:kern w:val="0"/>
          <w:sz w:val="32"/>
          <w:szCs w:val="32"/>
          <w:shd w:val="clear" w:color="auto" w:fill="FFFFFF"/>
        </w:rPr>
        <w:t> 省级及相当职务人员住普通套间，厅（局）级及以下人员住单间或者标准间。</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第十二条</w:t>
      </w:r>
      <w:r>
        <w:rPr>
          <w:rFonts w:hint="eastAsia" w:ascii="仿宋" w:hAnsi="仿宋" w:eastAsia="仿宋" w:cs="仿宋"/>
          <w:color w:val="auto"/>
          <w:kern w:val="0"/>
          <w:sz w:val="32"/>
          <w:szCs w:val="32"/>
          <w:shd w:val="clear" w:color="auto" w:fill="FFFFFF"/>
        </w:rPr>
        <w:t> 出差人员应当在职务级别对应的住宿费标准限额内，选择安全、经济、便捷的宾馆住宿。</w:t>
      </w:r>
    </w:p>
    <w:p>
      <w:pPr>
        <w:widowControl/>
        <w:wordWrap w:val="0"/>
        <w:spacing w:before="120" w:line="500" w:lineRule="atLeast"/>
        <w:rPr>
          <w:rFonts w:hint="eastAsia" w:ascii="仿宋" w:hAnsi="仿宋" w:eastAsia="仿宋" w:cs="仿宋"/>
          <w:color w:val="auto"/>
          <w:sz w:val="32"/>
          <w:szCs w:val="32"/>
        </w:rPr>
      </w:pPr>
      <w:r>
        <w:rPr>
          <w:rFonts w:hint="eastAsia" w:ascii="仿宋" w:hAnsi="仿宋" w:eastAsia="仿宋" w:cs="仿宋"/>
          <w:color w:val="auto"/>
          <w:kern w:val="0"/>
          <w:sz w:val="32"/>
          <w:szCs w:val="32"/>
          <w:shd w:val="clear" w:color="auto" w:fill="FFFFFF"/>
        </w:rPr>
        <w:t xml:space="preserve">                </w:t>
      </w:r>
      <w:r>
        <w:rPr>
          <w:rFonts w:hint="eastAsia" w:ascii="黑体" w:hAnsi="黑体" w:eastAsia="黑体" w:cs="黑体"/>
          <w:color w:val="auto"/>
          <w:kern w:val="0"/>
          <w:sz w:val="32"/>
          <w:szCs w:val="32"/>
          <w:shd w:val="clear" w:color="auto" w:fill="FFFFFF"/>
        </w:rPr>
        <w:t>第四章 伙食补助费</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第十三条</w:t>
      </w:r>
      <w:r>
        <w:rPr>
          <w:rFonts w:hint="eastAsia" w:ascii="仿宋" w:hAnsi="仿宋" w:eastAsia="仿宋" w:cs="仿宋"/>
          <w:color w:val="auto"/>
          <w:kern w:val="0"/>
          <w:sz w:val="32"/>
          <w:szCs w:val="32"/>
          <w:shd w:val="clear" w:color="auto" w:fill="FFFFFF"/>
        </w:rPr>
        <w:t> 伙食补助费是指对各部门工作人员在因公出差期间给予的伙食补助费用。</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第十四条 </w:t>
      </w:r>
      <w:r>
        <w:rPr>
          <w:rFonts w:hint="eastAsia" w:ascii="仿宋" w:hAnsi="仿宋" w:eastAsia="仿宋" w:cs="仿宋"/>
          <w:color w:val="auto"/>
          <w:kern w:val="0"/>
          <w:sz w:val="32"/>
          <w:szCs w:val="32"/>
          <w:shd w:val="clear" w:color="auto" w:fill="FFFFFF"/>
        </w:rPr>
        <w:t>伙食补助费按出差自然（日历）天数计算，按规定标准包干使用。省内出差每人每天100元包干使用。省外出差按照财政部发布的相关地区出差伙食补助费标准执行（见附表）。</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第十五条</w:t>
      </w:r>
      <w:r>
        <w:rPr>
          <w:rFonts w:hint="eastAsia" w:ascii="仿宋" w:hAnsi="仿宋" w:eastAsia="仿宋" w:cs="仿宋"/>
          <w:color w:val="auto"/>
          <w:kern w:val="0"/>
          <w:sz w:val="32"/>
          <w:szCs w:val="32"/>
          <w:shd w:val="clear" w:color="auto" w:fill="FFFFFF"/>
        </w:rPr>
        <w:t> 出差人员应当自行用餐。凡由接待单位统一安排就餐的，应当向接待单位交纳伙食费。</w:t>
      </w:r>
    </w:p>
    <w:p>
      <w:pPr>
        <w:widowControl/>
        <w:wordWrap w:val="0"/>
        <w:spacing w:line="500" w:lineRule="atLeast"/>
        <w:rPr>
          <w:rFonts w:hint="eastAsia" w:ascii="仿宋" w:hAnsi="仿宋" w:eastAsia="仿宋" w:cs="仿宋"/>
          <w:color w:val="auto"/>
          <w:sz w:val="32"/>
          <w:szCs w:val="32"/>
        </w:rPr>
      </w:pPr>
      <w:r>
        <w:rPr>
          <w:rFonts w:hint="eastAsia" w:ascii="仿宋" w:hAnsi="仿宋" w:eastAsia="仿宋" w:cs="仿宋"/>
          <w:color w:val="auto"/>
          <w:kern w:val="0"/>
          <w:sz w:val="32"/>
          <w:szCs w:val="32"/>
          <w:shd w:val="clear" w:color="auto" w:fill="FFFFFF"/>
        </w:rPr>
        <w:t xml:space="preserve">               </w:t>
      </w:r>
      <w:r>
        <w:rPr>
          <w:rFonts w:hint="eastAsia" w:ascii="黑体" w:hAnsi="黑体" w:eastAsia="黑体" w:cs="黑体"/>
          <w:color w:val="auto"/>
          <w:kern w:val="0"/>
          <w:sz w:val="32"/>
          <w:szCs w:val="32"/>
          <w:shd w:val="clear" w:color="auto" w:fill="FFFFFF"/>
        </w:rPr>
        <w:t xml:space="preserve"> 第五章 市内交通费</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第十六条 </w:t>
      </w:r>
      <w:r>
        <w:rPr>
          <w:rFonts w:hint="eastAsia" w:ascii="仿宋" w:hAnsi="仿宋" w:eastAsia="仿宋" w:cs="仿宋"/>
          <w:color w:val="auto"/>
          <w:kern w:val="0"/>
          <w:sz w:val="32"/>
          <w:szCs w:val="32"/>
          <w:shd w:val="clear" w:color="auto" w:fill="FFFFFF"/>
        </w:rPr>
        <w:t>市内交通费是指各部门工作人员因公临时出差期间发生的市内交通费用。</w:t>
      </w:r>
    </w:p>
    <w:p>
      <w:pPr>
        <w:widowControl/>
        <w:wordWrap w:val="0"/>
        <w:spacing w:before="120" w:line="500" w:lineRule="atLeast"/>
        <w:ind w:firstLine="643"/>
        <w:rPr>
          <w:rFonts w:hint="eastAsia" w:ascii="仿宋" w:hAnsi="仿宋" w:eastAsia="仿宋" w:cs="仿宋"/>
          <w:color w:val="auto"/>
          <w:sz w:val="32"/>
          <w:szCs w:val="32"/>
        </w:rPr>
      </w:pPr>
      <w:r>
        <w:rPr>
          <w:rFonts w:hint="eastAsia" w:ascii="仿宋" w:hAnsi="仿宋" w:eastAsia="仿宋" w:cs="仿宋"/>
          <w:b/>
          <w:color w:val="auto"/>
          <w:kern w:val="0"/>
          <w:sz w:val="32"/>
          <w:szCs w:val="32"/>
          <w:shd w:val="clear" w:color="auto" w:fill="FFFFFF"/>
        </w:rPr>
        <w:t>第十七条 </w:t>
      </w:r>
      <w:r>
        <w:rPr>
          <w:rFonts w:hint="eastAsia" w:ascii="仿宋" w:hAnsi="仿宋" w:eastAsia="仿宋" w:cs="仿宋"/>
          <w:color w:val="auto"/>
          <w:kern w:val="0"/>
          <w:sz w:val="32"/>
          <w:szCs w:val="32"/>
          <w:shd w:val="clear" w:color="auto" w:fill="FFFFFF"/>
        </w:rPr>
        <w:t>市内交通费按出差自然（日历）天数计算，每人每天80元包干使用。</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第十八条</w:t>
      </w:r>
      <w:r>
        <w:rPr>
          <w:rFonts w:hint="eastAsia" w:ascii="仿宋" w:hAnsi="仿宋" w:eastAsia="仿宋" w:cs="仿宋"/>
          <w:color w:val="auto"/>
          <w:kern w:val="0"/>
          <w:sz w:val="32"/>
          <w:szCs w:val="32"/>
          <w:shd w:val="clear" w:color="auto" w:fill="FFFFFF"/>
        </w:rPr>
        <w:t> 出差人员由接待单位或其他单位提供交通工具的，应向接待单位或其他单位交纳相关费用。</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 xml:space="preserve">                </w:t>
      </w:r>
      <w:r>
        <w:rPr>
          <w:rFonts w:hint="eastAsia" w:ascii="仿宋" w:hAnsi="仿宋" w:eastAsia="仿宋" w:cs="仿宋"/>
          <w:b/>
          <w:bCs/>
          <w:color w:val="auto"/>
          <w:kern w:val="0"/>
          <w:sz w:val="32"/>
          <w:szCs w:val="32"/>
          <w:shd w:val="clear" w:color="auto" w:fill="FFFFFF"/>
        </w:rPr>
        <w:t>第六章 报销管理</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第十九条</w:t>
      </w:r>
      <w:r>
        <w:rPr>
          <w:rFonts w:hint="eastAsia" w:ascii="仿宋" w:hAnsi="仿宋" w:eastAsia="仿宋" w:cs="仿宋"/>
          <w:color w:val="auto"/>
          <w:kern w:val="0"/>
          <w:sz w:val="32"/>
          <w:szCs w:val="32"/>
          <w:shd w:val="clear" w:color="auto" w:fill="FFFFFF"/>
        </w:rPr>
        <w:t> 出差人员应当严格按规定开支差旅费，费用由所在单位承担，不得向下级单位、企业或其他单位转嫁。</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第二十条</w:t>
      </w:r>
      <w:r>
        <w:rPr>
          <w:rFonts w:hint="eastAsia" w:ascii="仿宋" w:hAnsi="仿宋" w:eastAsia="仿宋" w:cs="仿宋"/>
          <w:color w:val="auto"/>
          <w:kern w:val="0"/>
          <w:sz w:val="32"/>
          <w:szCs w:val="32"/>
          <w:shd w:val="clear" w:color="auto" w:fill="FFFFFF"/>
        </w:rPr>
        <w:t> 城市间交通费按乘坐交通工具的等级凭据报销，订票费、经批准发生的签转或退票费、交通意外保险费凭据报销。</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住宿费在标准限额之内凭发票据实报销。</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伙食补助费和市内交通费按规定标准报销。在途期间的伙食补助费按当天最后到达目的地的标准报销。</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未按规定开支差旅费的，超支部分由个人自理。</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第二十一条</w:t>
      </w:r>
      <w:r>
        <w:rPr>
          <w:rFonts w:hint="eastAsia" w:ascii="仿宋" w:hAnsi="仿宋" w:eastAsia="仿宋" w:cs="仿宋"/>
          <w:color w:val="auto"/>
          <w:kern w:val="0"/>
          <w:sz w:val="32"/>
          <w:szCs w:val="32"/>
          <w:shd w:val="clear" w:color="auto" w:fill="FFFFFF"/>
        </w:rPr>
        <w:t> 各部门工作人员出差结束后应当及时办理报销手续。</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（1）出差前填写《出差审批单》，经相关权限人审批同意后，方可出差。</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（2）出差返还后，应及时将相应票据及《差旅报销单》按照</w:t>
      </w:r>
      <w:r>
        <w:rPr>
          <w:rFonts w:hint="eastAsia" w:ascii="仿宋" w:hAnsi="仿宋" w:cs="仿宋"/>
          <w:color w:val="auto"/>
          <w:kern w:val="0"/>
          <w:sz w:val="32"/>
          <w:szCs w:val="32"/>
          <w:shd w:val="clear" w:color="auto" w:fill="FFFFFF"/>
          <w:lang w:val="en-US" w:eastAsia="zh-CN"/>
        </w:rPr>
        <w:t>财政</w:t>
      </w:r>
      <w:r>
        <w:rPr>
          <w:rFonts w:hint="eastAsia" w:ascii="仿宋" w:hAnsi="仿宋" w:eastAsia="仿宋" w:cs="仿宋"/>
          <w:color w:val="auto"/>
          <w:kern w:val="0"/>
          <w:sz w:val="32"/>
          <w:szCs w:val="32"/>
          <w:shd w:val="clear" w:color="auto" w:fill="FFFFFF"/>
        </w:rPr>
        <w:t>局要求分类粘贴好并由本部门相关领导审核后报到财务部门审核，不合格票据财务部门有权拒收。</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附原始单据如下:</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1、差旅费审批单：出差人、出差人数、随行人员、出差事由、预计出差时间、出差地点安排、预计出差费用、预借款等。</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2、交通费支付凭证。</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3、住宿费凭证。</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4、餐费凭证。</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5、订票费、保险费、行李托运费、寄存费、退票费、机场建设费等杂费凭证。</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6、带车出差的相关费用凭证及往返里程资料。</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7、其他特殊费用等凭证。</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第二十二条</w:t>
      </w:r>
      <w:r>
        <w:rPr>
          <w:rFonts w:hint="eastAsia" w:ascii="仿宋" w:hAnsi="仿宋" w:eastAsia="仿宋" w:cs="仿宋"/>
          <w:color w:val="auto"/>
          <w:kern w:val="0"/>
          <w:sz w:val="32"/>
          <w:szCs w:val="32"/>
          <w:shd w:val="clear" w:color="auto" w:fill="FFFFFF"/>
        </w:rPr>
        <w:t> 财务部门应当严格按规定审核差旅费开支，对未经批准，以及超范围、超标准开支的费用不予报销。</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实际发生住宿而无住宿费发票的，不得报销住宿费以及城市间交通费、伙食补助费和市内交通费。</w:t>
      </w:r>
    </w:p>
    <w:p>
      <w:pPr>
        <w:widowControl/>
        <w:wordWrap w:val="0"/>
        <w:spacing w:before="120" w:line="500" w:lineRule="atLeast"/>
        <w:ind w:firstLine="643"/>
        <w:rPr>
          <w:rFonts w:hint="eastAsia" w:ascii="仿宋" w:hAnsi="仿宋" w:eastAsia="仿宋" w:cs="仿宋"/>
          <w:b/>
          <w:bCs/>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 xml:space="preserve">              </w:t>
      </w:r>
      <w:r>
        <w:rPr>
          <w:rFonts w:hint="eastAsia" w:ascii="仿宋" w:hAnsi="仿宋" w:eastAsia="仿宋" w:cs="仿宋"/>
          <w:b/>
          <w:bCs/>
          <w:color w:val="auto"/>
          <w:kern w:val="0"/>
          <w:sz w:val="32"/>
          <w:szCs w:val="32"/>
          <w:shd w:val="clear" w:color="auto" w:fill="FFFFFF"/>
        </w:rPr>
        <w:t xml:space="preserve"> 第七章  监督问责</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第二十三条</w:t>
      </w:r>
      <w:r>
        <w:rPr>
          <w:rFonts w:hint="eastAsia" w:ascii="仿宋" w:hAnsi="仿宋" w:eastAsia="仿宋" w:cs="仿宋"/>
          <w:color w:val="auto"/>
          <w:kern w:val="0"/>
          <w:sz w:val="32"/>
          <w:szCs w:val="32"/>
          <w:shd w:val="clear" w:color="auto" w:fill="FFFFFF"/>
        </w:rPr>
        <w:t> 各部门应当加强对本部门工作人员差旅活动和经费报销的内控管理，对本部门差旅审批制度、差旅费预算及规模控制负责，相关领导、财务人员等对差旅费报销进行审核把关，确保票据来源合法，内容真实完整、合规。对未经批准擅自出差、不按规定开支和报销差旅费的人员进行严肃处理。</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 </w:t>
      </w:r>
      <w:r>
        <w:rPr>
          <w:rFonts w:hint="eastAsia" w:ascii="仿宋" w:hAnsi="仿宋" w:eastAsia="仿宋" w:cs="仿宋"/>
          <w:b/>
          <w:color w:val="auto"/>
          <w:kern w:val="0"/>
          <w:sz w:val="32"/>
          <w:szCs w:val="32"/>
          <w:shd w:val="clear" w:color="auto" w:fill="FFFFFF"/>
        </w:rPr>
        <w:t>第二十四条</w:t>
      </w:r>
      <w:r>
        <w:rPr>
          <w:rFonts w:hint="eastAsia" w:ascii="仿宋" w:hAnsi="仿宋" w:eastAsia="仿宋" w:cs="仿宋"/>
          <w:color w:val="auto"/>
          <w:kern w:val="0"/>
          <w:sz w:val="32"/>
          <w:szCs w:val="32"/>
          <w:shd w:val="clear" w:color="auto" w:fill="FFFFFF"/>
        </w:rPr>
        <w:t> 对各部门差旅费实行监督检查。主要内容包括：</w:t>
      </w:r>
    </w:p>
    <w:p>
      <w:pPr>
        <w:widowControl/>
        <w:numPr>
          <w:ilvl w:val="0"/>
          <w:numId w:val="4"/>
        </w:numPr>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出差活动是否按规定履行审批手续；</w:t>
      </w:r>
    </w:p>
    <w:p>
      <w:pPr>
        <w:widowControl/>
        <w:numPr>
          <w:ilvl w:val="0"/>
          <w:numId w:val="4"/>
        </w:numPr>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差旅费开支范围和标准是否符合规定；</w:t>
      </w:r>
    </w:p>
    <w:p>
      <w:pPr>
        <w:widowControl/>
        <w:numPr>
          <w:ilvl w:val="0"/>
          <w:numId w:val="4"/>
        </w:numPr>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差旅费报销是否符合规定；</w:t>
      </w:r>
    </w:p>
    <w:p>
      <w:pPr>
        <w:widowControl/>
        <w:numPr>
          <w:ilvl w:val="0"/>
          <w:numId w:val="4"/>
        </w:numPr>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是否向下级单位、企业或其他单位转嫁差旅费；</w:t>
      </w:r>
    </w:p>
    <w:p>
      <w:pPr>
        <w:keepNext w:val="0"/>
        <w:keepLines w:val="0"/>
        <w:pageBreakBefore w:val="0"/>
        <w:widowControl/>
        <w:kinsoku/>
        <w:wordWrap w:val="0"/>
        <w:overflowPunct/>
        <w:topLinePunct w:val="0"/>
        <w:autoSpaceDE/>
        <w:autoSpaceDN/>
        <w:bidi w:val="0"/>
        <w:adjustRightInd/>
        <w:snapToGrid/>
        <w:spacing w:before="120" w:line="500" w:lineRule="atLeast"/>
        <w:ind w:firstLine="640" w:firstLineChars="200"/>
        <w:textAlignment w:val="auto"/>
        <w:rPr>
          <w:rFonts w:hint="eastAsia"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rPr>
        <w:t>（五）差旅费管理和使用的其他情况。</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第二十五条</w:t>
      </w:r>
      <w:r>
        <w:rPr>
          <w:rFonts w:hint="eastAsia" w:ascii="仿宋" w:hAnsi="仿宋" w:eastAsia="仿宋" w:cs="仿宋"/>
          <w:color w:val="auto"/>
          <w:kern w:val="0"/>
          <w:sz w:val="32"/>
          <w:szCs w:val="32"/>
          <w:shd w:val="clear" w:color="auto" w:fill="FFFFFF"/>
        </w:rPr>
        <w:t> 出差人员不得向接待单位提出正常公务活动以外的要求，不得在出差期间接受违反规定用公款支付的宴请、游览和非工作需要的参观，不得接受礼品、礼金和土特产品等。</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第二十六条</w:t>
      </w:r>
      <w:r>
        <w:rPr>
          <w:rFonts w:hint="eastAsia" w:ascii="仿宋" w:hAnsi="仿宋" w:eastAsia="仿宋" w:cs="仿宋"/>
          <w:color w:val="auto"/>
          <w:kern w:val="0"/>
          <w:sz w:val="32"/>
          <w:szCs w:val="32"/>
          <w:shd w:val="clear" w:color="auto" w:fill="FFFFFF"/>
        </w:rPr>
        <w:t> 工作人员外出参加会议、培训，举办单位统一安排食宿的，会议、培训期间的食宿费和市内交通费由会议、培训举办单位按规定统一开支；往返会议、培训地点的差旅费由所在单位按本办法有关规定报销。</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rPr>
      </w:pPr>
      <w:r>
        <w:rPr>
          <w:rFonts w:hint="eastAsia" w:ascii="仿宋" w:hAnsi="仿宋" w:eastAsia="仿宋" w:cs="仿宋"/>
          <w:b/>
          <w:color w:val="auto"/>
          <w:kern w:val="0"/>
          <w:sz w:val="32"/>
          <w:szCs w:val="32"/>
          <w:shd w:val="clear" w:color="auto" w:fill="FFFFFF"/>
        </w:rPr>
        <w:t>第二十七条</w:t>
      </w:r>
      <w:r>
        <w:rPr>
          <w:rFonts w:hint="eastAsia" w:ascii="仿宋" w:hAnsi="仿宋" w:eastAsia="仿宋" w:cs="仿宋"/>
          <w:color w:val="auto"/>
          <w:kern w:val="0"/>
          <w:sz w:val="32"/>
          <w:szCs w:val="32"/>
          <w:shd w:val="clear" w:color="auto" w:fill="FFFFFF"/>
        </w:rPr>
        <w:t> 财务对各部门及个人差旅费使用情况进行全面监督检查，对检查中发现的问题要责令改正，追回违规金额，对相关违纪情况要视情节轻重转交相应部门追究责任。</w:t>
      </w:r>
    </w:p>
    <w:p>
      <w:pPr>
        <w:widowControl/>
        <w:wordWrap w:val="0"/>
        <w:spacing w:before="120" w:line="500" w:lineRule="atLeast"/>
        <w:ind w:firstLine="643"/>
        <w:jc w:val="center"/>
        <w:rPr>
          <w:rFonts w:hint="eastAsia" w:ascii="仿宋" w:hAnsi="仿宋" w:eastAsia="仿宋" w:cs="仿宋"/>
          <w:b/>
          <w:bCs/>
          <w:color w:val="auto"/>
          <w:kern w:val="0"/>
          <w:sz w:val="32"/>
          <w:szCs w:val="32"/>
          <w:shd w:val="clear" w:color="auto" w:fill="FFFFFF"/>
          <w:lang w:val="en-US" w:eastAsia="zh-CN"/>
        </w:rPr>
      </w:pPr>
      <w:bookmarkStart w:id="258" w:name="_Toc8778"/>
      <w:r>
        <w:rPr>
          <w:rFonts w:hint="eastAsia" w:ascii="仿宋" w:hAnsi="仿宋" w:eastAsia="仿宋" w:cs="仿宋"/>
          <w:b/>
          <w:bCs/>
          <w:color w:val="auto"/>
          <w:kern w:val="0"/>
          <w:sz w:val="32"/>
          <w:szCs w:val="32"/>
          <w:shd w:val="clear" w:color="auto" w:fill="FFFFFF"/>
          <w:lang w:val="en-US" w:eastAsia="zh-CN"/>
        </w:rPr>
        <w:t>招商工作人员出差管理办法</w:t>
      </w:r>
      <w:bookmarkEnd w:id="258"/>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bookmarkStart w:id="259" w:name="_Toc30193"/>
      <w:bookmarkStart w:id="260" w:name="_Toc24"/>
      <w:bookmarkStart w:id="261" w:name="_Toc1649"/>
      <w:bookmarkStart w:id="262" w:name="_Toc6489"/>
      <w:bookmarkStart w:id="263" w:name="_Toc10003"/>
      <w:bookmarkStart w:id="264" w:name="_Toc7744"/>
      <w:bookmarkStart w:id="265" w:name="_Toc17260"/>
      <w:r>
        <w:rPr>
          <w:rFonts w:hint="eastAsia" w:ascii="仿宋" w:hAnsi="仿宋" w:eastAsia="仿宋" w:cs="仿宋"/>
          <w:color w:val="auto"/>
          <w:kern w:val="0"/>
          <w:sz w:val="32"/>
          <w:szCs w:val="32"/>
          <w:shd w:val="clear" w:color="auto" w:fill="FFFFFF"/>
          <w:lang w:val="en-US" w:eastAsia="zh-CN"/>
        </w:rPr>
        <w:t>一、出差管理办法</w:t>
      </w:r>
      <w:bookmarkEnd w:id="259"/>
      <w:bookmarkEnd w:id="260"/>
    </w:p>
    <w:p>
      <w:pPr>
        <w:widowControl/>
        <w:wordWrap w:val="0"/>
        <w:spacing w:before="120" w:line="500" w:lineRule="atLeast"/>
        <w:ind w:firstLine="643"/>
        <w:jc w:val="center"/>
        <w:rPr>
          <w:rFonts w:hint="eastAsia" w:ascii="仿宋" w:hAnsi="仿宋" w:eastAsia="仿宋" w:cs="仿宋"/>
          <w:color w:val="auto"/>
          <w:kern w:val="0"/>
          <w:sz w:val="32"/>
          <w:szCs w:val="32"/>
          <w:shd w:val="clear" w:color="auto" w:fill="FFFFFF"/>
          <w:lang w:val="en-US" w:eastAsia="zh-CN"/>
        </w:rPr>
      </w:pPr>
      <w:bookmarkStart w:id="266" w:name="_Toc30114"/>
      <w:bookmarkStart w:id="267" w:name="_Toc1801"/>
      <w:r>
        <w:rPr>
          <w:rFonts w:hint="eastAsia" w:ascii="仿宋" w:hAnsi="仿宋" w:eastAsia="仿宋" w:cs="仿宋"/>
          <w:color w:val="auto"/>
          <w:kern w:val="0"/>
          <w:sz w:val="32"/>
          <w:szCs w:val="32"/>
          <w:shd w:val="clear" w:color="auto" w:fill="FFFFFF"/>
          <w:lang w:val="en-US" w:eastAsia="zh-CN"/>
        </w:rPr>
        <w:t>第一章  总  则</w:t>
      </w:r>
      <w:bookmarkEnd w:id="261"/>
      <w:bookmarkEnd w:id="262"/>
      <w:bookmarkEnd w:id="263"/>
      <w:bookmarkEnd w:id="264"/>
      <w:bookmarkEnd w:id="265"/>
      <w:bookmarkEnd w:id="266"/>
      <w:bookmarkEnd w:id="267"/>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第一条  为进一步规范招商工作人员出差，节约经费开支，加强政风建设，根据《中央国家机关和事业单位差旅费管理办法》、《吉林省国家机关和事业单位差旅费管理办法》等规定，制定本办法。</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第二条  本办法适用于生态新区招商局及其他局办招商引资工作人员。</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第三条  本办法所称的出差，是指工作人员赴国内市（区）以外的其他省、自治区、直辖市等地方以及外县（区）参加公务活动。</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第四条  工作人员出差，应当坚持工作需要、严格审批、节约开支、务求实效的原则。</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第五条  工作人员不得参加各类社团组织、社会中介机构举办的营利性会议和活动。</w:t>
      </w:r>
    </w:p>
    <w:p>
      <w:pPr>
        <w:widowControl/>
        <w:wordWrap w:val="0"/>
        <w:spacing w:before="120" w:line="500" w:lineRule="atLeast"/>
        <w:ind w:firstLine="643"/>
        <w:jc w:val="center"/>
        <w:rPr>
          <w:rFonts w:hint="eastAsia" w:ascii="仿宋" w:hAnsi="仿宋" w:eastAsia="仿宋" w:cs="仿宋"/>
          <w:color w:val="auto"/>
          <w:kern w:val="0"/>
          <w:sz w:val="32"/>
          <w:szCs w:val="32"/>
          <w:shd w:val="clear" w:color="auto" w:fill="FFFFFF"/>
          <w:lang w:val="en-US" w:eastAsia="zh-CN"/>
        </w:rPr>
      </w:pPr>
      <w:bookmarkStart w:id="268" w:name="_Toc7560"/>
      <w:bookmarkStart w:id="269" w:name="_Toc11469"/>
      <w:bookmarkStart w:id="270" w:name="_Toc16357"/>
      <w:bookmarkStart w:id="271" w:name="_Toc7311"/>
      <w:bookmarkStart w:id="272" w:name="_Toc8762"/>
      <w:bookmarkStart w:id="273" w:name="_Toc9044"/>
      <w:bookmarkStart w:id="274" w:name="_Toc19501"/>
      <w:r>
        <w:rPr>
          <w:rFonts w:hint="eastAsia" w:ascii="仿宋" w:hAnsi="仿宋" w:eastAsia="仿宋" w:cs="仿宋"/>
          <w:color w:val="auto"/>
          <w:kern w:val="0"/>
          <w:sz w:val="32"/>
          <w:szCs w:val="32"/>
          <w:shd w:val="clear" w:color="auto" w:fill="FFFFFF"/>
          <w:lang w:val="en-US" w:eastAsia="zh-CN"/>
        </w:rPr>
        <w:t>第二章  出差审批</w:t>
      </w:r>
      <w:bookmarkEnd w:id="268"/>
      <w:bookmarkEnd w:id="269"/>
      <w:bookmarkEnd w:id="270"/>
      <w:bookmarkEnd w:id="271"/>
      <w:bookmarkEnd w:id="272"/>
      <w:bookmarkEnd w:id="273"/>
      <w:bookmarkEnd w:id="274"/>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第六条  建立健全出差审批管理制度，按照出差审批权限办理出差审批手续，严格控制出差人数和天数。</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第七条  招商工作人员出差，应当填写出差审批单，并明确出差的内容、时间、人数等，按照审批权限办理出差审批手续。《出差审批单》作为在财务部门借款和报销差旅费的依据。</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第八条  出差审批权限招商局负责同志出差，需报分管主任批准同意，并报请书记批准；一般同志出差，需经招商局负责同志同意，报分管主任批准同意。</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第九条  因情况特殊无法事先书面报批的，可按出差审批权限先口头向有关领导请示同意，待出差结束后，再补办《出差审批单》。</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第十条  陪同领导出差的，由公务活动牵头单位统一填写《出差审批单》，并按照出差审批权限办理出差审批手续。</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第十一条  招商工作人员差旅费的报销按照新区工作人员差旅费报销规定执行。</w:t>
      </w:r>
    </w:p>
    <w:p>
      <w:pPr>
        <w:widowControl/>
        <w:wordWrap w:val="0"/>
        <w:spacing w:before="120" w:line="500" w:lineRule="atLeast"/>
        <w:ind w:firstLine="643"/>
        <w:jc w:val="center"/>
        <w:rPr>
          <w:rFonts w:hint="eastAsia" w:ascii="仿宋" w:hAnsi="仿宋" w:eastAsia="仿宋" w:cs="仿宋"/>
          <w:color w:val="auto"/>
          <w:kern w:val="0"/>
          <w:sz w:val="32"/>
          <w:szCs w:val="32"/>
          <w:shd w:val="clear" w:color="auto" w:fill="FFFFFF"/>
          <w:lang w:val="en-US" w:eastAsia="zh-CN"/>
        </w:rPr>
      </w:pPr>
      <w:bookmarkStart w:id="275" w:name="_Toc32187"/>
      <w:bookmarkStart w:id="276" w:name="_Toc1006"/>
      <w:bookmarkStart w:id="277" w:name="_Toc12700"/>
      <w:bookmarkStart w:id="278" w:name="_Toc30040"/>
      <w:bookmarkStart w:id="279" w:name="_Toc15926"/>
      <w:bookmarkStart w:id="280" w:name="_Toc21162"/>
      <w:bookmarkStart w:id="281" w:name="_Toc11746"/>
      <w:r>
        <w:rPr>
          <w:rFonts w:hint="eastAsia" w:ascii="仿宋" w:hAnsi="仿宋" w:eastAsia="仿宋" w:cs="仿宋"/>
          <w:color w:val="auto"/>
          <w:kern w:val="0"/>
          <w:sz w:val="32"/>
          <w:szCs w:val="32"/>
          <w:shd w:val="clear" w:color="auto" w:fill="FFFFFF"/>
          <w:lang w:val="en-US" w:eastAsia="zh-CN"/>
        </w:rPr>
        <w:t>第三章  出差纪律</w:t>
      </w:r>
      <w:bookmarkEnd w:id="275"/>
      <w:bookmarkEnd w:id="276"/>
      <w:bookmarkEnd w:id="277"/>
      <w:bookmarkEnd w:id="278"/>
      <w:bookmarkEnd w:id="279"/>
      <w:bookmarkEnd w:id="280"/>
      <w:bookmarkEnd w:id="281"/>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第十二条  对赴外地招商引资、考察调研、参观学习、出差培训要注重实效，能通过电话联系解决的事项，尽量不安排出差。</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第十三条  出差人员不得接受接待单位超标准接待，不准接受违反规定用公款支付的请客、送礼、游览。不得用公款大吃大喝，到营业性娱乐、健身场所消费。不得要求接待单位报销机（车、船）票和转嫁应由出差人支付的各种费用。</w:t>
      </w:r>
    </w:p>
    <w:p>
      <w:pPr>
        <w:widowControl/>
        <w:wordWrap w:val="0"/>
        <w:spacing w:before="120" w:line="500" w:lineRule="atLeast"/>
        <w:ind w:firstLine="643"/>
        <w:jc w:val="center"/>
        <w:rPr>
          <w:rFonts w:hint="eastAsia" w:ascii="仿宋" w:hAnsi="仿宋" w:eastAsia="仿宋" w:cs="仿宋"/>
          <w:color w:val="auto"/>
          <w:kern w:val="0"/>
          <w:sz w:val="32"/>
          <w:szCs w:val="32"/>
          <w:shd w:val="clear" w:color="auto" w:fill="FFFFFF"/>
          <w:lang w:val="en-US" w:eastAsia="zh-CN"/>
        </w:rPr>
      </w:pPr>
      <w:bookmarkStart w:id="282" w:name="_Toc10473"/>
      <w:bookmarkStart w:id="283" w:name="_Toc30749"/>
      <w:bookmarkStart w:id="284" w:name="_Toc20105"/>
      <w:bookmarkStart w:id="285" w:name="_Toc20182"/>
      <w:bookmarkStart w:id="286" w:name="_Toc22717"/>
      <w:bookmarkStart w:id="287" w:name="_Toc20038"/>
      <w:bookmarkStart w:id="288" w:name="_Toc4792"/>
      <w:r>
        <w:rPr>
          <w:rFonts w:hint="eastAsia" w:ascii="仿宋" w:hAnsi="仿宋" w:eastAsia="仿宋" w:cs="仿宋"/>
          <w:color w:val="auto"/>
          <w:kern w:val="0"/>
          <w:sz w:val="32"/>
          <w:szCs w:val="32"/>
          <w:shd w:val="clear" w:color="auto" w:fill="FFFFFF"/>
          <w:lang w:val="en-US" w:eastAsia="zh-CN"/>
        </w:rPr>
        <w:t>第四章  附  则</w:t>
      </w:r>
      <w:bookmarkEnd w:id="282"/>
      <w:bookmarkEnd w:id="283"/>
      <w:bookmarkEnd w:id="284"/>
      <w:bookmarkEnd w:id="285"/>
      <w:bookmarkEnd w:id="286"/>
      <w:bookmarkEnd w:id="287"/>
      <w:bookmarkEnd w:id="288"/>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第十四条  在出差中违反本办法，造成不良影响的单位及有关人员，要按照党纪政纪的有关规定严肃处理。</w:t>
      </w:r>
    </w:p>
    <w:p>
      <w:pPr>
        <w:widowControl/>
        <w:wordWrap w:val="0"/>
        <w:spacing w:before="120" w:line="500" w:lineRule="atLeast"/>
        <w:ind w:firstLine="643"/>
        <w:rPr>
          <w:rFonts w:hint="eastAsia" w:ascii="仿宋" w:hAnsi="仿宋" w:eastAsia="仿宋" w:cs="仿宋"/>
          <w:color w:val="auto"/>
          <w:kern w:val="0"/>
          <w:sz w:val="32"/>
          <w:szCs w:val="32"/>
          <w:shd w:val="clear" w:color="auto" w:fill="FFFFFF"/>
          <w:lang w:val="en-US" w:eastAsia="zh-CN"/>
        </w:rPr>
      </w:pPr>
      <w:r>
        <w:rPr>
          <w:rFonts w:hint="eastAsia" w:ascii="仿宋" w:hAnsi="仿宋" w:eastAsia="仿宋" w:cs="仿宋"/>
          <w:color w:val="auto"/>
          <w:kern w:val="0"/>
          <w:sz w:val="32"/>
          <w:szCs w:val="32"/>
          <w:shd w:val="clear" w:color="auto" w:fill="FFFFFF"/>
          <w:lang w:val="en-US" w:eastAsia="zh-CN"/>
        </w:rPr>
        <w:t>第十五条  本办法由生态新区招商局负责解释。本办法自发布之日起执行。</w:t>
      </w:r>
    </w:p>
    <w:p>
      <w:pPr>
        <w:widowControl/>
        <w:wordWrap w:val="0"/>
        <w:spacing w:before="120" w:line="500" w:lineRule="atLeast"/>
        <w:ind w:firstLine="643"/>
        <w:rPr>
          <w:rFonts w:hint="eastAsia" w:ascii="仿宋" w:hAnsi="仿宋" w:eastAsia="仿宋" w:cs="仿宋"/>
          <w:b w:val="0"/>
          <w:color w:val="auto"/>
          <w:kern w:val="0"/>
          <w:sz w:val="32"/>
          <w:szCs w:val="32"/>
          <w:shd w:val="clear" w:color="auto" w:fill="FFFFFF"/>
          <w:lang w:val="en-US" w:eastAsia="zh-CN" w:bidi="ar-SA"/>
        </w:rPr>
      </w:pPr>
    </w:p>
    <w:p>
      <w:pPr>
        <w:widowControl/>
        <w:wordWrap w:val="0"/>
        <w:spacing w:before="120" w:line="500" w:lineRule="atLeast"/>
        <w:ind w:firstLine="643"/>
        <w:rPr>
          <w:rFonts w:hint="eastAsia" w:ascii="仿宋" w:hAnsi="仿宋" w:eastAsia="仿宋" w:cs="仿宋"/>
          <w:b w:val="0"/>
          <w:color w:val="auto"/>
          <w:kern w:val="0"/>
          <w:sz w:val="32"/>
          <w:szCs w:val="32"/>
          <w:shd w:val="clear" w:color="auto" w:fill="FFFFFF"/>
          <w:lang w:val="en-US" w:eastAsia="zh-CN" w:bidi="ar-SA"/>
        </w:rPr>
      </w:pPr>
    </w:p>
    <w:p>
      <w:pPr>
        <w:pStyle w:val="2"/>
        <w:bidi w:val="0"/>
        <w:rPr>
          <w:rFonts w:hint="eastAsia"/>
          <w:color w:val="auto"/>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"http://finance.people.com.cn/NMediaFile/2015/1020/MAIN201510201103000269549081838.jpg"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372100" cy="870458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5372100" cy="8704580"/>
                    </a:xfrm>
                    <a:prstGeom prst="rect">
                      <a:avLst/>
                    </a:prstGeom>
                    <a:noFill/>
                    <a:ln>
                      <a:noFill/>
                    </a:ln>
                  </pic:spPr>
                </pic:pic>
              </a:graphicData>
            </a:graphic>
          </wp:inline>
        </w:drawing>
      </w:r>
      <w:r>
        <w:rPr>
          <w:rFonts w:ascii="宋体" w:hAnsi="宋体" w:eastAsia="宋体" w:cs="宋体"/>
          <w:sz w:val="24"/>
          <w:szCs w:val="24"/>
        </w:rPr>
        <w:fldChar w:fldCharType="end"/>
      </w:r>
    </w:p>
    <w:p>
      <w:pPr>
        <w:pStyle w:val="2"/>
        <w:bidi w:val="0"/>
        <w:rPr>
          <w:rFonts w:hint="eastAsia"/>
          <w:color w:val="auto"/>
        </w:rPr>
      </w:pPr>
      <w:bookmarkStart w:id="289" w:name="_Toc25370"/>
      <w:r>
        <w:rPr>
          <w:rFonts w:hint="eastAsia"/>
          <w:color w:val="auto"/>
          <w:lang w:val="en-US" w:eastAsia="zh-CN"/>
        </w:rPr>
        <w:t>12、</w:t>
      </w:r>
      <w:r>
        <w:rPr>
          <w:rFonts w:hint="eastAsia"/>
          <w:color w:val="auto"/>
        </w:rPr>
        <w:t>公务用车</w:t>
      </w:r>
      <w:r>
        <w:rPr>
          <w:rFonts w:hint="eastAsia"/>
          <w:color w:val="auto"/>
          <w:lang w:eastAsia="zh-CN"/>
        </w:rPr>
        <w:t>管理制度</w:t>
      </w:r>
      <w:bookmarkEnd w:id="289"/>
    </w:p>
    <w:p>
      <w:pPr>
        <w:jc w:val="center"/>
        <w:rPr>
          <w:rFonts w:hint="eastAsia" w:ascii="黑体" w:eastAsia="黑体"/>
          <w:color w:val="auto"/>
          <w:sz w:val="32"/>
          <w:szCs w:val="32"/>
        </w:rPr>
      </w:pPr>
      <w:r>
        <w:rPr>
          <w:rFonts w:hint="eastAsia" w:ascii="黑体" w:eastAsia="黑体"/>
          <w:color w:val="auto"/>
          <w:sz w:val="32"/>
          <w:szCs w:val="32"/>
        </w:rPr>
        <w:t>第一章 总则</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第一条 为了加强和规范党政机关公务用车配备使用管理，推动节能减排，降低行政成本，推进公务用车配备使用制度改革，促进党风廉政建设，根据有关规定，制定本办法。 </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第二条 单位公务车辆遵循行政办公室统一调度管理的用车原则。公务车辆是指新区所属五辆公务用车。 </w:t>
      </w:r>
    </w:p>
    <w:p>
      <w:pPr>
        <w:ind w:firstLine="640" w:firstLineChars="200"/>
        <w:jc w:val="left"/>
        <w:rPr>
          <w:rFonts w:hint="eastAsia" w:ascii="仿宋_GB2312" w:eastAsia="仿宋_GB2312"/>
          <w:color w:val="auto"/>
          <w:sz w:val="32"/>
          <w:szCs w:val="32"/>
        </w:rPr>
      </w:pPr>
      <w:r>
        <w:rPr>
          <w:rFonts w:hint="eastAsia" w:ascii="仿宋" w:hAnsi="仿宋" w:eastAsia="仿宋" w:cs="仿宋"/>
          <w:color w:val="auto"/>
          <w:sz w:val="32"/>
          <w:szCs w:val="32"/>
        </w:rPr>
        <w:t>第三条 单位公务车辆必须遵守统一的使用原则，严格执行既定的用车管理制度和程序</w:t>
      </w:r>
      <w:r>
        <w:rPr>
          <w:rFonts w:hint="eastAsia" w:ascii="仿宋_GB2312" w:eastAsia="仿宋_GB2312"/>
          <w:color w:val="auto"/>
          <w:sz w:val="32"/>
          <w:szCs w:val="32"/>
        </w:rPr>
        <w:t>。  </w:t>
      </w:r>
    </w:p>
    <w:p>
      <w:pPr>
        <w:jc w:val="center"/>
        <w:rPr>
          <w:rFonts w:hint="eastAsia" w:ascii="黑体" w:eastAsia="黑体"/>
          <w:color w:val="auto"/>
          <w:sz w:val="32"/>
          <w:szCs w:val="32"/>
        </w:rPr>
      </w:pPr>
      <w:r>
        <w:rPr>
          <w:rFonts w:hint="eastAsia" w:ascii="黑体" w:eastAsia="黑体"/>
          <w:color w:val="auto"/>
          <w:sz w:val="32"/>
          <w:szCs w:val="32"/>
        </w:rPr>
        <w:t>第二章 车辆使用程序</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第一条 各部门用车均须事前向部门负责人报告并向行政办公室提出申请，由行政办公室根据派车执行公务的轻重缓急调度派车。 </w:t>
      </w:r>
    </w:p>
    <w:p>
      <w:pPr>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第二条 公务车辆的使用必须遵守法律法规和单位制度。驾驶人员必须持有有效的驾驶执照一年以上。公务车辆停用期间，必须有序停放在单位地下停车场。 </w:t>
      </w:r>
    </w:p>
    <w:p>
      <w:pPr>
        <w:ind w:firstLine="640" w:firstLineChars="200"/>
        <w:jc w:val="left"/>
        <w:rPr>
          <w:rFonts w:hint="eastAsia" w:ascii="仿宋_GB2312" w:eastAsia="仿宋_GB2312"/>
          <w:color w:val="auto"/>
          <w:sz w:val="32"/>
          <w:szCs w:val="32"/>
        </w:rPr>
      </w:pPr>
      <w:r>
        <w:rPr>
          <w:rFonts w:hint="eastAsia" w:ascii="仿宋" w:hAnsi="仿宋" w:eastAsia="仿宋" w:cs="仿宋"/>
          <w:color w:val="auto"/>
          <w:sz w:val="32"/>
          <w:szCs w:val="32"/>
        </w:rPr>
        <w:t>第三条 公务用车使用区域为市直机关差旅费相关办法规定的常驻地，包括白城市洮北区、工业园区、经济开发区、查干浩特旅游经济开发区、生态新区、长安机场，使用范围要与差旅费保障范围相衔接。</w:t>
      </w:r>
    </w:p>
    <w:p>
      <w:pPr>
        <w:jc w:val="center"/>
        <w:rPr>
          <w:rFonts w:hint="eastAsia" w:ascii="黑体" w:eastAsia="黑体"/>
          <w:color w:val="auto"/>
          <w:sz w:val="32"/>
          <w:szCs w:val="32"/>
          <w:lang w:eastAsia="zh-CN"/>
        </w:rPr>
      </w:pPr>
      <w:r>
        <w:rPr>
          <w:rFonts w:hint="eastAsia" w:ascii="黑体" w:eastAsia="黑体"/>
          <w:color w:val="auto"/>
          <w:sz w:val="32"/>
          <w:szCs w:val="32"/>
        </w:rPr>
        <w:t xml:space="preserve">第三章 </w:t>
      </w:r>
      <w:r>
        <w:rPr>
          <w:rFonts w:hint="eastAsia" w:ascii="黑体" w:eastAsia="黑体"/>
          <w:color w:val="auto"/>
          <w:sz w:val="32"/>
          <w:szCs w:val="32"/>
          <w:lang w:eastAsia="zh-CN"/>
        </w:rPr>
        <w:t>公务用车标识化管理</w:t>
      </w:r>
    </w:p>
    <w:p>
      <w:pPr>
        <w:ind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第一条 所有车辆一律按照《吉林省党政机关公务用车标识化管理实施方案》进行标识化管理。新购公务用车应在购回落籍完成后10个工作日内完成标识涂装，标识老化或损坏的车辆，应及时修复或重新喷涂。车辆因达到更新条件需处置的，应及时清除标识。</w:t>
      </w:r>
    </w:p>
    <w:p>
      <w:pPr>
        <w:ind w:firstLine="640" w:firstLineChars="200"/>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第二条 不得故意遮盖、擅自损毁车辆标识，</w:t>
      </w:r>
      <w:r>
        <w:rPr>
          <w:rFonts w:hint="eastAsia" w:ascii="仿宋" w:hAnsi="仿宋" w:eastAsia="仿宋" w:cs="仿宋"/>
          <w:color w:val="auto"/>
          <w:sz w:val="32"/>
          <w:szCs w:val="32"/>
        </w:rPr>
        <w:t>发现一次，给予警告处分，发现</w:t>
      </w:r>
      <w:r>
        <w:rPr>
          <w:rFonts w:hint="eastAsia" w:ascii="仿宋" w:hAnsi="仿宋" w:eastAsia="仿宋" w:cs="仿宋"/>
          <w:color w:val="auto"/>
          <w:sz w:val="32"/>
          <w:szCs w:val="32"/>
          <w:lang w:eastAsia="zh-CN"/>
        </w:rPr>
        <w:t>两</w:t>
      </w:r>
      <w:r>
        <w:rPr>
          <w:rFonts w:hint="eastAsia" w:ascii="仿宋" w:hAnsi="仿宋" w:eastAsia="仿宋" w:cs="仿宋"/>
          <w:color w:val="auto"/>
          <w:sz w:val="32"/>
          <w:szCs w:val="32"/>
        </w:rPr>
        <w:t>次，解除劳动关系。</w:t>
      </w:r>
    </w:p>
    <w:p>
      <w:pPr>
        <w:jc w:val="center"/>
        <w:rPr>
          <w:rFonts w:hint="eastAsia" w:ascii="黑体" w:eastAsia="黑体"/>
          <w:color w:val="auto"/>
          <w:sz w:val="32"/>
          <w:szCs w:val="32"/>
        </w:rPr>
      </w:pPr>
      <w:r>
        <w:rPr>
          <w:rFonts w:hint="eastAsia" w:ascii="黑体" w:eastAsia="黑体"/>
          <w:color w:val="auto"/>
          <w:sz w:val="32"/>
          <w:szCs w:val="32"/>
        </w:rPr>
        <w:t>第</w:t>
      </w:r>
      <w:r>
        <w:rPr>
          <w:rFonts w:hint="eastAsia" w:ascii="黑体" w:eastAsia="黑体"/>
          <w:color w:val="auto"/>
          <w:sz w:val="32"/>
          <w:szCs w:val="32"/>
          <w:lang w:eastAsia="zh-CN"/>
        </w:rPr>
        <w:t>四</w:t>
      </w:r>
      <w:r>
        <w:rPr>
          <w:rFonts w:hint="eastAsia" w:ascii="黑体" w:eastAsia="黑体"/>
          <w:color w:val="auto"/>
          <w:sz w:val="32"/>
          <w:szCs w:val="32"/>
        </w:rPr>
        <w:t>章</w:t>
      </w:r>
      <w:r>
        <w:rPr>
          <w:rFonts w:hint="eastAsia" w:ascii="黑体" w:eastAsia="黑体"/>
          <w:color w:val="auto"/>
          <w:sz w:val="32"/>
          <w:szCs w:val="32"/>
          <w:lang w:val="en-US" w:eastAsia="zh-CN"/>
        </w:rPr>
        <w:t xml:space="preserve"> </w:t>
      </w:r>
      <w:r>
        <w:rPr>
          <w:rFonts w:hint="eastAsia" w:ascii="黑体" w:eastAsia="黑体"/>
          <w:color w:val="auto"/>
          <w:sz w:val="32"/>
          <w:szCs w:val="32"/>
        </w:rPr>
        <w:t>车辆保养维护</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第一条 行政办公室必须建立公务车辆档案，包括：公务车辆的原始资料（购置材料或租赁记录）和行驶证、保险单、税单等行车必备有效证件。 </w:t>
      </w:r>
    </w:p>
    <w:p>
      <w:pPr>
        <w:ind w:firstLine="640" w:firstLineChars="200"/>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第二条 </w:t>
      </w:r>
      <w:r>
        <w:rPr>
          <w:rFonts w:hint="eastAsia" w:ascii="仿宋" w:hAnsi="仿宋" w:eastAsia="仿宋" w:cs="仿宋"/>
          <w:color w:val="auto"/>
          <w:sz w:val="32"/>
          <w:szCs w:val="32"/>
          <w:lang w:eastAsia="zh-CN"/>
        </w:rPr>
        <w:t>行政办公室车辆管理人员负责向财政局提出车险续保申请，财政局经询价后择优选择保险公司购买车辆保险。车辆管理人员要及时按照每辆公务用车的保险期限申请续保，并留存保单归入车辆档案。查询、复制车辆保单必须经</w:t>
      </w:r>
      <w:r>
        <w:rPr>
          <w:rFonts w:hint="eastAsia" w:ascii="仿宋" w:hAnsi="仿宋" w:eastAsia="仿宋" w:cs="仿宋"/>
          <w:color w:val="auto"/>
          <w:sz w:val="32"/>
          <w:szCs w:val="32"/>
        </w:rPr>
        <w:t>行政办公室主任</w:t>
      </w:r>
      <w:r>
        <w:rPr>
          <w:rFonts w:hint="eastAsia" w:ascii="仿宋" w:hAnsi="仿宋" w:eastAsia="仿宋" w:cs="仿宋"/>
          <w:color w:val="auto"/>
          <w:sz w:val="32"/>
          <w:szCs w:val="32"/>
          <w:lang w:eastAsia="zh-CN"/>
        </w:rPr>
        <w:t>同意后方可进行。</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第三条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单位所有车辆需要维修保养时，司机先填报《车辆维修申请单》，由行政办公室指定专人会同司机到指定维修中心鉴定报价</w:t>
      </w:r>
      <w:r>
        <w:rPr>
          <w:rFonts w:hint="eastAsia" w:ascii="仿宋" w:hAnsi="仿宋" w:eastAsia="仿宋" w:cs="仿宋"/>
          <w:color w:val="auto"/>
          <w:sz w:val="32"/>
          <w:szCs w:val="32"/>
          <w:lang w:eastAsia="zh-CN"/>
        </w:rPr>
        <w:t>后</w:t>
      </w:r>
      <w:r>
        <w:rPr>
          <w:rFonts w:hint="eastAsia" w:ascii="仿宋" w:hAnsi="仿宋" w:eastAsia="仿宋" w:cs="仿宋"/>
          <w:color w:val="auto"/>
          <w:sz w:val="32"/>
          <w:szCs w:val="32"/>
        </w:rPr>
        <w:t>，经行政办公室主任批准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方可维修，否则财务不予支付费</w:t>
      </w:r>
      <w:r>
        <w:rPr>
          <w:rFonts w:hint="eastAsia" w:ascii="仿宋" w:hAnsi="仿宋" w:eastAsia="仿宋" w:cs="仿宋"/>
          <w:color w:val="auto"/>
          <w:sz w:val="32"/>
          <w:szCs w:val="32"/>
          <w:lang w:eastAsia="zh-CN"/>
        </w:rPr>
        <w:t>用</w:t>
      </w:r>
      <w:r>
        <w:rPr>
          <w:rFonts w:hint="eastAsia" w:ascii="仿宋" w:hAnsi="仿宋" w:eastAsia="仿宋" w:cs="仿宋"/>
          <w:color w:val="auto"/>
          <w:sz w:val="32"/>
          <w:szCs w:val="32"/>
        </w:rPr>
        <w:t>。</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第四条</w:t>
      </w:r>
      <w:r>
        <w:rPr>
          <w:rFonts w:hint="eastAsia" w:ascii="仿宋" w:hAnsi="仿宋" w:eastAsia="仿宋" w:cs="仿宋"/>
          <w:color w:val="auto"/>
          <w:sz w:val="32"/>
          <w:szCs w:val="32"/>
        </w:rPr>
        <w:t xml:space="preserve"> 车辆一律使用加油卡加油。每次由行政办公室派专人会同司机到加油站刷卡加油，留存加油小票，并做好加油记录，记录中要包含车牌、车辆里程、加油量、燃油单价、加油员及司机签字。加油卡由行政办公室统一管理，由财政金融审计局定期审核后给加油卡充值。  </w:t>
      </w:r>
    </w:p>
    <w:p>
      <w:pPr>
        <w:jc w:val="center"/>
        <w:rPr>
          <w:rFonts w:hint="eastAsia" w:ascii="黑体" w:eastAsia="黑体"/>
          <w:color w:val="auto"/>
          <w:sz w:val="32"/>
          <w:szCs w:val="32"/>
        </w:rPr>
      </w:pPr>
      <w:r>
        <w:rPr>
          <w:rFonts w:hint="eastAsia" w:ascii="黑体" w:eastAsia="黑体"/>
          <w:color w:val="auto"/>
          <w:sz w:val="32"/>
          <w:szCs w:val="32"/>
        </w:rPr>
        <w:t>第</w:t>
      </w:r>
      <w:r>
        <w:rPr>
          <w:rFonts w:hint="eastAsia" w:ascii="黑体" w:eastAsia="黑体"/>
          <w:color w:val="auto"/>
          <w:sz w:val="32"/>
          <w:szCs w:val="32"/>
          <w:lang w:eastAsia="zh-CN"/>
        </w:rPr>
        <w:t>五</w:t>
      </w:r>
      <w:r>
        <w:rPr>
          <w:rFonts w:hint="eastAsia" w:ascii="黑体" w:eastAsia="黑体"/>
          <w:color w:val="auto"/>
          <w:sz w:val="32"/>
          <w:szCs w:val="32"/>
        </w:rPr>
        <w:t>章 司机的职责</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第一条 司机要爱护车辆，加强保养，保持车辆清洁，车况良好。要自觉遵守有关规章制度，服从管理，做到有呼必应，随叫随到。</w:t>
      </w:r>
    </w:p>
    <w:p>
      <w:pPr>
        <w:ind w:firstLine="645"/>
        <w:rPr>
          <w:rFonts w:hint="eastAsia" w:ascii="仿宋" w:hAnsi="仿宋" w:eastAsia="仿宋" w:cs="仿宋"/>
          <w:color w:val="auto"/>
          <w:sz w:val="32"/>
          <w:szCs w:val="32"/>
        </w:rPr>
      </w:pPr>
      <w:r>
        <w:rPr>
          <w:rFonts w:hint="eastAsia" w:ascii="仿宋" w:hAnsi="仿宋" w:eastAsia="仿宋" w:cs="仿宋"/>
          <w:color w:val="auto"/>
          <w:sz w:val="32"/>
          <w:szCs w:val="32"/>
        </w:rPr>
        <w:t>第二条 下班后，车辆要及时入库，如未入库而造成损坏或丢失的，由司机承担全部经济损失。</w:t>
      </w:r>
    </w:p>
    <w:p>
      <w:pPr>
        <w:ind w:firstLine="645"/>
        <w:rPr>
          <w:rFonts w:hint="eastAsia" w:ascii="仿宋" w:hAnsi="仿宋" w:eastAsia="仿宋" w:cs="仿宋"/>
          <w:color w:val="auto"/>
          <w:sz w:val="32"/>
          <w:szCs w:val="32"/>
        </w:rPr>
      </w:pPr>
      <w:r>
        <w:rPr>
          <w:rFonts w:hint="eastAsia" w:ascii="仿宋" w:hAnsi="仿宋" w:eastAsia="仿宋" w:cs="仿宋"/>
          <w:color w:val="auto"/>
          <w:sz w:val="32"/>
          <w:szCs w:val="32"/>
        </w:rPr>
        <w:t>第三条 司机不得</w:t>
      </w:r>
      <w:r>
        <w:rPr>
          <w:rFonts w:hint="eastAsia" w:ascii="仿宋" w:hAnsi="仿宋" w:eastAsia="仿宋" w:cs="仿宋"/>
          <w:color w:val="auto"/>
          <w:sz w:val="32"/>
          <w:szCs w:val="32"/>
          <w:lang w:eastAsia="zh-CN"/>
        </w:rPr>
        <w:t>无故外出，不得</w:t>
      </w:r>
      <w:r>
        <w:rPr>
          <w:rFonts w:hint="eastAsia" w:ascii="仿宋" w:hAnsi="仿宋" w:eastAsia="仿宋" w:cs="仿宋"/>
          <w:color w:val="auto"/>
          <w:sz w:val="32"/>
          <w:szCs w:val="32"/>
        </w:rPr>
        <w:t>擅自动用车辆办私事，发现一次，给予警告处分，发现</w:t>
      </w:r>
      <w:r>
        <w:rPr>
          <w:rFonts w:hint="eastAsia" w:ascii="仿宋" w:hAnsi="仿宋" w:eastAsia="仿宋" w:cs="仿宋"/>
          <w:color w:val="auto"/>
          <w:sz w:val="32"/>
          <w:szCs w:val="32"/>
          <w:lang w:eastAsia="zh-CN"/>
        </w:rPr>
        <w:t>两</w:t>
      </w:r>
      <w:r>
        <w:rPr>
          <w:rFonts w:hint="eastAsia" w:ascii="仿宋" w:hAnsi="仿宋" w:eastAsia="仿宋" w:cs="仿宋"/>
          <w:color w:val="auto"/>
          <w:sz w:val="32"/>
          <w:szCs w:val="32"/>
        </w:rPr>
        <w:t>次，解除劳动关系。</w:t>
      </w:r>
    </w:p>
    <w:p>
      <w:pPr>
        <w:ind w:firstLine="645"/>
        <w:rPr>
          <w:rFonts w:hint="eastAsia" w:ascii="仿宋" w:hAnsi="仿宋" w:eastAsia="仿宋" w:cs="仿宋"/>
          <w:color w:val="auto"/>
          <w:sz w:val="32"/>
          <w:szCs w:val="32"/>
        </w:rPr>
      </w:pPr>
      <w:r>
        <w:rPr>
          <w:rFonts w:hint="eastAsia" w:ascii="仿宋" w:hAnsi="仿宋" w:eastAsia="仿宋" w:cs="仿宋"/>
          <w:color w:val="auto"/>
          <w:sz w:val="32"/>
          <w:szCs w:val="32"/>
        </w:rPr>
        <w:t>第四条 未经行政办公室主任同意司机将车辆交给他人驾驶，一经发现，取消司机驾驶本车资格，按违纪论处。司机在驾驶车辆过程中因违反交通法规所产生的罚款和扣分由司机本人承担，并在发生违章后一周内处理完毕，保持车辆无违章运行。</w:t>
      </w:r>
    </w:p>
    <w:p>
      <w:pPr>
        <w:ind w:firstLine="645"/>
        <w:rPr>
          <w:rFonts w:hint="eastAsia" w:ascii="仿宋_GB2312" w:hAnsi="仿宋" w:eastAsia="仿宋_GB2312"/>
          <w:color w:val="auto"/>
          <w:sz w:val="32"/>
          <w:szCs w:val="32"/>
        </w:rPr>
      </w:pPr>
      <w:r>
        <w:rPr>
          <w:rFonts w:hint="eastAsia" w:ascii="仿宋" w:hAnsi="仿宋" w:eastAsia="仿宋" w:cs="仿宋"/>
          <w:color w:val="auto"/>
          <w:sz w:val="32"/>
          <w:szCs w:val="32"/>
        </w:rPr>
        <w:t>第五条 司机因公出车发生交通事故造成经济损失的，按保险部门的有关规定办理。如属于司机负主要责任的，其经济损失在5000元以内的，由个人承担损失额的50%；超过5000元的，除承担50%的经济损失责任外，取消驾驶公车资格；事故严重造成人员伤亡的，予以辞退。司机未经批准私自出车，发生交通事故造成经济损失的，由司机承担全部责任，并予以辞退。</w:t>
      </w:r>
      <w:r>
        <w:rPr>
          <w:rFonts w:hint="eastAsia" w:ascii="仿宋_GB2312" w:eastAsia="仿宋_GB2312"/>
          <w:color w:val="auto"/>
          <w:sz w:val="32"/>
          <w:szCs w:val="32"/>
        </w:rPr>
        <w:t> </w:t>
      </w:r>
    </w:p>
    <w:p>
      <w:pPr>
        <w:jc w:val="center"/>
        <w:rPr>
          <w:rFonts w:hint="eastAsia" w:ascii="黑体" w:eastAsia="黑体"/>
          <w:color w:val="auto"/>
          <w:sz w:val="32"/>
          <w:szCs w:val="32"/>
        </w:rPr>
      </w:pPr>
      <w:r>
        <w:rPr>
          <w:rFonts w:hint="eastAsia" w:ascii="黑体" w:eastAsia="黑体"/>
          <w:color w:val="auto"/>
          <w:sz w:val="32"/>
          <w:szCs w:val="32"/>
        </w:rPr>
        <w:t>第</w:t>
      </w:r>
      <w:r>
        <w:rPr>
          <w:rFonts w:hint="eastAsia" w:ascii="黑体" w:eastAsia="黑体"/>
          <w:color w:val="auto"/>
          <w:sz w:val="32"/>
          <w:szCs w:val="32"/>
          <w:lang w:eastAsia="zh-CN"/>
        </w:rPr>
        <w:t>六</w:t>
      </w:r>
      <w:r>
        <w:rPr>
          <w:rFonts w:hint="eastAsia" w:ascii="黑体" w:eastAsia="黑体"/>
          <w:color w:val="auto"/>
          <w:sz w:val="32"/>
          <w:szCs w:val="32"/>
        </w:rPr>
        <w:t>章 附则</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第一条 本制度由行政办公室修订并负责解释。</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第二条 本制度自发布日起实施。</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附件：《白城市生态新区公务用车维修审批单》</w:t>
      </w:r>
    </w:p>
    <w:p>
      <w:pPr>
        <w:ind w:firstLine="640" w:firstLineChars="200"/>
        <w:jc w:val="left"/>
        <w:rPr>
          <w:rFonts w:hint="eastAsia" w:ascii="仿宋" w:hAnsi="仿宋" w:eastAsia="仿宋" w:cs="仿宋"/>
          <w:color w:val="auto"/>
          <w:sz w:val="32"/>
          <w:szCs w:val="32"/>
        </w:rPr>
      </w:pPr>
    </w:p>
    <w:p>
      <w:pPr>
        <w:rPr>
          <w:rFonts w:hint="eastAsia" w:ascii="仿宋" w:hAnsi="仿宋" w:eastAsia="仿宋" w:cs="仿宋"/>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drawing>
          <wp:inline distT="0" distB="0" distL="114300" distR="114300">
            <wp:extent cx="5517515" cy="6471920"/>
            <wp:effectExtent l="0" t="0" r="6985" b="5080"/>
            <wp:docPr id="114" name="图片 114" descr="公务用车管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公务用车管理流程"/>
                    <pic:cNvPicPr>
                      <a:picLocks noChangeAspect="1"/>
                    </pic:cNvPicPr>
                  </pic:nvPicPr>
                  <pic:blipFill>
                    <a:blip r:embed="rId19"/>
                    <a:stretch>
                      <a:fillRect/>
                    </a:stretch>
                  </pic:blipFill>
                  <pic:spPr>
                    <a:xfrm>
                      <a:off x="0" y="0"/>
                      <a:ext cx="5517515" cy="6471920"/>
                    </a:xfrm>
                    <a:prstGeom prst="rect">
                      <a:avLst/>
                    </a:prstGeom>
                  </pic:spPr>
                </pic:pic>
              </a:graphicData>
            </a:graphic>
          </wp:inline>
        </w:drawing>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附件</w:t>
      </w:r>
    </w:p>
    <w:tbl>
      <w:tblPr>
        <w:tblStyle w:val="10"/>
        <w:tblW w:w="8360" w:type="dxa"/>
        <w:tblInd w:w="0" w:type="dxa"/>
        <w:shd w:val="clear" w:color="auto" w:fill="auto"/>
        <w:tblLayout w:type="autofit"/>
        <w:tblCellMar>
          <w:top w:w="0" w:type="dxa"/>
          <w:left w:w="0" w:type="dxa"/>
          <w:bottom w:w="0" w:type="dxa"/>
          <w:right w:w="0" w:type="dxa"/>
        </w:tblCellMar>
      </w:tblPr>
      <w:tblGrid>
        <w:gridCol w:w="1632"/>
        <w:gridCol w:w="841"/>
        <w:gridCol w:w="841"/>
        <w:gridCol w:w="841"/>
        <w:gridCol w:w="841"/>
        <w:gridCol w:w="841"/>
        <w:gridCol w:w="841"/>
        <w:gridCol w:w="841"/>
        <w:gridCol w:w="841"/>
      </w:tblGrid>
      <w:tr>
        <w:tblPrEx>
          <w:shd w:val="clear" w:color="auto" w:fill="auto"/>
          <w:tblCellMar>
            <w:top w:w="0" w:type="dxa"/>
            <w:left w:w="0" w:type="dxa"/>
            <w:bottom w:w="0" w:type="dxa"/>
            <w:right w:w="0" w:type="dxa"/>
          </w:tblCellMar>
        </w:tblPrEx>
        <w:trPr>
          <w:trHeight w:val="838" w:hRule="atLeast"/>
        </w:trPr>
        <w:tc>
          <w:tcPr>
            <w:tcW w:w="8360" w:type="dxa"/>
            <w:gridSpan w:val="9"/>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4"/>
                <w:szCs w:val="44"/>
                <w:u w:val="none"/>
              </w:rPr>
            </w:pPr>
            <w:r>
              <w:rPr>
                <w:rFonts w:hint="eastAsia" w:ascii="宋体" w:hAnsi="宋体" w:eastAsia="宋体" w:cs="宋体"/>
                <w:b/>
                <w:i w:val="0"/>
                <w:color w:val="auto"/>
                <w:kern w:val="0"/>
                <w:sz w:val="44"/>
                <w:szCs w:val="44"/>
                <w:u w:val="none"/>
                <w:lang w:val="en-US" w:eastAsia="zh-CN" w:bidi="ar"/>
              </w:rPr>
              <w:t>白城市生态新区公务用车维修审批单</w:t>
            </w:r>
          </w:p>
        </w:tc>
      </w:tr>
      <w:tr>
        <w:tblPrEx>
          <w:shd w:val="clear" w:color="auto" w:fill="auto"/>
          <w:tblCellMar>
            <w:top w:w="0" w:type="dxa"/>
            <w:left w:w="0" w:type="dxa"/>
            <w:bottom w:w="0" w:type="dxa"/>
            <w:right w:w="0" w:type="dxa"/>
          </w:tblCellMar>
        </w:tblPrEx>
        <w:trPr>
          <w:trHeight w:val="838"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8"/>
                <w:szCs w:val="28"/>
                <w:u w:val="none"/>
              </w:rPr>
            </w:pPr>
          </w:p>
        </w:tc>
        <w:tc>
          <w:tcPr>
            <w:tcW w:w="0" w:type="auto"/>
            <w:gridSpan w:val="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年    月    日</w:t>
            </w: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车牌号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车型</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司机</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司机主诉：</w:t>
            </w:r>
          </w:p>
        </w:tc>
      </w:tr>
      <w:tr>
        <w:tblPrEx>
          <w:shd w:val="clear" w:color="auto" w:fill="auto"/>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修理厂检定情况：</w:t>
            </w:r>
          </w:p>
        </w:tc>
      </w:tr>
      <w:tr>
        <w:tblPrEx>
          <w:shd w:val="clear" w:color="auto" w:fill="auto"/>
          <w:tblCellMar>
            <w:top w:w="0" w:type="dxa"/>
            <w:left w:w="0" w:type="dxa"/>
            <w:bottom w:w="0" w:type="dxa"/>
            <w:right w:w="0" w:type="dxa"/>
          </w:tblCellMar>
        </w:tblPrEx>
        <w:trPr>
          <w:trHeight w:val="4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维修部位</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所用配件</w:t>
            </w:r>
          </w:p>
        </w:tc>
      </w:tr>
      <w:tr>
        <w:tblPrEx>
          <w:shd w:val="clear" w:color="auto" w:fill="auto"/>
          <w:tblCellMar>
            <w:top w:w="0" w:type="dxa"/>
            <w:left w:w="0" w:type="dxa"/>
            <w:bottom w:w="0" w:type="dxa"/>
            <w:right w:w="0" w:type="dxa"/>
          </w:tblCellMar>
        </w:tblPrEx>
        <w:trPr>
          <w:trHeight w:val="4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金额</w:t>
            </w: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auto"/>
                <w:sz w:val="24"/>
                <w:szCs w:val="24"/>
                <w:u w:val="none"/>
              </w:rPr>
            </w:pPr>
          </w:p>
        </w:tc>
      </w:tr>
      <w:tr>
        <w:tblPrEx>
          <w:shd w:val="clear" w:color="auto" w:fill="auto"/>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配件费用合计：           工时费：            费用合计：</w:t>
            </w:r>
          </w:p>
        </w:tc>
      </w:tr>
      <w:tr>
        <w:tblPrEx>
          <w:shd w:val="clear" w:color="auto" w:fill="auto"/>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主管领导：        </w:t>
            </w:r>
          </w:p>
        </w:tc>
      </w:tr>
      <w:tr>
        <w:tblPrEx>
          <w:shd w:val="clear" w:color="auto" w:fill="auto"/>
          <w:tblCellMar>
            <w:top w:w="0" w:type="dxa"/>
            <w:left w:w="0" w:type="dxa"/>
            <w:bottom w:w="0" w:type="dxa"/>
            <w:right w:w="0" w:type="dxa"/>
          </w:tblCellMar>
        </w:tblPrEx>
        <w:trPr>
          <w:trHeight w:val="483"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综合办负责人：                               金融财审监管：  </w:t>
            </w:r>
          </w:p>
        </w:tc>
      </w:tr>
    </w:tbl>
    <w:p>
      <w:pPr>
        <w:rPr>
          <w:rFonts w:hint="eastAsia"/>
          <w:color w:val="auto"/>
          <w:lang w:eastAsia="zh-CN"/>
        </w:rPr>
      </w:pPr>
    </w:p>
    <w:p>
      <w:pPr>
        <w:pStyle w:val="2"/>
        <w:numPr>
          <w:ilvl w:val="0"/>
          <w:numId w:val="5"/>
        </w:numPr>
        <w:bidi w:val="0"/>
        <w:rPr>
          <w:rFonts w:hint="eastAsia"/>
        </w:rPr>
      </w:pPr>
      <w:r>
        <w:rPr>
          <w:rFonts w:hint="eastAsia"/>
          <w:lang w:eastAsia="zh-CN"/>
        </w:rPr>
        <w:t>生态新</w:t>
      </w:r>
      <w:r>
        <w:rPr>
          <w:rFonts w:hint="eastAsia"/>
        </w:rPr>
        <w:t>区各部门办公用品</w:t>
      </w:r>
    </w:p>
    <w:p>
      <w:pPr>
        <w:pStyle w:val="2"/>
        <w:numPr>
          <w:ilvl w:val="0"/>
          <w:numId w:val="0"/>
        </w:numPr>
        <w:bidi w:val="0"/>
        <w:jc w:val="center"/>
        <w:rPr>
          <w:rFonts w:ascii="宋体" w:hAnsi="宋体" w:eastAsia="宋体"/>
          <w:b/>
          <w:bCs/>
          <w:szCs w:val="44"/>
        </w:rPr>
      </w:pPr>
      <w:r>
        <w:rPr>
          <w:rFonts w:hint="eastAsia"/>
        </w:rPr>
        <w:t>统一采购管理制度</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为</w:t>
      </w:r>
      <w:r>
        <w:rPr>
          <w:rFonts w:hint="eastAsia" w:ascii="仿宋_GB2312" w:hAnsi="仿宋_GB2312" w:eastAsia="仿宋_GB2312" w:cs="仿宋_GB2312"/>
          <w:sz w:val="32"/>
          <w:szCs w:val="32"/>
        </w:rPr>
        <w:t>规范</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区各部门办公用品的统一采购流程</w:t>
      </w:r>
      <w:r>
        <w:rPr>
          <w:rFonts w:hint="eastAsia" w:ascii="仿宋_GB2312" w:hAnsi="仿宋_GB2312" w:eastAsia="仿宋_GB2312" w:cs="仿宋_GB2312"/>
          <w:color w:val="000000"/>
          <w:kern w:val="0"/>
          <w:sz w:val="32"/>
          <w:szCs w:val="32"/>
        </w:rPr>
        <w:t>，加强办公用品的使用管理，保证日常办公需求，控制费用支出，</w:t>
      </w:r>
      <w:r>
        <w:rPr>
          <w:rFonts w:hint="eastAsia" w:ascii="仿宋_GB2312" w:hAnsi="仿宋_GB2312" w:eastAsia="仿宋_GB2312" w:cs="仿宋_GB2312"/>
          <w:sz w:val="32"/>
          <w:szCs w:val="32"/>
        </w:rPr>
        <w:t>现制定本制度。</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一、统一采购和管理的原则</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财政</w:t>
      </w:r>
      <w:r>
        <w:rPr>
          <w:rFonts w:hint="eastAsia" w:ascii="仿宋_GB2312" w:hAnsi="仿宋_GB2312" w:eastAsia="仿宋_GB2312" w:cs="仿宋_GB2312"/>
          <w:sz w:val="32"/>
          <w:szCs w:val="32"/>
          <w:lang w:eastAsia="zh-CN"/>
        </w:rPr>
        <w:t>金融审计</w:t>
      </w:r>
      <w:r>
        <w:rPr>
          <w:rFonts w:hint="eastAsia" w:ascii="仿宋_GB2312" w:hAnsi="仿宋_GB2312" w:eastAsia="仿宋_GB2312" w:cs="仿宋_GB2312"/>
          <w:sz w:val="32"/>
          <w:szCs w:val="32"/>
        </w:rPr>
        <w:t>局是</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区办公用品和低值易耗品采购的主管部门，</w:t>
      </w:r>
      <w:r>
        <w:rPr>
          <w:rFonts w:hint="eastAsia" w:ascii="仿宋_GB2312" w:hAnsi="仿宋_GB2312" w:eastAsia="仿宋_GB2312" w:cs="仿宋_GB2312"/>
          <w:sz w:val="32"/>
          <w:szCs w:val="32"/>
          <w:lang w:eastAsia="zh-CN"/>
        </w:rPr>
        <w:t>新区行政办公室</w:t>
      </w:r>
      <w:r>
        <w:rPr>
          <w:rFonts w:hint="eastAsia" w:ascii="仿宋_GB2312" w:hAnsi="仿宋_GB2312" w:eastAsia="仿宋_GB2312" w:cs="仿宋_GB2312"/>
          <w:sz w:val="32"/>
          <w:szCs w:val="32"/>
        </w:rPr>
        <w:t>是</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区办公用品和低值易耗品的</w:t>
      </w:r>
      <w:r>
        <w:rPr>
          <w:rFonts w:hint="eastAsia" w:ascii="仿宋_GB2312" w:hAnsi="仿宋_GB2312" w:eastAsia="仿宋_GB2312" w:cs="仿宋_GB2312"/>
          <w:sz w:val="32"/>
          <w:szCs w:val="32"/>
          <w:lang w:eastAsia="zh-CN"/>
        </w:rPr>
        <w:t>管理部门，</w:t>
      </w:r>
      <w:r>
        <w:rPr>
          <w:rFonts w:hint="eastAsia" w:ascii="仿宋_GB2312" w:hAnsi="仿宋_GB2312" w:eastAsia="仿宋_GB2312" w:cs="仿宋_GB2312"/>
          <w:sz w:val="32"/>
          <w:szCs w:val="32"/>
        </w:rPr>
        <w:t>凡涉及办公用品事宜均由财政</w:t>
      </w:r>
      <w:r>
        <w:rPr>
          <w:rFonts w:hint="eastAsia" w:ascii="仿宋_GB2312" w:hAnsi="仿宋_GB2312" w:eastAsia="仿宋_GB2312" w:cs="仿宋_GB2312"/>
          <w:sz w:val="32"/>
          <w:szCs w:val="32"/>
          <w:lang w:eastAsia="zh-CN"/>
        </w:rPr>
        <w:t>金融审计</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eastAsia="zh-CN"/>
        </w:rPr>
        <w:t>和新区行政办公室</w:t>
      </w:r>
      <w:r>
        <w:rPr>
          <w:rFonts w:hint="eastAsia" w:ascii="仿宋_GB2312" w:hAnsi="仿宋_GB2312" w:eastAsia="仿宋_GB2312" w:cs="仿宋_GB2312"/>
          <w:sz w:val="32"/>
          <w:szCs w:val="32"/>
        </w:rPr>
        <w:t>负责。</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财政</w:t>
      </w:r>
      <w:r>
        <w:rPr>
          <w:rFonts w:hint="eastAsia" w:ascii="仿宋_GB2312" w:hAnsi="仿宋_GB2312" w:eastAsia="仿宋_GB2312" w:cs="仿宋_GB2312"/>
          <w:sz w:val="32"/>
          <w:szCs w:val="32"/>
          <w:lang w:eastAsia="zh-CN"/>
        </w:rPr>
        <w:t>金融审计</w:t>
      </w:r>
      <w:r>
        <w:rPr>
          <w:rFonts w:hint="eastAsia" w:ascii="仿宋_GB2312" w:hAnsi="仿宋_GB2312" w:eastAsia="仿宋_GB2312" w:cs="仿宋_GB2312"/>
          <w:sz w:val="32"/>
          <w:szCs w:val="32"/>
        </w:rPr>
        <w:t>局设专人负责采购的相关职责，加强管理，为</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区各部门提供质价相符的物品保证办公需要。</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办公室负责整理各部门提报的采购计划、后续审批、物品领用和保管工作。</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 </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区所属各</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办公用品以部门为单位设专人管理，并按照本办法的要求，配合</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办公室做好计划编制、物品领用和保管工作，每月计划由各部门报送</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办公室统计整理，并报送领导审批后方可采购。</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二、审批权限</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购置办公用品、低值易耗品等需经过</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办公室提报计划，征得主管领导同意进行购置。</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三、办公用品集中采购的范围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办公所需低值易耗品、办公用品、电脑、电脑耗材、电脑零部件、邮品、印刷品及</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区范围内组织各项活动所需物品等均属集中采购范围。</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四、集中采购程序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1.各部门根据本部门的实际需要，使用统一表格《采购计划表》编制次月物品申请计划，经主管领导审核批准后，于每月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日送达</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办公室。</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2.财政</w:t>
      </w:r>
      <w:r>
        <w:rPr>
          <w:rFonts w:hint="eastAsia" w:ascii="仿宋_GB2312" w:hAnsi="仿宋_GB2312" w:eastAsia="仿宋_GB2312" w:cs="仿宋_GB2312"/>
          <w:sz w:val="32"/>
          <w:szCs w:val="32"/>
          <w:lang w:eastAsia="zh-CN"/>
        </w:rPr>
        <w:t>金融审计</w:t>
      </w:r>
      <w:r>
        <w:rPr>
          <w:rFonts w:hint="eastAsia" w:ascii="仿宋_GB2312" w:hAnsi="仿宋_GB2312" w:eastAsia="仿宋_GB2312" w:cs="仿宋_GB2312"/>
          <w:sz w:val="32"/>
          <w:szCs w:val="32"/>
        </w:rPr>
        <w:t>局根据</w:t>
      </w:r>
      <w:r>
        <w:rPr>
          <w:rFonts w:hint="eastAsia" w:ascii="仿宋_GB2312" w:hAnsi="仿宋_GB2312" w:eastAsia="仿宋_GB2312" w:cs="仿宋_GB2312"/>
          <w:sz w:val="32"/>
          <w:szCs w:val="32"/>
          <w:lang w:eastAsia="zh-CN"/>
        </w:rPr>
        <w:t>新区行政</w:t>
      </w:r>
      <w:r>
        <w:rPr>
          <w:rFonts w:hint="eastAsia" w:ascii="仿宋_GB2312" w:hAnsi="仿宋_GB2312" w:eastAsia="仿宋_GB2312" w:cs="仿宋_GB2312"/>
          <w:sz w:val="32"/>
          <w:szCs w:val="32"/>
        </w:rPr>
        <w:t>办公室核准的申请计划，经主管领导同意后</w:t>
      </w:r>
      <w:r>
        <w:rPr>
          <w:rFonts w:hint="eastAsia" w:ascii="仿宋_GB2312" w:hAnsi="仿宋_GB2312" w:eastAsia="仿宋_GB2312" w:cs="仿宋_GB2312"/>
          <w:sz w:val="32"/>
          <w:szCs w:val="32"/>
          <w:lang w:eastAsia="zh-CN"/>
        </w:rPr>
        <w:t>与行政办公室共同</w:t>
      </w:r>
      <w:r>
        <w:rPr>
          <w:rFonts w:hint="eastAsia" w:ascii="仿宋_GB2312" w:hAnsi="仿宋_GB2312" w:eastAsia="仿宋_GB2312" w:cs="仿宋_GB2312"/>
          <w:sz w:val="32"/>
          <w:szCs w:val="32"/>
        </w:rPr>
        <w:t>进行采购。</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3..财政</w:t>
      </w:r>
      <w:r>
        <w:rPr>
          <w:rFonts w:hint="eastAsia" w:ascii="仿宋_GB2312" w:hAnsi="仿宋_GB2312" w:eastAsia="仿宋_GB2312" w:cs="仿宋_GB2312"/>
          <w:sz w:val="32"/>
          <w:szCs w:val="32"/>
          <w:lang w:eastAsia="zh-CN"/>
        </w:rPr>
        <w:t>金融审计</w:t>
      </w:r>
      <w:r>
        <w:rPr>
          <w:rFonts w:hint="eastAsia" w:ascii="仿宋_GB2312" w:hAnsi="仿宋_GB2312" w:eastAsia="仿宋_GB2312" w:cs="仿宋_GB2312"/>
          <w:sz w:val="32"/>
          <w:szCs w:val="32"/>
        </w:rPr>
        <w:t>局根据领导批准的内容，对价值在</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万元以上</w:t>
      </w:r>
      <w:r>
        <w:rPr>
          <w:rFonts w:hint="eastAsia" w:ascii="仿宋_GB2312" w:hAnsi="仿宋_GB2312" w:eastAsia="仿宋_GB2312" w:cs="仿宋_GB2312"/>
          <w:sz w:val="32"/>
          <w:szCs w:val="32"/>
          <w:lang w:eastAsia="zh-CN"/>
        </w:rPr>
        <w:t>（含</w:t>
      </w:r>
      <w:r>
        <w:rPr>
          <w:rFonts w:hint="eastAsia" w:ascii="仿宋_GB2312" w:hAnsi="仿宋_GB2312" w:eastAsia="仿宋_GB2312" w:cs="仿宋_GB2312"/>
          <w:sz w:val="32"/>
          <w:szCs w:val="32"/>
          <w:lang w:val="en-US" w:eastAsia="zh-CN"/>
        </w:rPr>
        <w:t>50万元）</w:t>
      </w:r>
      <w:r>
        <w:rPr>
          <w:rFonts w:hint="eastAsia" w:ascii="仿宋_GB2312" w:hAnsi="仿宋_GB2312" w:eastAsia="仿宋_GB2312" w:cs="仿宋_GB2312"/>
          <w:sz w:val="32"/>
          <w:szCs w:val="32"/>
        </w:rPr>
        <w:t>的成批大宗物品</w:t>
      </w:r>
      <w:r>
        <w:rPr>
          <w:rFonts w:hint="eastAsia" w:ascii="仿宋_GB2312" w:hAnsi="仿宋_GB2312" w:eastAsia="仿宋_GB2312" w:cs="仿宋_GB2312"/>
          <w:sz w:val="32"/>
          <w:szCs w:val="32"/>
          <w:lang w:eastAsia="zh-CN"/>
        </w:rPr>
        <w:t>委托代理机构实施</w:t>
      </w:r>
      <w:r>
        <w:rPr>
          <w:rFonts w:hint="eastAsia" w:ascii="仿宋_GB2312" w:hAnsi="仿宋_GB2312" w:eastAsia="仿宋_GB2312" w:cs="仿宋_GB2312"/>
          <w:sz w:val="32"/>
          <w:szCs w:val="32"/>
        </w:rPr>
        <w:t>采购，其他零星物品采取货比三家的形式实施集中采购。</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办公用品</w:t>
      </w:r>
      <w:r>
        <w:rPr>
          <w:rFonts w:hint="eastAsia" w:ascii="仿宋_GB2312" w:hAnsi="仿宋_GB2312" w:eastAsia="仿宋_GB2312" w:cs="仿宋_GB2312"/>
          <w:sz w:val="32"/>
          <w:szCs w:val="32"/>
        </w:rPr>
        <w:t>采购后，由各部门到</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CN"/>
        </w:rPr>
        <w:t>行政</w:t>
      </w:r>
      <w:r>
        <w:rPr>
          <w:rFonts w:hint="eastAsia" w:ascii="仿宋_GB2312" w:hAnsi="仿宋_GB2312" w:eastAsia="仿宋_GB2312" w:cs="仿宋_GB2312"/>
          <w:sz w:val="32"/>
          <w:szCs w:val="32"/>
        </w:rPr>
        <w:t>办公室一次性登记领用。</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五、具体要求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的计划要依据实际需求，不得虚做冒估超预算。</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2.按照先审批后购置的原则，未经审批购置的将不予报销。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3.当月计划当月有效。本月未购置须次月重做计划。</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4.各</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和个人对管理的物品不得挪做私用、避免浪费、损坏和丢失。</w:t>
      </w:r>
    </w:p>
    <w:p>
      <w:pPr>
        <w:ind w:firstLine="640" w:firstLineChars="200"/>
        <w:rPr>
          <w:rFonts w:hint="eastAsia"/>
          <w:color w:val="auto"/>
          <w:lang w:eastAsia="zh-CN"/>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采购所需用品时，须本着质优价廉的原则</w:t>
      </w:r>
      <w:r>
        <w:rPr>
          <w:rFonts w:hint="eastAsia" w:ascii="仿宋_GB2312" w:hAnsi="仿宋_GB2312" w:eastAsia="仿宋_GB2312" w:cs="仿宋_GB2312"/>
          <w:sz w:val="32"/>
          <w:szCs w:val="32"/>
          <w:lang w:eastAsia="zh-CN"/>
        </w:rPr>
        <w:t>。</w:t>
      </w:r>
    </w:p>
    <w:p>
      <w:pPr>
        <w:pStyle w:val="2"/>
        <w:bidi w:val="0"/>
        <w:jc w:val="center"/>
        <w:rPr>
          <w:rFonts w:hint="eastAsia"/>
          <w:color w:val="auto"/>
          <w:lang w:val="en-US" w:eastAsia="zh-CN"/>
        </w:rPr>
      </w:pPr>
      <w:bookmarkStart w:id="290" w:name="_Toc11863"/>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bookmarkEnd w:id="290"/>
    <w:p>
      <w:pPr>
        <w:rPr>
          <w:rFonts w:hint="eastAsia"/>
          <w:color w:val="auto"/>
          <w:lang w:eastAsia="zh-CN"/>
        </w:rPr>
      </w:pPr>
    </w:p>
    <w:p>
      <w:pPr>
        <w:rPr>
          <w:rFonts w:hint="eastAsia"/>
          <w:color w:val="auto"/>
          <w:lang w:eastAsia="zh-CN"/>
        </w:rPr>
      </w:pPr>
    </w:p>
    <w:p>
      <w:pPr>
        <w:rPr>
          <w:rFonts w:hint="eastAsia"/>
          <w:color w:val="auto"/>
          <w:lang w:eastAsia="zh-CN"/>
        </w:rPr>
      </w:pPr>
    </w:p>
    <w:p>
      <w:pPr>
        <w:pStyle w:val="2"/>
        <w:bidi w:val="0"/>
        <w:jc w:val="center"/>
        <w:rPr>
          <w:rStyle w:val="13"/>
          <w:rFonts w:hint="eastAsia" w:ascii="仿宋_GB2312" w:hAnsi="仿宋" w:eastAsia="仿宋_GB2312"/>
          <w:b w:val="0"/>
          <w:sz w:val="32"/>
          <w:szCs w:val="32"/>
        </w:rPr>
      </w:pPr>
      <w:bookmarkStart w:id="291" w:name="_Toc27744"/>
      <w:r>
        <w:rPr>
          <w:rFonts w:hint="eastAsia"/>
          <w:lang w:val="en-US" w:eastAsia="zh-CN"/>
        </w:rPr>
        <w:t>14、固定资产管理办法（暂行）</w:t>
      </w:r>
      <w:bookmarkEnd w:id="291"/>
    </w:p>
    <w:p>
      <w:pPr>
        <w:pStyle w:val="8"/>
        <w:spacing w:before="0" w:beforeAutospacing="0" w:after="0" w:afterAutospacing="0" w:line="360" w:lineRule="auto"/>
        <w:ind w:left="640" w:leftChars="200"/>
        <w:jc w:val="center"/>
        <w:rPr>
          <w:rFonts w:hint="eastAsia" w:ascii="仿宋" w:hAnsi="仿宋" w:eastAsia="仿宋"/>
          <w:sz w:val="32"/>
          <w:szCs w:val="32"/>
        </w:rPr>
      </w:pPr>
      <w:r>
        <w:rPr>
          <w:rFonts w:hint="eastAsia" w:ascii="黑体" w:hAnsi="黑体" w:eastAsia="黑体" w:cs="黑体"/>
          <w:color w:val="000000"/>
          <w:kern w:val="0"/>
          <w:sz w:val="32"/>
          <w:szCs w:val="32"/>
          <w:lang w:val="en-US" w:eastAsia="zh-CN" w:bidi="ar-SA"/>
        </w:rPr>
        <w:t>第一章  总　则</w:t>
      </w:r>
    </w:p>
    <w:p>
      <w:pPr>
        <w:keepNext w:val="0"/>
        <w:keepLines w:val="0"/>
        <w:pageBreakBefore w:val="0"/>
        <w:widowControl/>
        <w:suppressLineNumbers w:val="0"/>
        <w:kinsoku/>
        <w:wordWrap/>
        <w:overflowPunct/>
        <w:topLinePunct w:val="0"/>
        <w:autoSpaceDE/>
        <w:autoSpaceDN/>
        <w:bidi w:val="0"/>
        <w:adjustRightInd w:val="0"/>
        <w:snapToGrid/>
        <w:ind w:firstLine="643" w:firstLineChars="200"/>
        <w:jc w:val="left"/>
        <w:textAlignment w:val="baseline"/>
        <w:rPr>
          <w:rFonts w:hint="eastAsia" w:ascii="仿宋" w:hAnsi="仿宋" w:eastAsia="仿宋"/>
          <w:sz w:val="32"/>
          <w:szCs w:val="32"/>
        </w:rPr>
      </w:pPr>
      <w:r>
        <w:rPr>
          <w:rStyle w:val="13"/>
          <w:rFonts w:hint="eastAsia" w:ascii="仿宋" w:hAnsi="仿宋" w:eastAsia="仿宋"/>
          <w:sz w:val="32"/>
          <w:szCs w:val="32"/>
        </w:rPr>
        <w:t>第一条</w:t>
      </w:r>
      <w:r>
        <w:rPr>
          <w:rFonts w:hint="eastAsia" w:ascii="仿宋" w:hAnsi="仿宋" w:eastAsia="仿宋"/>
          <w:sz w:val="32"/>
          <w:szCs w:val="32"/>
        </w:rPr>
        <w:t xml:space="preserve"> </w:t>
      </w:r>
      <w:r>
        <w:rPr>
          <w:rFonts w:hint="eastAsia" w:ascii="仿宋" w:hAnsi="仿宋" w:eastAsia="仿宋"/>
          <w:sz w:val="32"/>
          <w:szCs w:val="32"/>
          <w:lang w:val="en-US" w:eastAsia="zh-CN"/>
        </w:rPr>
        <w:t>为了规范和加强新区固定资产管理，维护固定资产的安全完整，合理配置和有效利用固定资产，保障和促进各项事业发展，建立适应社会主义市场经济和公共财政要求的事业单位固定资产管理体制，根据国务院有关规定，结合新区实际情况，制定本办法。</w:t>
      </w:r>
    </w:p>
    <w:p>
      <w:pPr>
        <w:keepNext w:val="0"/>
        <w:keepLines w:val="0"/>
        <w:pageBreakBefore w:val="0"/>
        <w:widowControl/>
        <w:suppressLineNumbers w:val="0"/>
        <w:kinsoku/>
        <w:wordWrap/>
        <w:overflowPunct/>
        <w:topLinePunct w:val="0"/>
        <w:autoSpaceDE/>
        <w:autoSpaceDN/>
        <w:bidi w:val="0"/>
        <w:adjustRightInd w:val="0"/>
        <w:snapToGrid/>
        <w:ind w:firstLine="643" w:firstLineChars="200"/>
        <w:jc w:val="left"/>
        <w:textAlignment w:val="baseline"/>
        <w:rPr>
          <w:rFonts w:hint="eastAsia" w:ascii="仿宋" w:hAnsi="仿宋" w:eastAsia="仿宋"/>
          <w:sz w:val="32"/>
          <w:szCs w:val="32"/>
          <w:lang w:val="en-US" w:eastAsia="zh-CN"/>
        </w:rPr>
      </w:pPr>
      <w:r>
        <w:rPr>
          <w:rFonts w:hint="eastAsia" w:ascii="仿宋" w:hAnsi="仿宋" w:eastAsia="仿宋"/>
          <w:b/>
          <w:bCs/>
          <w:sz w:val="32"/>
          <w:szCs w:val="32"/>
          <w:lang w:val="en-US" w:eastAsia="zh-CN"/>
        </w:rPr>
        <w:t xml:space="preserve">第二条 </w:t>
      </w:r>
      <w:r>
        <w:rPr>
          <w:rFonts w:hint="eastAsia" w:ascii="仿宋" w:hAnsi="仿宋" w:eastAsia="仿宋"/>
          <w:sz w:val="32"/>
          <w:szCs w:val="32"/>
          <w:lang w:val="en-US" w:eastAsia="zh-CN"/>
        </w:rPr>
        <w:t>本办法适用于生态新区固定资产管理活动。</w:t>
      </w:r>
    </w:p>
    <w:p>
      <w:pPr>
        <w:keepNext w:val="0"/>
        <w:keepLines w:val="0"/>
        <w:pageBreakBefore w:val="0"/>
        <w:widowControl/>
        <w:suppressLineNumbers w:val="0"/>
        <w:kinsoku/>
        <w:wordWrap/>
        <w:overflowPunct/>
        <w:topLinePunct w:val="0"/>
        <w:autoSpaceDE/>
        <w:autoSpaceDN/>
        <w:bidi w:val="0"/>
        <w:adjustRightInd w:val="0"/>
        <w:snapToGrid/>
        <w:ind w:firstLine="643" w:firstLineChars="200"/>
        <w:jc w:val="left"/>
        <w:textAlignment w:val="baseline"/>
        <w:rPr>
          <w:rFonts w:hint="eastAsia" w:ascii="仿宋" w:hAnsi="仿宋" w:eastAsia="仿宋"/>
          <w:sz w:val="32"/>
          <w:szCs w:val="32"/>
          <w:lang w:val="en-US" w:eastAsia="zh-CN"/>
        </w:rPr>
      </w:pPr>
      <w:r>
        <w:rPr>
          <w:rFonts w:hint="eastAsia" w:ascii="仿宋" w:hAnsi="仿宋" w:eastAsia="仿宋"/>
          <w:b/>
          <w:bCs/>
          <w:sz w:val="32"/>
          <w:szCs w:val="32"/>
          <w:lang w:val="en-US" w:eastAsia="zh-CN"/>
        </w:rPr>
        <w:t xml:space="preserve">第三条 </w:t>
      </w:r>
      <w:r>
        <w:rPr>
          <w:rFonts w:hint="eastAsia" w:ascii="仿宋" w:hAnsi="仿宋" w:eastAsia="仿宋"/>
          <w:sz w:val="32"/>
          <w:szCs w:val="32"/>
          <w:lang w:val="en-US" w:eastAsia="zh-CN"/>
        </w:rPr>
        <w:t>本办法所称的固定资产，是指本区占有、使用的，依法确认为国家所有，能以货币计量的各种经济资源的总称，即国有（公共）财产。 固定资产包括国家拨给事业单位的资产，事业单位按照国家规定运用固定资产组织收入形成的资产，以及接受捐赠和其他经法律确认为国家所有的资产，其表现形式为流动资产、固定资产、无形资产和对外投资等。</w:t>
      </w:r>
    </w:p>
    <w:p>
      <w:pPr>
        <w:keepNext w:val="0"/>
        <w:keepLines w:val="0"/>
        <w:pageBreakBefore w:val="0"/>
        <w:widowControl/>
        <w:suppressLineNumbers w:val="0"/>
        <w:kinsoku/>
        <w:wordWrap/>
        <w:overflowPunct/>
        <w:topLinePunct w:val="0"/>
        <w:autoSpaceDE/>
        <w:autoSpaceDN/>
        <w:bidi w:val="0"/>
        <w:adjustRightInd w:val="0"/>
        <w:snapToGrid/>
        <w:ind w:firstLine="643" w:firstLineChars="200"/>
        <w:jc w:val="left"/>
        <w:textAlignment w:val="baseline"/>
        <w:rPr>
          <w:rFonts w:hint="eastAsia" w:ascii="仿宋" w:hAnsi="仿宋" w:eastAsia="仿宋"/>
          <w:sz w:val="32"/>
          <w:szCs w:val="32"/>
          <w:lang w:val="en-US" w:eastAsia="zh-CN"/>
        </w:rPr>
      </w:pPr>
      <w:r>
        <w:rPr>
          <w:rFonts w:hint="eastAsia" w:ascii="仿宋" w:hAnsi="仿宋" w:eastAsia="仿宋"/>
          <w:b/>
          <w:bCs/>
          <w:sz w:val="32"/>
          <w:szCs w:val="32"/>
          <w:lang w:val="en-US" w:eastAsia="zh-CN"/>
        </w:rPr>
        <w:t xml:space="preserve">第四条 </w:t>
      </w:r>
      <w:r>
        <w:rPr>
          <w:rFonts w:hint="eastAsia" w:ascii="仿宋" w:hAnsi="仿宋" w:eastAsia="仿宋"/>
          <w:sz w:val="32"/>
          <w:szCs w:val="32"/>
          <w:lang w:val="en-US" w:eastAsia="zh-CN"/>
        </w:rPr>
        <w:t>固定资产管理活动，应当坚持资产管理与预算管理相结合的原则，推行实物费用定额制度，促进资产整合与共享共用，实现资产管理和预算管理的紧密统一；应当坚持所有权和使用权相分离的原则；应当坚持资产管理与财务管理、实物管理与价值管理相结合的原则。</w:t>
      </w:r>
    </w:p>
    <w:p>
      <w:pPr>
        <w:keepNext w:val="0"/>
        <w:keepLines w:val="0"/>
        <w:pageBreakBefore w:val="0"/>
        <w:widowControl/>
        <w:suppressLineNumbers w:val="0"/>
        <w:kinsoku/>
        <w:wordWrap/>
        <w:overflowPunct/>
        <w:topLinePunct w:val="0"/>
        <w:autoSpaceDE/>
        <w:autoSpaceDN/>
        <w:bidi w:val="0"/>
        <w:adjustRightInd w:val="0"/>
        <w:snapToGrid/>
        <w:ind w:firstLine="643" w:firstLineChars="200"/>
        <w:jc w:val="left"/>
        <w:textAlignment w:val="baseline"/>
        <w:rPr>
          <w:rFonts w:hint="eastAsia" w:ascii="仿宋" w:hAnsi="仿宋" w:eastAsia="仿宋"/>
          <w:sz w:val="32"/>
          <w:szCs w:val="32"/>
          <w:lang w:val="en-US" w:eastAsia="zh-CN"/>
        </w:rPr>
      </w:pPr>
      <w:r>
        <w:rPr>
          <w:rFonts w:hint="eastAsia" w:ascii="仿宋" w:hAnsi="仿宋" w:eastAsia="仿宋"/>
          <w:b/>
          <w:bCs/>
          <w:sz w:val="32"/>
          <w:szCs w:val="32"/>
          <w:lang w:val="en-US" w:eastAsia="zh-CN"/>
        </w:rPr>
        <w:t xml:space="preserve">第五条 </w:t>
      </w:r>
      <w:r>
        <w:rPr>
          <w:rFonts w:hint="eastAsia" w:ascii="仿宋" w:hAnsi="仿宋" w:eastAsia="仿宋"/>
          <w:sz w:val="32"/>
          <w:szCs w:val="32"/>
          <w:lang w:val="en-US" w:eastAsia="zh-CN"/>
        </w:rPr>
        <w:t>固定资产实行国家统一所有，分级监管，单位占有、使用的管理体制。</w:t>
      </w:r>
    </w:p>
    <w:p>
      <w:pPr>
        <w:keepNext w:val="0"/>
        <w:keepLines w:val="0"/>
        <w:widowControl/>
        <w:suppressLineNumbers w:val="0"/>
        <w:tabs>
          <w:tab w:val="left" w:pos="567"/>
        </w:tabs>
        <w:jc w:val="center"/>
        <w:rPr>
          <w:rFonts w:hint="eastAsia"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第二章　管理及其职责</w:t>
      </w:r>
    </w:p>
    <w:p>
      <w:pPr>
        <w:ind w:firstLine="643" w:firstLineChars="200"/>
        <w:rPr>
          <w:rFonts w:hint="eastAsia" w:ascii="仿宋" w:hAnsi="仿宋" w:eastAsia="仿宋"/>
          <w:sz w:val="32"/>
          <w:szCs w:val="32"/>
          <w:lang w:val="en-US" w:eastAsia="zh-CN"/>
        </w:rPr>
      </w:pPr>
      <w:r>
        <w:rPr>
          <w:rStyle w:val="13"/>
          <w:rFonts w:hint="eastAsia" w:ascii="仿宋" w:hAnsi="仿宋" w:eastAsia="仿宋"/>
          <w:sz w:val="32"/>
          <w:szCs w:val="32"/>
        </w:rPr>
        <w:t>第</w:t>
      </w:r>
      <w:r>
        <w:rPr>
          <w:rStyle w:val="13"/>
          <w:rFonts w:hint="eastAsia" w:ascii="仿宋" w:hAnsi="仿宋" w:eastAsia="仿宋"/>
          <w:sz w:val="32"/>
          <w:szCs w:val="32"/>
          <w:lang w:val="en-US" w:eastAsia="zh-CN"/>
        </w:rPr>
        <w:t>六</w:t>
      </w:r>
      <w:r>
        <w:rPr>
          <w:rStyle w:val="13"/>
          <w:rFonts w:hint="eastAsia" w:ascii="仿宋" w:hAnsi="仿宋" w:eastAsia="仿宋"/>
          <w:sz w:val="32"/>
          <w:szCs w:val="32"/>
        </w:rPr>
        <w:t>条</w:t>
      </w:r>
      <w:r>
        <w:rPr>
          <w:rStyle w:val="13"/>
          <w:rFonts w:hint="eastAsia" w:ascii="仿宋" w:hAnsi="仿宋" w:eastAsia="仿宋"/>
          <w:sz w:val="32"/>
          <w:szCs w:val="32"/>
          <w:lang w:val="en-US" w:eastAsia="zh-CN"/>
        </w:rPr>
        <w:t xml:space="preserve"> </w:t>
      </w:r>
      <w:r>
        <w:rPr>
          <w:rFonts w:hint="eastAsia" w:ascii="仿宋" w:hAnsi="仿宋" w:eastAsia="仿宋"/>
          <w:sz w:val="32"/>
          <w:szCs w:val="32"/>
          <w:lang w:val="en-US" w:eastAsia="zh-CN"/>
        </w:rPr>
        <w:t>资产配置标准是科学合理编制资产配置预算的重要依据，“先易后难、分类实施、逐步推进”的原则，分类制定资产配置标准。明确各类资产的配置数量、价格上限和最低使用年限等，并根据物价水平和财力状况等因素变化适时调整，为预算编制提供科学依据。对已制定资产配置标准的，应当结合财力情况严格按照标准配置；对没有规定资产配置标准的，应当坚持厉行节约、从严控制的原则，并结合单位履职需要、存量资产状况和财力情况等，在充分论证的基础上，采取调剂、租赁、购置等方式进行配置。加大对资产的调控力度，有效盘活存量资产，优化资源配置。建立行政事业单位超标准配置、低效运转或者长期闲置资产调剂机制。</w:t>
      </w:r>
    </w:p>
    <w:p>
      <w:pPr>
        <w:ind w:firstLine="643" w:firstLineChars="200"/>
        <w:rPr>
          <w:rFonts w:hint="eastAsia" w:ascii="仿宋" w:hAnsi="仿宋" w:eastAsia="仿宋"/>
          <w:sz w:val="32"/>
          <w:szCs w:val="32"/>
          <w:lang w:val="en-US" w:eastAsia="zh-CN"/>
        </w:rPr>
      </w:pPr>
      <w:r>
        <w:rPr>
          <w:rStyle w:val="13"/>
          <w:rFonts w:hint="eastAsia" w:ascii="仿宋" w:hAnsi="仿宋" w:eastAsia="仿宋"/>
          <w:sz w:val="32"/>
          <w:szCs w:val="32"/>
        </w:rPr>
        <w:t>第</w:t>
      </w:r>
      <w:r>
        <w:rPr>
          <w:rStyle w:val="13"/>
          <w:rFonts w:hint="eastAsia" w:ascii="仿宋" w:hAnsi="仿宋" w:eastAsia="仿宋"/>
          <w:sz w:val="32"/>
          <w:szCs w:val="32"/>
          <w:lang w:val="en-US" w:eastAsia="zh-CN"/>
        </w:rPr>
        <w:t>七</w:t>
      </w:r>
      <w:r>
        <w:rPr>
          <w:rStyle w:val="13"/>
          <w:rFonts w:hint="eastAsia" w:ascii="仿宋" w:hAnsi="仿宋" w:eastAsia="仿宋"/>
          <w:sz w:val="32"/>
          <w:szCs w:val="32"/>
        </w:rPr>
        <w:t>条</w:t>
      </w:r>
      <w:r>
        <w:rPr>
          <w:rStyle w:val="13"/>
          <w:rFonts w:hint="eastAsia" w:ascii="仿宋" w:hAnsi="仿宋" w:eastAsia="仿宋"/>
          <w:sz w:val="32"/>
          <w:szCs w:val="32"/>
          <w:lang w:val="en-US" w:eastAsia="zh-CN"/>
        </w:rPr>
        <w:t xml:space="preserve"> </w:t>
      </w:r>
      <w:r>
        <w:rPr>
          <w:rFonts w:hint="eastAsia" w:ascii="仿宋" w:hAnsi="仿宋" w:eastAsia="仿宋"/>
          <w:sz w:val="32"/>
          <w:szCs w:val="32"/>
          <w:lang w:val="en-US" w:eastAsia="zh-CN"/>
        </w:rPr>
        <w:t>加强新区资产使用管理，提高固定资产使用效率。各局办和企业应当加强资产使用管理，进一步落实资产管理主体责任制和各项资产使用管理的规章制度，明确资产使用管理的内部流程、岗位职责和内控制度，充分依托资产管理信息系统的动态管理优势，做到账实相符、账账相符、账卡相符。加强资产出租出借行为的监管，严格控制出租出借固定资产行为，确需出租出借资产的，应当按照规定程序履行报批手续，原则上实行公开竞价招租，必要时可以采取评审或者资产评估等方式确定出租价格，确保出租出借过程的公正透明。</w:t>
      </w:r>
    </w:p>
    <w:p>
      <w:pPr>
        <w:ind w:firstLine="643" w:firstLineChars="200"/>
        <w:rPr>
          <w:rFonts w:hint="eastAsia" w:ascii="仿宋" w:hAnsi="仿宋" w:eastAsia="仿宋"/>
          <w:sz w:val="32"/>
          <w:szCs w:val="32"/>
          <w:lang w:val="en-US" w:eastAsia="zh-CN"/>
        </w:rPr>
      </w:pPr>
      <w:r>
        <w:rPr>
          <w:rStyle w:val="13"/>
          <w:rFonts w:hint="eastAsia" w:ascii="仿宋" w:hAnsi="仿宋" w:eastAsia="仿宋"/>
          <w:sz w:val="32"/>
          <w:szCs w:val="32"/>
        </w:rPr>
        <w:t>第</w:t>
      </w:r>
      <w:r>
        <w:rPr>
          <w:rStyle w:val="13"/>
          <w:rFonts w:hint="eastAsia" w:ascii="仿宋" w:hAnsi="仿宋" w:eastAsia="仿宋"/>
          <w:sz w:val="32"/>
          <w:szCs w:val="32"/>
          <w:lang w:val="en-US" w:eastAsia="zh-CN"/>
        </w:rPr>
        <w:t>八</w:t>
      </w:r>
      <w:r>
        <w:rPr>
          <w:rStyle w:val="13"/>
          <w:rFonts w:hint="eastAsia" w:ascii="仿宋" w:hAnsi="仿宋" w:eastAsia="仿宋"/>
          <w:sz w:val="32"/>
          <w:szCs w:val="32"/>
        </w:rPr>
        <w:t>条</w:t>
      </w:r>
      <w:r>
        <w:rPr>
          <w:rStyle w:val="13"/>
          <w:rFonts w:hint="eastAsia" w:ascii="仿宋" w:hAnsi="仿宋" w:eastAsia="仿宋"/>
          <w:sz w:val="32"/>
          <w:szCs w:val="32"/>
          <w:lang w:val="en-US" w:eastAsia="zh-CN"/>
        </w:rPr>
        <w:t xml:space="preserve"> </w:t>
      </w:r>
      <w:r>
        <w:rPr>
          <w:rFonts w:hint="eastAsia" w:ascii="仿宋" w:hAnsi="仿宋" w:eastAsia="仿宋"/>
          <w:sz w:val="32"/>
          <w:szCs w:val="32"/>
          <w:lang w:val="en-US" w:eastAsia="zh-CN"/>
        </w:rPr>
        <w:t>加强新区资产处置管理，进一步规范资产处置行为。资产处置应当遵循公开、公平、公正的原则，严格执行固定资产处置制度，履行审批手续，规范处置行为，防止固定资产流失。未按规定履行相关程序的，任何人不得擅自处置固定资产。处置固定资产原则上应当按照规定程序进行资产评估，并通过拍卖、招投标等公开进场交易方式处置，杜绝暗箱操作。资产处置完成后，应当及时办理产权变动并进行账务处理。</w:t>
      </w:r>
    </w:p>
    <w:p>
      <w:pPr>
        <w:ind w:firstLine="643" w:firstLineChars="200"/>
        <w:rPr>
          <w:rFonts w:hint="eastAsia" w:ascii="仿宋" w:hAnsi="仿宋" w:eastAsia="仿宋"/>
          <w:sz w:val="32"/>
          <w:szCs w:val="32"/>
          <w:lang w:val="en-US" w:eastAsia="zh-CN"/>
        </w:rPr>
      </w:pPr>
      <w:r>
        <w:rPr>
          <w:rStyle w:val="13"/>
          <w:rFonts w:hint="eastAsia" w:ascii="仿宋" w:hAnsi="仿宋" w:eastAsia="仿宋"/>
          <w:sz w:val="32"/>
          <w:szCs w:val="32"/>
        </w:rPr>
        <w:t>第</w:t>
      </w:r>
      <w:r>
        <w:rPr>
          <w:rStyle w:val="13"/>
          <w:rFonts w:hint="eastAsia" w:ascii="仿宋" w:hAnsi="仿宋" w:eastAsia="仿宋"/>
          <w:sz w:val="32"/>
          <w:szCs w:val="32"/>
          <w:lang w:val="en-US" w:eastAsia="zh-CN"/>
        </w:rPr>
        <w:t>九</w:t>
      </w:r>
      <w:r>
        <w:rPr>
          <w:rStyle w:val="13"/>
          <w:rFonts w:hint="eastAsia" w:ascii="仿宋" w:hAnsi="仿宋" w:eastAsia="仿宋"/>
          <w:sz w:val="32"/>
          <w:szCs w:val="32"/>
        </w:rPr>
        <w:t xml:space="preserve">条 </w:t>
      </w:r>
      <w:r>
        <w:rPr>
          <w:rFonts w:hint="eastAsia" w:ascii="仿宋" w:hAnsi="仿宋" w:eastAsia="仿宋"/>
          <w:sz w:val="32"/>
          <w:szCs w:val="32"/>
          <w:lang w:val="en-US" w:eastAsia="zh-CN"/>
        </w:rPr>
        <w:t>加强单位资产收益管理，确保应收尽收和规范使用。固定资产收益是政府非税收入的重要组成部分，各部门、下属公司应当进一步加强对固定资产收益的监督管理，建立健全资产收入收缴和使用等方面的规章制度，规范收支行为。新区固定资产处置收入和出租、出借收入，应当在扣除相关税费后及时、足额上缴国库，严禁隐瞒、截留、坐支和挪用。严格按照有关规定进一步规范事业单位固定资产处置收入管理。</w:t>
      </w:r>
    </w:p>
    <w:p>
      <w:pPr>
        <w:numPr>
          <w:ilvl w:val="0"/>
          <w:numId w:val="0"/>
        </w:numPr>
        <w:jc w:val="center"/>
        <w:rPr>
          <w:rFonts w:hint="eastAsia" w:ascii="仿宋" w:hAnsi="仿宋" w:eastAsia="仿宋"/>
          <w:b/>
          <w:bCs/>
          <w:sz w:val="32"/>
          <w:szCs w:val="32"/>
          <w:lang w:val="en-US" w:eastAsia="zh-CN"/>
        </w:rPr>
      </w:pPr>
      <w:r>
        <w:rPr>
          <w:rFonts w:hint="eastAsia" w:ascii="黑体" w:hAnsi="黑体" w:eastAsia="黑体" w:cs="黑体"/>
          <w:color w:val="000000"/>
          <w:kern w:val="0"/>
          <w:sz w:val="32"/>
          <w:szCs w:val="32"/>
          <w:lang w:val="en-US" w:eastAsia="zh-CN" w:bidi="ar-SA"/>
        </w:rPr>
        <w:t>第三章 固定资产监督管理</w:t>
      </w:r>
    </w:p>
    <w:p>
      <w:pPr>
        <w:ind w:firstLine="643" w:firstLineChars="200"/>
        <w:rPr>
          <w:rFonts w:hint="eastAsia" w:ascii="仿宋" w:hAnsi="仿宋" w:eastAsia="仿宋"/>
          <w:sz w:val="32"/>
          <w:szCs w:val="32"/>
          <w:lang w:val="en-US" w:eastAsia="zh-CN"/>
        </w:rPr>
      </w:pPr>
      <w:r>
        <w:rPr>
          <w:rStyle w:val="13"/>
          <w:rFonts w:hint="eastAsia" w:ascii="仿宋" w:hAnsi="仿宋" w:eastAsia="仿宋"/>
          <w:sz w:val="32"/>
          <w:szCs w:val="32"/>
        </w:rPr>
        <w:t>第十条</w:t>
      </w:r>
      <w:r>
        <w:rPr>
          <w:rStyle w:val="13"/>
          <w:rFonts w:hint="eastAsia" w:ascii="仿宋" w:hAnsi="仿宋" w:eastAsia="仿宋"/>
          <w:sz w:val="32"/>
          <w:szCs w:val="32"/>
          <w:lang w:val="en-US" w:eastAsia="zh-CN"/>
        </w:rPr>
        <w:t xml:space="preserve"> </w:t>
      </w:r>
      <w:r>
        <w:rPr>
          <w:rFonts w:hint="eastAsia" w:ascii="仿宋" w:hAnsi="仿宋" w:eastAsia="仿宋"/>
          <w:sz w:val="32"/>
          <w:szCs w:val="32"/>
          <w:lang w:val="en-US" w:eastAsia="zh-CN"/>
        </w:rPr>
        <w:t>以管资产为主，加强新区所属企业管理。按照深化国有企业改革的总体部署，以管资产为主，鼓励将行政事业单位所属企业的固定资产纳入经营性固定资产集中统一监管体系。具备条件的进入固定资产投资、运营公司，暂时不具备条件的，要按照“政企分开、事企分开”的原则，建立以资产为纽带的产权关系，加强和规范监管，确保固定资产保值增值。</w:t>
      </w:r>
    </w:p>
    <w:p>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各部门、企业应当强化资产运作模式、经营状况、收益分配等的监督管理，推动完善企业法人治理结构，逐步完善“产权清晰、权责明确、政企分开、管理科学”的现代企业制度，完善所属企业固定资产监管体制，防止固定资产流失，实现固定资产保值增值。</w:t>
      </w:r>
    </w:p>
    <w:p>
      <w:pPr>
        <w:numPr>
          <w:ilvl w:val="0"/>
          <w:numId w:val="0"/>
        </w:numPr>
        <w:jc w:val="center"/>
        <w:rPr>
          <w:rFonts w:hint="eastAsia"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第四章加强组织队伍建设，不断提高资产管理工作水平</w:t>
      </w:r>
    </w:p>
    <w:p>
      <w:pPr>
        <w:ind w:firstLine="643" w:firstLineChars="200"/>
        <w:rPr>
          <w:rFonts w:hint="eastAsia" w:ascii="仿宋" w:hAnsi="仿宋" w:eastAsia="仿宋"/>
          <w:sz w:val="32"/>
          <w:szCs w:val="32"/>
          <w:lang w:val="en-US" w:eastAsia="zh-CN"/>
        </w:rPr>
      </w:pPr>
      <w:r>
        <w:rPr>
          <w:rFonts w:hint="eastAsia" w:ascii="仿宋" w:hAnsi="仿宋" w:eastAsia="仿宋"/>
          <w:b/>
          <w:bCs/>
          <w:sz w:val="32"/>
          <w:szCs w:val="32"/>
          <w:lang w:val="en-US" w:eastAsia="zh-CN"/>
        </w:rPr>
        <w:t xml:space="preserve">第十一条 </w:t>
      </w:r>
      <w:r>
        <w:rPr>
          <w:rFonts w:hint="eastAsia" w:ascii="仿宋" w:hAnsi="仿宋" w:eastAsia="仿宋"/>
          <w:sz w:val="32"/>
          <w:szCs w:val="32"/>
          <w:lang w:val="en-US" w:eastAsia="zh-CN"/>
        </w:rPr>
        <w:t>各部门、企业应当进一步高度重视资产管理工作，切实加强组织领导。各部门、企业应当建立健全行政事业资产管理机构，配备专职人员，充实工作队伍；各部门和企业应当明确内部资产管理机构和人员，强化职责分工，落实管理责任，避免多头管理、相互推诿扯皮现象，为开展新区资产管理工作提供有力的组织保障。</w:t>
      </w:r>
    </w:p>
    <w:p>
      <w:pPr>
        <w:ind w:firstLine="643" w:firstLineChars="200"/>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 xml:space="preserve"> </w:t>
      </w:r>
      <w:r>
        <w:rPr>
          <w:rFonts w:hint="eastAsia" w:ascii="仿宋" w:hAnsi="仿宋" w:eastAsia="仿宋"/>
          <w:sz w:val="32"/>
          <w:szCs w:val="32"/>
          <w:lang w:val="en-US" w:eastAsia="zh-CN"/>
        </w:rPr>
        <w:t>各部门、企业应当通过政策宣传、组织培训等多种方式，搭建学习和交流平台，提高新区资产管理干部队伍的素质和能力，有效推动行新区资产管理工作。</w:t>
      </w:r>
    </w:p>
    <w:p>
      <w:pPr>
        <w:numPr>
          <w:ilvl w:val="0"/>
          <w:numId w:val="0"/>
        </w:numPr>
        <w:jc w:val="center"/>
        <w:rPr>
          <w:rFonts w:hint="eastAsia" w:ascii="黑体" w:hAnsi="黑体" w:eastAsia="黑体" w:cs="黑体"/>
          <w:color w:val="000000"/>
          <w:kern w:val="0"/>
          <w:sz w:val="32"/>
          <w:szCs w:val="32"/>
          <w:lang w:val="en-US" w:eastAsia="zh-CN" w:bidi="ar-SA"/>
        </w:rPr>
      </w:pPr>
      <w:r>
        <w:rPr>
          <w:rFonts w:hint="eastAsia" w:ascii="黑体" w:hAnsi="黑体" w:eastAsia="黑体" w:cs="黑体"/>
          <w:color w:val="000000"/>
          <w:kern w:val="0"/>
          <w:sz w:val="32"/>
          <w:szCs w:val="32"/>
          <w:lang w:val="en-US" w:eastAsia="zh-CN" w:bidi="ar-SA"/>
        </w:rPr>
        <w:t>第五章　附　则</w:t>
      </w:r>
    </w:p>
    <w:p>
      <w:pPr>
        <w:pStyle w:val="8"/>
        <w:spacing w:before="0" w:beforeAutospacing="0" w:after="0" w:afterAutospacing="0" w:line="360" w:lineRule="auto"/>
        <w:ind w:firstLine="630" w:firstLineChars="196"/>
        <w:jc w:val="both"/>
        <w:rPr>
          <w:rFonts w:hint="eastAsia" w:ascii="仿宋" w:hAnsi="仿宋" w:eastAsia="仿宋"/>
          <w:sz w:val="32"/>
          <w:szCs w:val="32"/>
        </w:rPr>
      </w:pPr>
      <w:r>
        <w:rPr>
          <w:rStyle w:val="13"/>
          <w:rFonts w:hint="eastAsia" w:ascii="仿宋" w:hAnsi="仿宋" w:eastAsia="仿宋"/>
          <w:color w:val="auto"/>
          <w:sz w:val="32"/>
          <w:szCs w:val="32"/>
        </w:rPr>
        <w:t>第十</w:t>
      </w:r>
      <w:r>
        <w:rPr>
          <w:rStyle w:val="13"/>
          <w:rFonts w:hint="eastAsia" w:ascii="仿宋" w:hAnsi="仿宋" w:eastAsia="仿宋"/>
          <w:color w:val="auto"/>
          <w:sz w:val="32"/>
          <w:szCs w:val="32"/>
          <w:lang w:val="en-US" w:eastAsia="zh-CN"/>
        </w:rPr>
        <w:t>二</w:t>
      </w:r>
      <w:r>
        <w:rPr>
          <w:rStyle w:val="13"/>
          <w:rFonts w:hint="eastAsia" w:ascii="仿宋" w:hAnsi="仿宋" w:eastAsia="仿宋"/>
          <w:color w:val="auto"/>
          <w:sz w:val="32"/>
          <w:szCs w:val="32"/>
        </w:rPr>
        <w:t xml:space="preserve">条  </w:t>
      </w:r>
      <w:r>
        <w:rPr>
          <w:rFonts w:hint="eastAsia" w:ascii="仿宋" w:hAnsi="仿宋" w:eastAsia="仿宋"/>
          <w:sz w:val="32"/>
          <w:szCs w:val="32"/>
        </w:rPr>
        <w:t>本办法实施过程中，结合</w:t>
      </w:r>
      <w:r>
        <w:rPr>
          <w:rFonts w:hint="eastAsia" w:ascii="仿宋" w:hAnsi="仿宋" w:eastAsia="仿宋"/>
          <w:sz w:val="32"/>
          <w:szCs w:val="32"/>
          <w:lang w:val="en-US" w:eastAsia="zh-CN"/>
        </w:rPr>
        <w:t>生态新区</w:t>
      </w:r>
      <w:r>
        <w:rPr>
          <w:rFonts w:hint="eastAsia" w:ascii="仿宋" w:hAnsi="仿宋" w:eastAsia="仿宋"/>
          <w:sz w:val="32"/>
          <w:szCs w:val="32"/>
        </w:rPr>
        <w:t>经营性质的不同，因业务拓展、扩大经营、转型升级等工作衍生的重大事项，按照“一事一议”的原则，专题研究。</w:t>
      </w:r>
    </w:p>
    <w:p>
      <w:pPr>
        <w:pStyle w:val="8"/>
        <w:spacing w:before="0" w:beforeAutospacing="0" w:after="0" w:afterAutospacing="0" w:line="360" w:lineRule="auto"/>
        <w:ind w:firstLine="630" w:firstLineChars="196"/>
        <w:jc w:val="both"/>
        <w:rPr>
          <w:rFonts w:hint="eastAsia" w:ascii="仿宋" w:hAnsi="仿宋" w:eastAsia="仿宋"/>
          <w:sz w:val="32"/>
          <w:szCs w:val="32"/>
        </w:rPr>
      </w:pPr>
      <w:r>
        <w:rPr>
          <w:rStyle w:val="13"/>
          <w:rFonts w:hint="eastAsia" w:ascii="仿宋" w:hAnsi="仿宋" w:eastAsia="仿宋"/>
          <w:sz w:val="32"/>
          <w:szCs w:val="32"/>
        </w:rPr>
        <w:t>第十</w:t>
      </w:r>
      <w:r>
        <w:rPr>
          <w:rStyle w:val="13"/>
          <w:rFonts w:hint="eastAsia" w:ascii="仿宋" w:hAnsi="仿宋" w:eastAsia="仿宋"/>
          <w:sz w:val="32"/>
          <w:szCs w:val="32"/>
          <w:lang w:val="en-US" w:eastAsia="zh-CN"/>
        </w:rPr>
        <w:t>三</w:t>
      </w:r>
      <w:r>
        <w:rPr>
          <w:rStyle w:val="13"/>
          <w:rFonts w:hint="eastAsia" w:ascii="仿宋" w:hAnsi="仿宋" w:eastAsia="仿宋"/>
          <w:sz w:val="32"/>
          <w:szCs w:val="32"/>
        </w:rPr>
        <w:t>条</w:t>
      </w:r>
      <w:r>
        <w:rPr>
          <w:rFonts w:hint="eastAsia" w:ascii="仿宋" w:hAnsi="仿宋" w:eastAsia="仿宋"/>
          <w:sz w:val="32"/>
          <w:szCs w:val="32"/>
        </w:rPr>
        <w:t>　</w:t>
      </w:r>
      <w:r>
        <w:rPr>
          <w:rStyle w:val="13"/>
          <w:rFonts w:hint="eastAsia" w:ascii="仿宋" w:hAnsi="仿宋" w:eastAsia="仿宋"/>
          <w:b w:val="0"/>
          <w:sz w:val="32"/>
          <w:szCs w:val="32"/>
          <w:lang w:val="en-US" w:eastAsia="zh-CN"/>
        </w:rPr>
        <w:t>新区</w:t>
      </w:r>
      <w:r>
        <w:rPr>
          <w:rStyle w:val="13"/>
          <w:rFonts w:hint="eastAsia" w:ascii="仿宋" w:hAnsi="仿宋" w:eastAsia="仿宋"/>
          <w:b w:val="0"/>
          <w:sz w:val="32"/>
          <w:szCs w:val="32"/>
        </w:rPr>
        <w:t>急需解决、且需新区做出决策的事项，由</w:t>
      </w:r>
      <w:r>
        <w:rPr>
          <w:rStyle w:val="13"/>
          <w:rFonts w:hint="eastAsia" w:ascii="仿宋" w:hAnsi="仿宋" w:eastAsia="仿宋"/>
          <w:b w:val="0"/>
          <w:sz w:val="32"/>
          <w:szCs w:val="32"/>
          <w:lang w:val="en-US" w:eastAsia="zh-CN"/>
        </w:rPr>
        <w:t>资产办</w:t>
      </w:r>
      <w:r>
        <w:rPr>
          <w:rStyle w:val="13"/>
          <w:rFonts w:hint="eastAsia" w:ascii="仿宋" w:hAnsi="仿宋" w:eastAsia="仿宋"/>
          <w:b w:val="0"/>
          <w:sz w:val="32"/>
          <w:szCs w:val="32"/>
        </w:rPr>
        <w:t>同企业形成意见，报请新区上会审议。</w:t>
      </w:r>
    </w:p>
    <w:p>
      <w:pPr>
        <w:pStyle w:val="8"/>
        <w:spacing w:before="0" w:beforeAutospacing="0" w:after="0" w:afterAutospacing="0" w:line="360" w:lineRule="auto"/>
        <w:ind w:firstLine="841" w:firstLineChars="196"/>
        <w:jc w:val="both"/>
        <w:rPr>
          <w:rStyle w:val="13"/>
          <w:rFonts w:hint="eastAsia" w:ascii="仿宋" w:hAnsi="仿宋" w:eastAsia="仿宋"/>
          <w:b w:val="0"/>
          <w:sz w:val="32"/>
          <w:szCs w:val="32"/>
        </w:rPr>
      </w:pPr>
      <w:r>
        <w:rPr>
          <w:rStyle w:val="13"/>
          <w:rFonts w:hint="eastAsia" w:ascii="仿宋" w:hAnsi="仿宋" w:eastAsia="仿宋"/>
          <w:spacing w:val="54"/>
          <w:kern w:val="0"/>
          <w:sz w:val="32"/>
          <w:szCs w:val="32"/>
          <w:fitText w:val="1605" w:id="1835472996"/>
        </w:rPr>
        <w:t>第十</w:t>
      </w:r>
      <w:r>
        <w:rPr>
          <w:rStyle w:val="13"/>
          <w:rFonts w:hint="eastAsia" w:ascii="仿宋" w:hAnsi="仿宋" w:eastAsia="仿宋"/>
          <w:spacing w:val="54"/>
          <w:kern w:val="0"/>
          <w:sz w:val="32"/>
          <w:szCs w:val="32"/>
          <w:fitText w:val="1605" w:id="1835472996"/>
          <w:lang w:val="en-US" w:eastAsia="zh-CN"/>
        </w:rPr>
        <w:t>四</w:t>
      </w:r>
      <w:r>
        <w:rPr>
          <w:rStyle w:val="13"/>
          <w:rFonts w:hint="eastAsia" w:ascii="仿宋" w:hAnsi="仿宋" w:eastAsia="仿宋"/>
          <w:spacing w:val="0"/>
          <w:kern w:val="0"/>
          <w:sz w:val="32"/>
          <w:szCs w:val="32"/>
          <w:fitText w:val="1605" w:id="1835472996"/>
        </w:rPr>
        <w:t>条</w:t>
      </w:r>
      <w:r>
        <w:rPr>
          <w:rStyle w:val="13"/>
          <w:rFonts w:hint="eastAsia" w:ascii="仿宋" w:hAnsi="仿宋" w:eastAsia="仿宋"/>
          <w:sz w:val="32"/>
          <w:szCs w:val="32"/>
        </w:rPr>
        <w:t xml:space="preserve">  </w:t>
      </w:r>
      <w:r>
        <w:rPr>
          <w:rStyle w:val="13"/>
          <w:rFonts w:hint="eastAsia" w:ascii="仿宋" w:hAnsi="仿宋" w:eastAsia="仿宋"/>
          <w:b w:val="0"/>
          <w:sz w:val="32"/>
          <w:szCs w:val="32"/>
        </w:rPr>
        <w:t>新区所属各局（办）应在企业正常的生产经营活动中给予支持。</w:t>
      </w:r>
    </w:p>
    <w:p>
      <w:pPr>
        <w:pStyle w:val="8"/>
        <w:spacing w:before="0" w:beforeAutospacing="0" w:after="0" w:afterAutospacing="0" w:line="360" w:lineRule="auto"/>
        <w:ind w:firstLine="841" w:firstLineChars="196"/>
        <w:jc w:val="both"/>
        <w:rPr>
          <w:rFonts w:hint="eastAsia" w:ascii="仿宋" w:hAnsi="仿宋" w:eastAsia="仿宋"/>
          <w:bCs/>
          <w:sz w:val="32"/>
          <w:szCs w:val="32"/>
        </w:rPr>
      </w:pPr>
      <w:r>
        <w:rPr>
          <w:rStyle w:val="13"/>
          <w:rFonts w:hint="eastAsia" w:ascii="仿宋" w:hAnsi="仿宋" w:eastAsia="仿宋"/>
          <w:spacing w:val="54"/>
          <w:w w:val="100"/>
          <w:kern w:val="0"/>
          <w:sz w:val="32"/>
          <w:szCs w:val="32"/>
          <w:fitText w:val="1605" w:id="1"/>
        </w:rPr>
        <w:t>第十</w:t>
      </w:r>
      <w:r>
        <w:rPr>
          <w:rStyle w:val="13"/>
          <w:rFonts w:hint="eastAsia" w:ascii="仿宋" w:hAnsi="仿宋" w:eastAsia="仿宋"/>
          <w:spacing w:val="54"/>
          <w:w w:val="100"/>
          <w:kern w:val="0"/>
          <w:sz w:val="32"/>
          <w:szCs w:val="32"/>
          <w:fitText w:val="1605" w:id="1"/>
          <w:lang w:val="en-US" w:eastAsia="zh-CN"/>
        </w:rPr>
        <w:t>五</w:t>
      </w:r>
      <w:r>
        <w:rPr>
          <w:rStyle w:val="13"/>
          <w:rFonts w:hint="eastAsia" w:ascii="仿宋" w:hAnsi="仿宋" w:eastAsia="仿宋"/>
          <w:spacing w:val="0"/>
          <w:w w:val="100"/>
          <w:kern w:val="0"/>
          <w:sz w:val="32"/>
          <w:szCs w:val="32"/>
          <w:fitText w:val="1605" w:id="1"/>
        </w:rPr>
        <w:t>条</w:t>
      </w:r>
      <w:r>
        <w:rPr>
          <w:rStyle w:val="13"/>
          <w:rFonts w:hint="eastAsia" w:ascii="仿宋" w:hAnsi="仿宋" w:eastAsia="仿宋"/>
          <w:sz w:val="32"/>
          <w:szCs w:val="32"/>
        </w:rPr>
        <w:t xml:space="preserve">  </w:t>
      </w:r>
      <w:r>
        <w:rPr>
          <w:rFonts w:hint="eastAsia" w:ascii="仿宋" w:hAnsi="仿宋" w:eastAsia="仿宋"/>
          <w:sz w:val="32"/>
          <w:szCs w:val="32"/>
        </w:rPr>
        <w:t>本暂行办法由</w:t>
      </w:r>
      <w:r>
        <w:rPr>
          <w:rFonts w:hint="eastAsia" w:ascii="仿宋" w:hAnsi="仿宋" w:eastAsia="仿宋"/>
          <w:sz w:val="32"/>
          <w:szCs w:val="32"/>
          <w:lang w:val="en-US" w:eastAsia="zh-CN"/>
        </w:rPr>
        <w:t>资产</w:t>
      </w:r>
      <w:r>
        <w:rPr>
          <w:rFonts w:hint="eastAsia" w:ascii="仿宋" w:hAnsi="仿宋" w:eastAsia="仿宋"/>
          <w:sz w:val="32"/>
          <w:szCs w:val="32"/>
        </w:rPr>
        <w:t>负责解释。</w:t>
      </w:r>
    </w:p>
    <w:p>
      <w:pPr>
        <w:pStyle w:val="8"/>
        <w:spacing w:before="0" w:beforeAutospacing="0" w:after="0" w:afterAutospacing="0" w:line="360" w:lineRule="auto"/>
        <w:ind w:firstLine="841" w:firstLineChars="196"/>
        <w:jc w:val="both"/>
        <w:rPr>
          <w:rFonts w:hint="eastAsia" w:ascii="仿宋" w:hAnsi="仿宋" w:eastAsia="仿宋"/>
          <w:sz w:val="32"/>
          <w:szCs w:val="32"/>
        </w:rPr>
      </w:pPr>
      <w:r>
        <w:rPr>
          <w:rStyle w:val="13"/>
          <w:rFonts w:hint="eastAsia" w:ascii="仿宋" w:hAnsi="仿宋" w:eastAsia="仿宋"/>
          <w:spacing w:val="54"/>
          <w:w w:val="100"/>
          <w:kern w:val="0"/>
          <w:sz w:val="32"/>
          <w:szCs w:val="32"/>
          <w:fitText w:val="1605" w:id="2"/>
        </w:rPr>
        <w:t>第十</w:t>
      </w:r>
      <w:r>
        <w:rPr>
          <w:rStyle w:val="13"/>
          <w:rFonts w:hint="eastAsia" w:ascii="仿宋" w:hAnsi="仿宋" w:eastAsia="仿宋"/>
          <w:spacing w:val="54"/>
          <w:w w:val="100"/>
          <w:kern w:val="0"/>
          <w:sz w:val="32"/>
          <w:szCs w:val="32"/>
          <w:fitText w:val="1605" w:id="2"/>
          <w:lang w:val="en-US" w:eastAsia="zh-CN"/>
        </w:rPr>
        <w:t>六</w:t>
      </w:r>
      <w:r>
        <w:rPr>
          <w:rStyle w:val="13"/>
          <w:rFonts w:hint="eastAsia" w:ascii="仿宋" w:hAnsi="仿宋" w:eastAsia="仿宋"/>
          <w:spacing w:val="0"/>
          <w:w w:val="100"/>
          <w:kern w:val="0"/>
          <w:sz w:val="32"/>
          <w:szCs w:val="32"/>
          <w:fitText w:val="1605" w:id="2"/>
        </w:rPr>
        <w:t>条</w:t>
      </w:r>
      <w:r>
        <w:rPr>
          <w:rStyle w:val="13"/>
          <w:rFonts w:hint="eastAsia" w:ascii="仿宋" w:hAnsi="仿宋" w:eastAsia="仿宋"/>
          <w:sz w:val="32"/>
          <w:szCs w:val="32"/>
        </w:rPr>
        <w:t xml:space="preserve">  </w:t>
      </w:r>
      <w:r>
        <w:rPr>
          <w:rFonts w:hint="eastAsia" w:ascii="仿宋" w:hAnsi="仿宋" w:eastAsia="仿宋"/>
          <w:sz w:val="32"/>
          <w:szCs w:val="32"/>
        </w:rPr>
        <w:t>本办法自发布之日起施行。</w:t>
      </w:r>
    </w:p>
    <w:p>
      <w:pPr>
        <w:rPr>
          <w:rFonts w:hint="eastAsia" w:eastAsia="宋体"/>
          <w:color w:val="auto"/>
          <w:lang w:eastAsia="zh-CN"/>
        </w:rPr>
      </w:pPr>
    </w:p>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pStyle w:val="2"/>
        <w:bidi w:val="0"/>
        <w:jc w:val="center"/>
        <w:rPr>
          <w:rFonts w:hint="eastAsia" w:ascii="宋体" w:hAnsi="宋体" w:eastAsia="宋体" w:cs="宋体"/>
          <w:b/>
          <w:bCs w:val="0"/>
          <w:szCs w:val="44"/>
        </w:rPr>
      </w:pPr>
      <w:bookmarkStart w:id="292" w:name="_Toc32643"/>
      <w:r>
        <w:rPr>
          <w:rFonts w:hint="eastAsia"/>
          <w:lang w:val="en-US" w:eastAsia="zh-CN"/>
        </w:rPr>
        <w:t>15、</w:t>
      </w:r>
      <w:r>
        <w:rPr>
          <w:rFonts w:hint="eastAsia"/>
        </w:rPr>
        <w:t>集中采购管理制度</w:t>
      </w:r>
    </w:p>
    <w:p>
      <w:pPr>
        <w:spacing w:line="0" w:lineRule="atLeast"/>
        <w:ind w:firstLine="640" w:firstLineChars="200"/>
        <w:rPr>
          <w:rFonts w:hint="eastAsia" w:ascii="仿宋_GB2312" w:hAnsi="仿宋_GB2312" w:eastAsia="仿宋_GB2312" w:cs="仿宋_GB2312"/>
          <w:sz w:val="32"/>
          <w:szCs w:val="32"/>
        </w:rPr>
      </w:pP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为规范集中采购行为，提高采购工作效率，贯彻新区办“统购统发”工作要求，</w:t>
      </w:r>
      <w:r>
        <w:rPr>
          <w:rFonts w:hint="eastAsia" w:ascii="仿宋" w:hAnsi="仿宋" w:eastAsia="仿宋" w:cs="仿宋"/>
          <w:sz w:val="32"/>
          <w:szCs w:val="32"/>
          <w:lang w:eastAsia="zh-CN"/>
        </w:rPr>
        <w:t>按照</w:t>
      </w:r>
      <w:r>
        <w:rPr>
          <w:rFonts w:hint="eastAsia" w:ascii="仿宋" w:hAnsi="仿宋" w:eastAsia="仿宋" w:cs="仿宋"/>
          <w:sz w:val="32"/>
          <w:szCs w:val="32"/>
        </w:rPr>
        <w:t>《</w:t>
      </w:r>
      <w:r>
        <w:rPr>
          <w:rFonts w:hint="eastAsia" w:ascii="仿宋" w:hAnsi="仿宋" w:eastAsia="仿宋" w:cs="仿宋"/>
          <w:sz w:val="32"/>
          <w:szCs w:val="32"/>
          <w:lang w:eastAsia="zh-CN"/>
        </w:rPr>
        <w:t>中华人民共和国</w:t>
      </w:r>
      <w:r>
        <w:rPr>
          <w:rFonts w:hint="eastAsia" w:ascii="仿宋" w:hAnsi="仿宋" w:eastAsia="仿宋" w:cs="仿宋"/>
          <w:sz w:val="32"/>
          <w:szCs w:val="32"/>
        </w:rPr>
        <w:t>政府采购法》和</w:t>
      </w:r>
      <w:r>
        <w:rPr>
          <w:rFonts w:hint="eastAsia" w:ascii="仿宋" w:hAnsi="仿宋" w:eastAsia="仿宋" w:cs="仿宋"/>
          <w:sz w:val="32"/>
          <w:szCs w:val="32"/>
          <w:lang w:eastAsia="zh-CN"/>
        </w:rPr>
        <w:t>《白城市财政局关于印发白城市政府采购集中采购目录、政府采购限额标准和公开招标数额标准的通知》（白财采购〔</w:t>
      </w:r>
      <w:r>
        <w:rPr>
          <w:rFonts w:hint="eastAsia" w:ascii="仿宋" w:hAnsi="仿宋" w:eastAsia="仿宋" w:cs="仿宋"/>
          <w:sz w:val="32"/>
          <w:szCs w:val="32"/>
          <w:lang w:val="en-US" w:eastAsia="zh-CN"/>
        </w:rPr>
        <w:t>2018</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200号）</w:t>
      </w:r>
      <w:r>
        <w:rPr>
          <w:rFonts w:hint="eastAsia" w:ascii="仿宋" w:hAnsi="仿宋" w:eastAsia="仿宋" w:cs="仿宋"/>
          <w:sz w:val="32"/>
          <w:szCs w:val="32"/>
        </w:rPr>
        <w:t>的有关规定，结合新区工作实际，特制定本制度。</w:t>
      </w:r>
    </w:p>
    <w:p>
      <w:pPr>
        <w:spacing w:line="240" w:lineRule="atLeast"/>
        <w:ind w:firstLine="643" w:firstLineChars="200"/>
        <w:rPr>
          <w:rFonts w:hint="eastAsia" w:ascii="黑体" w:hAnsi="黑体" w:eastAsia="黑体" w:cs="黑体"/>
          <w:b/>
          <w:sz w:val="32"/>
          <w:szCs w:val="32"/>
        </w:rPr>
      </w:pPr>
      <w:r>
        <w:rPr>
          <w:rFonts w:hint="eastAsia" w:ascii="黑体" w:hAnsi="黑体" w:eastAsia="黑体" w:cs="黑体"/>
          <w:b/>
          <w:sz w:val="32"/>
          <w:szCs w:val="32"/>
        </w:rPr>
        <w:t>第一条 采购原则</w:t>
      </w:r>
    </w:p>
    <w:p>
      <w:pPr>
        <w:spacing w:line="240" w:lineRule="atLeast"/>
        <w:ind w:firstLine="640" w:firstLineChars="200"/>
        <w:rPr>
          <w:rFonts w:hint="eastAsia" w:ascii="仿宋_GB2312" w:hAnsi="仿宋_GB2312" w:eastAsia="仿宋_GB2312" w:cs="仿宋_GB2312"/>
          <w:sz w:val="32"/>
          <w:szCs w:val="32"/>
        </w:rPr>
      </w:pPr>
      <w:r>
        <w:rPr>
          <w:rFonts w:hint="eastAsia" w:ascii="仿宋" w:hAnsi="仿宋" w:eastAsia="仿宋" w:cs="仿宋"/>
          <w:sz w:val="32"/>
          <w:szCs w:val="32"/>
        </w:rPr>
        <w:t>就近采购，同质低价，预算管理，公开透明。</w:t>
      </w:r>
    </w:p>
    <w:p>
      <w:pPr>
        <w:spacing w:line="240" w:lineRule="atLeast"/>
        <w:ind w:firstLine="643" w:firstLineChars="200"/>
        <w:rPr>
          <w:rFonts w:hint="eastAsia" w:ascii="黑体" w:hAnsi="黑体" w:eastAsia="黑体" w:cs="黑体"/>
          <w:b/>
          <w:sz w:val="32"/>
          <w:szCs w:val="32"/>
        </w:rPr>
      </w:pPr>
      <w:r>
        <w:rPr>
          <w:rFonts w:hint="eastAsia" w:ascii="黑体" w:hAnsi="黑体" w:eastAsia="黑体" w:cs="黑体"/>
          <w:b/>
          <w:sz w:val="32"/>
          <w:szCs w:val="32"/>
        </w:rPr>
        <w:t>第二条 采购范围</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生态新区各部门使用财政性资金（含国债资金）和配套的单位自筹资金，采购政府集中采购目录内的货物、工程和服务的行为。</w:t>
      </w:r>
    </w:p>
    <w:p>
      <w:pPr>
        <w:spacing w:line="240" w:lineRule="atLeast"/>
        <w:ind w:firstLine="570"/>
        <w:rPr>
          <w:rFonts w:hint="eastAsia" w:ascii="黑体" w:hAnsi="黑体" w:eastAsia="黑体" w:cs="黑体"/>
          <w:sz w:val="32"/>
          <w:szCs w:val="32"/>
        </w:rPr>
      </w:pPr>
      <w:r>
        <w:rPr>
          <w:rFonts w:hint="eastAsia" w:ascii="黑体" w:hAnsi="黑体" w:eastAsia="黑体" w:cs="黑体"/>
          <w:b/>
          <w:sz w:val="32"/>
          <w:szCs w:val="32"/>
        </w:rPr>
        <w:t>第三条 实施主体</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新区财政局是组织实施政府集中采购目录内项目采购的执行机构，负责制定集中采购工作流程、组织实施集中采购目录内的项目采购等工作。</w:t>
      </w:r>
    </w:p>
    <w:p>
      <w:pPr>
        <w:spacing w:line="240" w:lineRule="atLeast"/>
        <w:ind w:firstLine="630" w:firstLineChars="196"/>
        <w:rPr>
          <w:rFonts w:hint="eastAsia" w:ascii="黑体" w:hAnsi="黑体" w:eastAsia="黑体" w:cs="黑体"/>
          <w:sz w:val="32"/>
          <w:szCs w:val="32"/>
        </w:rPr>
      </w:pPr>
      <w:r>
        <w:rPr>
          <w:rFonts w:hint="eastAsia" w:ascii="黑体" w:hAnsi="黑体" w:eastAsia="黑体" w:cs="黑体"/>
          <w:b/>
          <w:sz w:val="32"/>
          <w:szCs w:val="32"/>
        </w:rPr>
        <w:t>第四条 采购申报流程</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lang w:val="en-US" w:eastAsia="zh-CN"/>
        </w:rPr>
        <w:t>1、</w:t>
      </w:r>
      <w:r>
        <w:rPr>
          <w:rFonts w:hint="eastAsia" w:ascii="仿宋" w:hAnsi="仿宋" w:eastAsia="仿宋" w:cs="仿宋"/>
          <w:sz w:val="32"/>
          <w:szCs w:val="32"/>
        </w:rPr>
        <w:t>采购单位每年初按照市财政局印发的政府集中采购目录编制本年度集中采购实施计划，包括拟采购办公用品、货物、工程及服务的名称、采购预算、数量、资金来源、交货时间、技术指标和服务要求等。计划制定完成后报送新区办，经新区办会议研究确定后，由财政局列入年度采购计划。年度采购计划参数不可随意更改，如需调整应及时报新区办重新审议。</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临时增加的预算外采购项目，采购单位须向新区办提出申请，经新区办会议审议通过后，依据会议纪要或新区文件填报《政府采购申请表》，填报内容包括拟采购办公用品、货物、工程及服务的名称、采购预算价格、数量、资金来源、交货时间、技术指标和服务要求，财政局将根据采购项目的实际情况增加采购预算，确定采购方式。</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临时增加预算外的特急采购项目（指为完成紧急工作任务，来不及报新区会议审议的采购项目），采购单位报请分管领导批准后，可按流程进行采购，并在下一次新区会议予以说明情况。</w:t>
      </w:r>
    </w:p>
    <w:p>
      <w:pPr>
        <w:spacing w:line="240" w:lineRule="atLeast"/>
        <w:ind w:firstLine="645"/>
        <w:rPr>
          <w:rFonts w:hint="eastAsia" w:ascii="黑体" w:hAnsi="黑体" w:eastAsia="黑体" w:cs="黑体"/>
          <w:b/>
          <w:sz w:val="32"/>
          <w:szCs w:val="32"/>
        </w:rPr>
      </w:pPr>
      <w:r>
        <w:rPr>
          <w:rFonts w:hint="eastAsia" w:ascii="黑体" w:hAnsi="黑体" w:eastAsia="黑体" w:cs="黑体"/>
          <w:b/>
          <w:sz w:val="32"/>
          <w:szCs w:val="32"/>
        </w:rPr>
        <w:t>第五条 采购方式</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1、货物采购</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⑴单项或批量采购预算金额达到20</w:t>
      </w:r>
      <w:r>
        <w:rPr>
          <w:rFonts w:hint="eastAsia" w:ascii="仿宋" w:hAnsi="仿宋" w:eastAsia="仿宋" w:cs="仿宋"/>
          <w:sz w:val="32"/>
          <w:szCs w:val="32"/>
          <w:lang w:val="en-US" w:eastAsia="zh-CN"/>
        </w:rPr>
        <w:t>0</w:t>
      </w:r>
      <w:r>
        <w:rPr>
          <w:rFonts w:hint="eastAsia" w:ascii="仿宋" w:hAnsi="仿宋" w:eastAsia="仿宋" w:cs="仿宋"/>
          <w:sz w:val="32"/>
          <w:szCs w:val="32"/>
        </w:rPr>
        <w:t>万元以上（含20</w:t>
      </w:r>
      <w:r>
        <w:rPr>
          <w:rFonts w:hint="eastAsia" w:ascii="仿宋" w:hAnsi="仿宋" w:eastAsia="仿宋" w:cs="仿宋"/>
          <w:sz w:val="32"/>
          <w:szCs w:val="32"/>
          <w:lang w:val="en-US" w:eastAsia="zh-CN"/>
        </w:rPr>
        <w:t>0</w:t>
      </w:r>
      <w:r>
        <w:rPr>
          <w:rFonts w:hint="eastAsia" w:ascii="仿宋" w:hAnsi="仿宋" w:eastAsia="仿宋" w:cs="仿宋"/>
          <w:sz w:val="32"/>
          <w:szCs w:val="32"/>
        </w:rPr>
        <w:t>万元），采用委托招标代理机构公开招标采购。</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⑵单项或批量采购预算金额达到</w:t>
      </w:r>
      <w:r>
        <w:rPr>
          <w:rFonts w:hint="eastAsia" w:ascii="仿宋" w:hAnsi="仿宋" w:eastAsia="仿宋" w:cs="仿宋"/>
          <w:sz w:val="32"/>
          <w:szCs w:val="32"/>
          <w:lang w:val="en-US" w:eastAsia="zh-CN"/>
        </w:rPr>
        <w:t>50</w:t>
      </w:r>
      <w:r>
        <w:rPr>
          <w:rFonts w:hint="eastAsia" w:ascii="仿宋" w:hAnsi="仿宋" w:eastAsia="仿宋" w:cs="仿宋"/>
          <w:sz w:val="32"/>
          <w:szCs w:val="32"/>
        </w:rPr>
        <w:t>万元以上（含</w:t>
      </w:r>
      <w:r>
        <w:rPr>
          <w:rFonts w:hint="eastAsia" w:ascii="仿宋" w:hAnsi="仿宋" w:eastAsia="仿宋" w:cs="仿宋"/>
          <w:sz w:val="32"/>
          <w:szCs w:val="32"/>
          <w:lang w:val="en-US" w:eastAsia="zh-CN"/>
        </w:rPr>
        <w:t>50</w:t>
      </w:r>
      <w:r>
        <w:rPr>
          <w:rFonts w:hint="eastAsia" w:ascii="仿宋" w:hAnsi="仿宋" w:eastAsia="仿宋" w:cs="仿宋"/>
          <w:sz w:val="32"/>
          <w:szCs w:val="32"/>
        </w:rPr>
        <w:t>万元），</w:t>
      </w:r>
      <w:r>
        <w:rPr>
          <w:rFonts w:hint="eastAsia" w:ascii="仿宋" w:hAnsi="仿宋" w:eastAsia="仿宋" w:cs="仿宋"/>
          <w:sz w:val="32"/>
          <w:szCs w:val="32"/>
          <w:lang w:val="en-US" w:eastAsia="zh-CN"/>
        </w:rPr>
        <w:t>200万元以下</w:t>
      </w:r>
      <w:r>
        <w:rPr>
          <w:rFonts w:hint="eastAsia" w:ascii="仿宋" w:hAnsi="仿宋" w:eastAsia="仿宋" w:cs="仿宋"/>
          <w:sz w:val="32"/>
          <w:szCs w:val="32"/>
        </w:rPr>
        <w:t>由财政局委托代理机构按照“中华人民共和国财政部74号令”实施采购。</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⑶单项或批量采购预算金额</w:t>
      </w:r>
      <w:r>
        <w:rPr>
          <w:rFonts w:hint="eastAsia" w:ascii="仿宋" w:hAnsi="仿宋" w:eastAsia="仿宋" w:cs="仿宋"/>
          <w:sz w:val="32"/>
          <w:szCs w:val="32"/>
          <w:lang w:val="en-US" w:eastAsia="zh-CN"/>
        </w:rPr>
        <w:t>50</w:t>
      </w:r>
      <w:r>
        <w:rPr>
          <w:rFonts w:hint="eastAsia" w:ascii="仿宋" w:hAnsi="仿宋" w:eastAsia="仿宋" w:cs="仿宋"/>
          <w:sz w:val="32"/>
          <w:szCs w:val="32"/>
        </w:rPr>
        <w:t>万元以下，由财政局组织采购单位按照采购流程共同询价采购。</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2、工程采购</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工程是指新建、扩建、装修、拆除、修缮，以及建设工程相关的勘察、设计、施工、监理等。</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勘察、设计等前期工作及工程施工，采购方式执行《2018-2019年政府采购限额标准和公开招标数额标准》。</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建设局负责与造价咨询单位对接招标控制价（财政局、建设局每年初共同招标确定一家造价编制单位负责新区本年度的工程造价工作），财政局审核本级财政投资项目的招标控制价及工程结算。使用市财政资金的项目，招标控制价和工程结算均由财政局负责上报市财政评审中心审核。</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勘察、设计、造价、监理等咨询服务，资费标准原则不得超过国家参考标准三折，特殊情况由建设局、财政局共同提出建议报新区办会议审议。</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3、服务采购</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服务是指除货物和工程以外的政府采购对象，包括各类专业服务、信息网络开发服务、金融保险服务、运输服务以及维修与维护服务等。</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由新区办年初制定费用包干标准或另行制定管理规定，财政局监督执行。</w:t>
      </w:r>
    </w:p>
    <w:p>
      <w:pPr>
        <w:spacing w:line="240" w:lineRule="atLeast"/>
        <w:ind w:firstLine="643" w:firstLineChars="200"/>
        <w:rPr>
          <w:rFonts w:hint="eastAsia" w:ascii="黑体" w:hAnsi="黑体" w:eastAsia="黑体" w:cs="黑体"/>
          <w:b/>
          <w:sz w:val="32"/>
          <w:szCs w:val="32"/>
        </w:rPr>
      </w:pPr>
      <w:r>
        <w:rPr>
          <w:rFonts w:hint="eastAsia" w:ascii="黑体" w:hAnsi="黑体" w:eastAsia="黑体" w:cs="黑体"/>
          <w:b/>
          <w:sz w:val="32"/>
          <w:szCs w:val="32"/>
        </w:rPr>
        <w:t>第六条 合同管理</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凡使用新区财政资金签订的采购合同，签订前必须到财政局加盖合同会审专用章，按顺序经申请单位、法律顾问、财政局及分管财政领导审核签字后，报新区办公室签字盖章，合同签订后须报财政局备案。</w:t>
      </w:r>
    </w:p>
    <w:p>
      <w:pPr>
        <w:spacing w:line="240" w:lineRule="atLeast"/>
        <w:ind w:firstLine="640" w:firstLineChars="200"/>
        <w:rPr>
          <w:rFonts w:hint="eastAsia" w:ascii="仿宋_GB2312" w:hAnsi="仿宋_GB2312" w:eastAsia="仿宋_GB2312" w:cs="仿宋_GB2312"/>
          <w:sz w:val="32"/>
          <w:szCs w:val="32"/>
        </w:rPr>
      </w:pPr>
      <w:r>
        <w:rPr>
          <w:rFonts w:hint="eastAsia" w:ascii="仿宋" w:hAnsi="仿宋" w:eastAsia="仿宋" w:cs="仿宋"/>
          <w:sz w:val="32"/>
          <w:szCs w:val="32"/>
        </w:rPr>
        <w:t> 政府采购合同的必备条款包括：采购文件中规定的合同通用条款与专用条款、合同标的质量及数量、合同金额、交货（工）时间及地点、验收、资金支付、违约处理、合同附件、中标通知书等。</w:t>
      </w:r>
    </w:p>
    <w:p>
      <w:pPr>
        <w:spacing w:line="240" w:lineRule="atLeast"/>
        <w:ind w:firstLine="643" w:firstLineChars="200"/>
        <w:rPr>
          <w:rFonts w:hint="eastAsia" w:ascii="黑体" w:hAnsi="黑体" w:eastAsia="黑体" w:cs="黑体"/>
          <w:b/>
          <w:sz w:val="32"/>
          <w:szCs w:val="32"/>
        </w:rPr>
      </w:pPr>
      <w:r>
        <w:rPr>
          <w:rFonts w:hint="eastAsia" w:ascii="黑体" w:hAnsi="黑体" w:eastAsia="黑体" w:cs="黑体"/>
          <w:b/>
          <w:sz w:val="32"/>
          <w:szCs w:val="32"/>
        </w:rPr>
        <w:t>第七条  验收及管理</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采购单位和财政局根据采购合同约定的时间、地点和方式，共同负责对供应商所提供的货物、工程和服务进行验收。如在验收过程中发现货物数量、规格等与合同要求不符或有表面瑕疵时，按合同约定办理。</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货物验收合格后，由采购单位负责收取发票，财政局负责按合同约定支付款项。验收合格的货物要按规定进行管理，做好出入库登记。</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附件1：</w:t>
      </w:r>
      <w:r>
        <w:rPr>
          <w:rFonts w:hint="eastAsia" w:ascii="仿宋" w:hAnsi="仿宋" w:eastAsia="仿宋" w:cs="仿宋"/>
          <w:sz w:val="32"/>
          <w:szCs w:val="32"/>
          <w:lang w:eastAsia="zh-CN"/>
        </w:rPr>
        <w:t>白城市</w:t>
      </w:r>
      <w:r>
        <w:rPr>
          <w:rFonts w:hint="eastAsia" w:ascii="仿宋" w:hAnsi="仿宋" w:eastAsia="仿宋" w:cs="仿宋"/>
          <w:sz w:val="32"/>
          <w:szCs w:val="32"/>
        </w:rPr>
        <w:t>生态新区采购货物工作流程（</w:t>
      </w:r>
      <w:r>
        <w:rPr>
          <w:rFonts w:hint="eastAsia" w:ascii="仿宋" w:hAnsi="仿宋" w:eastAsia="仿宋" w:cs="仿宋"/>
          <w:sz w:val="32"/>
          <w:szCs w:val="32"/>
          <w:lang w:val="en-US" w:eastAsia="zh-CN"/>
        </w:rPr>
        <w:t>50</w:t>
      </w:r>
      <w:r>
        <w:rPr>
          <w:rFonts w:hint="eastAsia" w:ascii="仿宋" w:hAnsi="仿宋" w:eastAsia="仿宋" w:cs="仿宋"/>
          <w:sz w:val="32"/>
          <w:szCs w:val="32"/>
        </w:rPr>
        <w:t>万元以下）</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附件2：</w:t>
      </w:r>
      <w:r>
        <w:rPr>
          <w:rFonts w:hint="eastAsia" w:ascii="仿宋" w:hAnsi="仿宋" w:eastAsia="仿宋" w:cs="仿宋"/>
          <w:sz w:val="32"/>
          <w:szCs w:val="32"/>
          <w:lang w:eastAsia="zh-CN"/>
        </w:rPr>
        <w:t>白城市</w:t>
      </w:r>
      <w:r>
        <w:rPr>
          <w:rFonts w:hint="eastAsia" w:ascii="仿宋" w:hAnsi="仿宋" w:eastAsia="仿宋" w:cs="仿宋"/>
          <w:sz w:val="32"/>
          <w:szCs w:val="32"/>
        </w:rPr>
        <w:t>生态新区采购货物工作流程（</w:t>
      </w:r>
      <w:r>
        <w:rPr>
          <w:rFonts w:hint="eastAsia" w:ascii="仿宋" w:hAnsi="仿宋" w:eastAsia="仿宋" w:cs="仿宋"/>
          <w:sz w:val="32"/>
          <w:szCs w:val="32"/>
          <w:lang w:val="en-US" w:eastAsia="zh-CN"/>
        </w:rPr>
        <w:t>50</w:t>
      </w:r>
      <w:r>
        <w:rPr>
          <w:rFonts w:hint="eastAsia" w:ascii="仿宋" w:hAnsi="仿宋" w:eastAsia="仿宋" w:cs="仿宋"/>
          <w:sz w:val="32"/>
          <w:szCs w:val="32"/>
        </w:rPr>
        <w:t>万元-20</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p>
    <w:p>
      <w:pPr>
        <w:spacing w:line="240" w:lineRule="atLeast"/>
        <w:ind w:firstLine="640" w:firstLineChars="200"/>
        <w:rPr>
          <w:rFonts w:hint="eastAsia" w:ascii="仿宋" w:hAnsi="仿宋" w:eastAsia="仿宋" w:cs="仿宋"/>
          <w:sz w:val="32"/>
          <w:szCs w:val="32"/>
        </w:rPr>
      </w:pPr>
      <w:r>
        <w:rPr>
          <w:rFonts w:hint="eastAsia" w:ascii="仿宋" w:hAnsi="仿宋" w:eastAsia="仿宋" w:cs="仿宋"/>
          <w:sz w:val="32"/>
          <w:szCs w:val="32"/>
        </w:rPr>
        <w:t>附件3：</w:t>
      </w:r>
      <w:r>
        <w:rPr>
          <w:rFonts w:hint="eastAsia" w:ascii="仿宋" w:hAnsi="仿宋" w:eastAsia="仿宋" w:cs="仿宋"/>
          <w:sz w:val="32"/>
          <w:szCs w:val="32"/>
          <w:lang w:eastAsia="zh-CN"/>
        </w:rPr>
        <w:t>白城市</w:t>
      </w:r>
      <w:r>
        <w:rPr>
          <w:rFonts w:hint="eastAsia" w:ascii="仿宋" w:hAnsi="仿宋" w:eastAsia="仿宋" w:cs="仿宋"/>
          <w:sz w:val="32"/>
          <w:szCs w:val="32"/>
        </w:rPr>
        <w:t>生态新区采购货物工作流程（</w:t>
      </w:r>
      <w:r>
        <w:rPr>
          <w:rFonts w:hint="eastAsia" w:ascii="仿宋" w:hAnsi="仿宋" w:eastAsia="仿宋" w:cs="仿宋"/>
          <w:sz w:val="32"/>
          <w:szCs w:val="32"/>
          <w:lang w:val="en-US" w:eastAsia="zh-CN"/>
        </w:rPr>
        <w:t>200</w:t>
      </w:r>
      <w:r>
        <w:rPr>
          <w:rFonts w:hint="eastAsia" w:ascii="仿宋" w:hAnsi="仿宋" w:eastAsia="仿宋" w:cs="仿宋"/>
          <w:sz w:val="32"/>
          <w:szCs w:val="32"/>
        </w:rPr>
        <w:t>万元以上）</w:t>
      </w: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1：</w:t>
      </w:r>
    </w:p>
    <w:p>
      <w:pPr>
        <w:jc w:val="center"/>
        <w:rPr>
          <w:rFonts w:hint="eastAsia" w:ascii="宋体" w:hAnsi="宋体" w:eastAsia="宋体" w:cs="宋体"/>
          <w:b/>
          <w:bCs/>
          <w:sz w:val="44"/>
          <w:szCs w:val="44"/>
        </w:rPr>
      </w:pPr>
      <w:r>
        <w:rPr>
          <w:rFonts w:hint="eastAsia" w:ascii="宋体" w:hAnsi="宋体" w:eastAsia="宋体" w:cs="宋体"/>
          <w:b/>
          <w:bCs/>
          <w:sz w:val="44"/>
          <w:szCs w:val="44"/>
          <w:lang w:eastAsia="zh-CN"/>
        </w:rPr>
        <w:t>白城市</w:t>
      </w:r>
      <w:r>
        <w:rPr>
          <w:rFonts w:hint="eastAsia" w:ascii="宋体" w:hAnsi="宋体" w:eastAsia="宋体" w:cs="宋体"/>
          <w:b/>
          <w:bCs/>
          <w:sz w:val="44"/>
          <w:szCs w:val="44"/>
        </w:rPr>
        <w:t>生态新区采购货物工作流程</w:t>
      </w:r>
    </w:p>
    <w:p>
      <w:pPr>
        <w:jc w:val="center"/>
        <w:rPr>
          <w:rFonts w:hint="eastAsia" w:ascii="仿宋_GB2312" w:hAnsi="仿宋_GB2312" w:eastAsia="仿宋_GB2312" w:cs="仿宋_GB2312"/>
          <w:sz w:val="32"/>
          <w:szCs w:val="32"/>
        </w:rPr>
      </w:pPr>
      <w:r>
        <w:rPr>
          <w:rFonts w:hint="eastAsia" w:ascii="宋体" w:hAnsi="宋体" w:eastAsia="宋体" w:cs="宋体"/>
          <w:b/>
          <w:bCs/>
          <w:sz w:val="32"/>
          <w:szCs w:val="32"/>
        </w:rPr>
        <w:t>（</w:t>
      </w:r>
      <w:r>
        <w:rPr>
          <w:rFonts w:hint="eastAsia" w:ascii="宋体" w:hAnsi="宋体" w:cs="宋体"/>
          <w:b/>
          <w:bCs/>
          <w:sz w:val="32"/>
          <w:szCs w:val="32"/>
          <w:lang w:val="en-US" w:eastAsia="zh-CN"/>
        </w:rPr>
        <w:t>50</w:t>
      </w:r>
      <w:r>
        <w:rPr>
          <w:rFonts w:hint="eastAsia" w:ascii="宋体" w:hAnsi="宋体" w:eastAsia="宋体" w:cs="宋体"/>
          <w:b/>
          <w:bCs/>
          <w:sz w:val="32"/>
          <w:szCs w:val="32"/>
        </w:rPr>
        <w:t>万元以下）</w: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6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58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新区办会议确定各单位年度采购计划及临时追加的政府采购项目</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3472"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32" name="直接连接符 32"/>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0.8pt;height:31.2pt;width:0pt;z-index:251753472;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UHrbTAAAACAEAAA8AAAAAAAAAAQAgAAAAIgAAAGRycy9kb3ducmV2&#10;LnhtbFBLAQIUABQAAAAIAIdO4kDF4RurAQIAAOg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26"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采购单位填报《政府采购申请表》</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118" name="直接连接符 118"/>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0.8pt;height:31.2pt;width:0pt;z-index:251749376;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UHrbTAAAACAEAAA8AAAAAAAAAAQAgAAAAIgAAAGRycy9kb3ducmV2&#10;LnhtbFBLAQIUABQAAAAIAIdO4kAXPIvgAQIAAOo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44"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财政局协同采购单位共同询价确定供应商</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16" name="直接连接符 116"/>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1.6pt;height:31.2pt;width:0pt;z-index:251750400;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xRkrNQAAAAIAQAADwAAAAAAAAABACAAAAAiAAAAZHJzL2Rvd25y&#10;ZXYueG1sUEsBAhQAFAAAAAgAh07iQFz3DQ0CAgAA6gMAAA4AAAAAAAAAAQAgAAAAIwEAAGRycy9l&#10;Mm9Eb2MueG1sUEsFBgAAAAAGAAYAWQEAAJc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采购单位组织会签《供货合同》</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1424" behindDoc="0" locked="0" layoutInCell="1" allowOverlap="1">
                <wp:simplePos x="0" y="0"/>
                <wp:positionH relativeFrom="column">
                  <wp:posOffset>2628900</wp:posOffset>
                </wp:positionH>
                <wp:positionV relativeFrom="paragraph">
                  <wp:posOffset>30480</wp:posOffset>
                </wp:positionV>
                <wp:extent cx="0" cy="396240"/>
                <wp:effectExtent l="63500" t="0" r="69850" b="3810"/>
                <wp:wrapNone/>
                <wp:docPr id="107" name="直接连接符 107"/>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2.4pt;height:31.2pt;width:0pt;z-index:251751424;mso-width-relative:page;mso-height-relative:page;" filled="f" stroked="t" coordsize="21600,21600" o:gfxdata="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GMA61AAAAAgBAAAPAAAAAAAAAAEAIAAAACIAAABkcnMvZG93bnJl&#10;di54bWxQSwECFAAUAAAACACHTuJAhWFbwwECAADqAwAADgAAAAAAAAABACAAAAAjAQAAZHJzL2Uy&#10;b0RvYy54bWxQSwUGAAAAAAYABgBZAQAAlg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842"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采购单位组织验收货物、收取发票、入库登记</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2448" behindDoc="0" locked="0" layoutInCell="1" allowOverlap="1">
                <wp:simplePos x="0" y="0"/>
                <wp:positionH relativeFrom="column">
                  <wp:posOffset>2628900</wp:posOffset>
                </wp:positionH>
                <wp:positionV relativeFrom="paragraph">
                  <wp:posOffset>40640</wp:posOffset>
                </wp:positionV>
                <wp:extent cx="0" cy="396240"/>
                <wp:effectExtent l="63500" t="0" r="69850" b="3810"/>
                <wp:wrapNone/>
                <wp:docPr id="120" name="直接连接符 120"/>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3.2pt;height:31.2pt;width:0pt;z-index:251752448;mso-width-relative:page;mso-height-relative:page;" filled="f" stroked="t" coordsize="21600,21600" o:gfxdata="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yK6nTAAAACAEAAA8AAAAAAAAAAQAgAAAAIgAAAGRycy9kb3ducmV2&#10;LnhtbFBLAQIUABQAAAAIAIdO4kCwNl23AQIAAOo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70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95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财政局按合同支付款项、发票入账</w:t>
            </w:r>
          </w:p>
        </w:tc>
      </w:tr>
    </w:tbl>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p>
    <w:p>
      <w:pPr>
        <w:jc w:val="both"/>
        <w:rPr>
          <w:rFonts w:hint="eastAsia" w:ascii="仿宋_GB2312" w:hAnsi="仿宋_GB2312" w:eastAsia="仿宋_GB2312" w:cs="仿宋_GB2312"/>
          <w:sz w:val="32"/>
          <w:szCs w:val="32"/>
        </w:rPr>
      </w:pPr>
    </w:p>
    <w:p>
      <w:pPr>
        <w:jc w:val="both"/>
        <w:rPr>
          <w:rFonts w:hint="eastAsia" w:ascii="仿宋_GB2312" w:hAnsi="仿宋_GB2312" w:eastAsia="仿宋_GB2312" w:cs="仿宋_GB2312"/>
          <w:sz w:val="32"/>
          <w:szCs w:val="32"/>
        </w:rPr>
      </w:pPr>
    </w:p>
    <w:p>
      <w:pPr>
        <w:jc w:val="both"/>
        <w:rPr>
          <w:rFonts w:hint="eastAsia" w:ascii="仿宋_GB2312" w:hAnsi="仿宋_GB2312" w:eastAsia="仿宋_GB2312" w:cs="仿宋_GB2312"/>
          <w:sz w:val="32"/>
          <w:szCs w:val="32"/>
        </w:rPr>
      </w:pP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附件</w:t>
      </w:r>
      <w:r>
        <w:rPr>
          <w:rFonts w:hint="eastAsia" w:ascii="仿宋_GB2312" w:hAnsi="仿宋_GB2312" w:eastAsia="仿宋_GB2312" w:cs="仿宋_GB2312"/>
          <w:b w:val="0"/>
          <w:bCs w:val="0"/>
          <w:sz w:val="32"/>
          <w:szCs w:val="32"/>
          <w:lang w:val="en-US" w:eastAsia="zh-CN"/>
        </w:rPr>
        <w:t>2：</w:t>
      </w:r>
    </w:p>
    <w:p>
      <w:pPr>
        <w:jc w:val="center"/>
        <w:rPr>
          <w:rFonts w:hint="eastAsia" w:ascii="宋体" w:hAnsi="宋体" w:eastAsia="宋体" w:cs="宋体"/>
          <w:b/>
          <w:bCs/>
          <w:sz w:val="44"/>
          <w:szCs w:val="44"/>
        </w:rPr>
      </w:pPr>
      <w:r>
        <w:rPr>
          <w:rFonts w:hint="eastAsia" w:ascii="宋体" w:hAnsi="宋体" w:eastAsia="宋体" w:cs="宋体"/>
          <w:b/>
          <w:bCs/>
          <w:sz w:val="44"/>
          <w:szCs w:val="44"/>
          <w:lang w:eastAsia="zh-CN"/>
        </w:rPr>
        <w:t>白城市</w:t>
      </w:r>
      <w:r>
        <w:rPr>
          <w:rFonts w:hint="eastAsia" w:ascii="宋体" w:hAnsi="宋体" w:eastAsia="宋体" w:cs="宋体"/>
          <w:b/>
          <w:bCs/>
          <w:sz w:val="44"/>
          <w:szCs w:val="44"/>
        </w:rPr>
        <w:t>生态新区采购货物工作流程</w:t>
      </w:r>
    </w:p>
    <w:p>
      <w:pPr>
        <w:jc w:val="center"/>
        <w:rPr>
          <w:rFonts w:hint="eastAsia" w:ascii="仿宋_GB2312" w:hAnsi="仿宋_GB2312" w:eastAsia="仿宋_GB2312" w:cs="仿宋_GB2312"/>
          <w:sz w:val="32"/>
          <w:szCs w:val="32"/>
        </w:rPr>
      </w:pPr>
      <w:r>
        <w:rPr>
          <w:rFonts w:hint="eastAsia" w:ascii="宋体" w:hAnsi="宋体" w:eastAsia="宋体" w:cs="宋体"/>
          <w:b/>
          <w:bCs/>
          <w:sz w:val="32"/>
          <w:szCs w:val="32"/>
        </w:rPr>
        <w:t>（</w:t>
      </w:r>
      <w:r>
        <w:rPr>
          <w:rFonts w:hint="eastAsia" w:ascii="宋体" w:hAnsi="宋体" w:cs="宋体"/>
          <w:b/>
          <w:bCs/>
          <w:sz w:val="32"/>
          <w:szCs w:val="32"/>
          <w:lang w:val="en-US" w:eastAsia="zh-CN"/>
        </w:rPr>
        <w:t>50</w:t>
      </w:r>
      <w:r>
        <w:rPr>
          <w:rFonts w:hint="eastAsia" w:ascii="宋体" w:hAnsi="宋体" w:eastAsia="宋体" w:cs="宋体"/>
          <w:b/>
          <w:bCs/>
          <w:sz w:val="32"/>
          <w:szCs w:val="32"/>
        </w:rPr>
        <w:t>万元-20</w:t>
      </w:r>
      <w:r>
        <w:rPr>
          <w:rFonts w:hint="eastAsia" w:ascii="宋体" w:hAnsi="宋体" w:cs="宋体"/>
          <w:b/>
          <w:bCs/>
          <w:sz w:val="32"/>
          <w:szCs w:val="32"/>
          <w:lang w:val="en-US" w:eastAsia="zh-CN"/>
        </w:rPr>
        <w:t>0</w:t>
      </w:r>
      <w:r>
        <w:rPr>
          <w:rFonts w:hint="eastAsia" w:ascii="宋体" w:hAnsi="宋体" w:eastAsia="宋体" w:cs="宋体"/>
          <w:b/>
          <w:bCs/>
          <w:sz w:val="32"/>
          <w:szCs w:val="32"/>
        </w:rPr>
        <w:t>万元）</w: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6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58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新区办会议确定各单位年度采购计划及临时追加的政府采购项目</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9616"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35" name="直接连接符 35"/>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0.8pt;height:31.2pt;width:0pt;z-index:251759616;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UHrbTAAAACAEAAA8AAAAAAAAAAQAgAAAAIgAAAGRycy9kb3ducmV2&#10;LnhtbFBLAQIUABQAAAAIAIdO4kC2R2ujAQIAAOg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26"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财政局协同采购单位共同询价确定采购预算</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4496"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121" name="直接连接符 121"/>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0.8pt;height:31.2pt;width:0pt;z-index:251754496;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UHrbTAAAACAEAAA8AAAAAAAAAAQAgAAAAIgAAAGRycy9kb3ducmV2&#10;LnhtbFBLAQIUABQAAAAIAIdO4kCxeLUOAQIAAOo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44"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采购单位填报《政府采购申请表》</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5520"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22" name="直接连接符 122"/>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1.6pt;height:31.2pt;width:0pt;z-index:251755520;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xRkrNQAAAAIAQAADwAAAAAAAAABACAAAAAiAAAAZHJzL2Rvd25y&#10;ZXYueG1sUEsBAhQAFAAAAAgAh07iQPOs/B8CAgAA6gMAAA4AAAAAAAAAAQAgAAAAIwEAAGRycy9l&#10;Mm9Eb2MueG1sUEsFBgAAAAAGAAYAWQEAAJc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财政局委托代理机构</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6544" behindDoc="0" locked="0" layoutInCell="1" allowOverlap="1">
                <wp:simplePos x="0" y="0"/>
                <wp:positionH relativeFrom="column">
                  <wp:posOffset>2628900</wp:posOffset>
                </wp:positionH>
                <wp:positionV relativeFrom="paragraph">
                  <wp:posOffset>30480</wp:posOffset>
                </wp:positionV>
                <wp:extent cx="0" cy="396240"/>
                <wp:effectExtent l="63500" t="0" r="69850" b="3810"/>
                <wp:wrapNone/>
                <wp:docPr id="123" name="直接连接符 123"/>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2.4pt;height:31.2pt;width:0pt;z-index:251756544;mso-width-relative:page;mso-height-relative:page;" filled="f" stroked="t" coordsize="21600,21600" o:gfxdata="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xjAOtQAAAAIAQAADwAAAAAAAAABACAAAAAiAAAAZHJzL2Rvd25y&#10;ZXYueG1sUEsBAhQAFAAAAAgAh07iQPLiFKYCAgAA6gMAAA4AAAAAAAAAAQAgAAAAIwEAAGRycy9l&#10;Mm9Eb2MueG1sUEsFBgAAAAAGAAYAWQEAAJc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842"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代理机构按“财政部74号令”实施采购程序</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6784"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24" name="直接连接符 124"/>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1.6pt;height:31.2pt;width:0pt;z-index:251766784;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xRkrNQAAAAIAQAADwAAAAAAAAABACAAAAAiAAAAZHJzL2Rvd25y&#10;ZXYueG1sUEsBAhQAFAAAAAgAh07iQHcEbz0CAgAA6gMAAA4AAAAAAAAAAQAgAAAAIwEAAGRycy9l&#10;Mm9Eb2MueG1sUEsFBgAAAAAGAAYAWQEAAJc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采购单位组织会签《供货合同》</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7568" behindDoc="0" locked="0" layoutInCell="1" allowOverlap="1">
                <wp:simplePos x="0" y="0"/>
                <wp:positionH relativeFrom="column">
                  <wp:posOffset>2628900</wp:posOffset>
                </wp:positionH>
                <wp:positionV relativeFrom="paragraph">
                  <wp:posOffset>40640</wp:posOffset>
                </wp:positionV>
                <wp:extent cx="0" cy="396240"/>
                <wp:effectExtent l="63500" t="0" r="69850" b="3810"/>
                <wp:wrapNone/>
                <wp:docPr id="125" name="直接连接符 125"/>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3.2pt;height:31.2pt;width:0pt;z-index:251757568;mso-width-relative:page;mso-height-relative:page;" filled="f" stroked="t" coordsize="21600,21600" o:gfxdata="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yK6nTAAAACAEAAA8AAAAAAAAAAQAgAAAAIgAAAGRycy9kb3ducmV2&#10;LnhtbFBLAQIUABQAAAAIAIdO4kB2SoeEAQIAAOo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70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95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采购单位组织验收货物、收取发票、入库登记</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58592" behindDoc="0" locked="0" layoutInCell="1" allowOverlap="1">
                <wp:simplePos x="0" y="0"/>
                <wp:positionH relativeFrom="column">
                  <wp:posOffset>2628900</wp:posOffset>
                </wp:positionH>
                <wp:positionV relativeFrom="paragraph">
                  <wp:posOffset>50800</wp:posOffset>
                </wp:positionV>
                <wp:extent cx="0" cy="396240"/>
                <wp:effectExtent l="63500" t="0" r="69850" b="3810"/>
                <wp:wrapNone/>
                <wp:docPr id="126" name="直接连接符 126"/>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4pt;height:31.2pt;width:0pt;z-index:251758592;mso-width-relative:page;mso-height-relative:page;" filled="f" stroked="t" coordsize="21600,21600" o:gfxdata="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nzXG9QAAAAIAQAADwAAAAAAAAABACAAAAAiAAAAZHJzL2Rvd25y&#10;ZXYueG1sUEsBAhQAFAAAAAgAh07iQDSezpUCAgAA6gMAAA4AAAAAAAAAAQAgAAAAIwEAAGRycy9l&#10;Mm9Eb2MueG1sUEsFBgAAAAAGAAYAWQEAAJc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9" w:type="dxa"/>
            <w:shd w:val="clear" w:color="auto" w:fill="auto"/>
            <w:noWrap w:val="0"/>
            <w:vAlign w:val="top"/>
          </w:tcPr>
          <w:p>
            <w:pPr>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财政局按合同支付款项、发票入账</w:t>
            </w:r>
          </w:p>
        </w:tc>
      </w:tr>
    </w:tbl>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w:t>
      </w:r>
    </w:p>
    <w:p>
      <w:pPr>
        <w:jc w:val="center"/>
        <w:rPr>
          <w:rFonts w:hint="eastAsia" w:ascii="宋体" w:hAnsi="宋体" w:eastAsia="宋体" w:cs="宋体"/>
          <w:b/>
          <w:bCs/>
          <w:sz w:val="44"/>
          <w:szCs w:val="44"/>
        </w:rPr>
      </w:pPr>
      <w:r>
        <w:rPr>
          <w:rFonts w:hint="eastAsia" w:ascii="宋体" w:hAnsi="宋体" w:eastAsia="宋体" w:cs="宋体"/>
          <w:b/>
          <w:bCs/>
          <w:sz w:val="44"/>
          <w:szCs w:val="44"/>
          <w:lang w:eastAsia="zh-CN"/>
        </w:rPr>
        <w:t>白城市</w:t>
      </w:r>
      <w:r>
        <w:rPr>
          <w:rFonts w:hint="eastAsia" w:ascii="宋体" w:hAnsi="宋体" w:eastAsia="宋体" w:cs="宋体"/>
          <w:b/>
          <w:bCs/>
          <w:sz w:val="44"/>
          <w:szCs w:val="44"/>
        </w:rPr>
        <w:t>生态新区采购货物工作流程</w:t>
      </w:r>
    </w:p>
    <w:p>
      <w:pPr>
        <w:jc w:val="center"/>
        <w:rPr>
          <w:rFonts w:hint="eastAsia" w:ascii="宋体" w:hAnsi="宋体" w:eastAsia="宋体" w:cs="宋体"/>
          <w:b/>
          <w:bCs/>
          <w:sz w:val="32"/>
          <w:szCs w:val="32"/>
        </w:rPr>
      </w:pPr>
      <w:r>
        <w:rPr>
          <w:rFonts w:hint="eastAsia" w:ascii="宋体" w:hAnsi="宋体" w:eastAsia="宋体" w:cs="宋体"/>
          <w:b/>
          <w:bCs/>
          <w:sz w:val="32"/>
          <w:szCs w:val="32"/>
        </w:rPr>
        <w:t>（20</w:t>
      </w:r>
      <w:r>
        <w:rPr>
          <w:rFonts w:hint="eastAsia" w:ascii="宋体" w:hAnsi="宋体" w:cs="宋体"/>
          <w:b/>
          <w:bCs/>
          <w:sz w:val="32"/>
          <w:szCs w:val="32"/>
          <w:lang w:val="en-US" w:eastAsia="zh-CN"/>
        </w:rPr>
        <w:t>0</w:t>
      </w:r>
      <w:r>
        <w:rPr>
          <w:rFonts w:hint="eastAsia" w:ascii="宋体" w:hAnsi="宋体" w:eastAsia="宋体" w:cs="宋体"/>
          <w:b/>
          <w:bCs/>
          <w:sz w:val="32"/>
          <w:szCs w:val="32"/>
        </w:rPr>
        <w:t>万元以上）</w: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6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1158" w:hRule="atLeast"/>
          <w:tblCellSpacing w:w="20" w:type="dxa"/>
          <w:jc w:val="center"/>
        </w:trPr>
        <w:tc>
          <w:tcPr>
            <w:tcW w:w="658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新区办会议确定各单位年度采购计划及临时追加的政府采购项目</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5760" behindDoc="0" locked="0" layoutInCell="1" allowOverlap="1">
                <wp:simplePos x="0" y="0"/>
                <wp:positionH relativeFrom="column">
                  <wp:posOffset>2620010</wp:posOffset>
                </wp:positionH>
                <wp:positionV relativeFrom="paragraph">
                  <wp:posOffset>31750</wp:posOffset>
                </wp:positionV>
                <wp:extent cx="19685" cy="300990"/>
                <wp:effectExtent l="53975" t="635" r="59690" b="3175"/>
                <wp:wrapNone/>
                <wp:docPr id="127" name="直接连接符 127"/>
                <wp:cNvGraphicFramePr/>
                <a:graphic xmlns:a="http://schemas.openxmlformats.org/drawingml/2006/main">
                  <a:graphicData uri="http://schemas.microsoft.com/office/word/2010/wordprocessingShape">
                    <wps:wsp>
                      <wps:cNvCnPr/>
                      <wps:spPr>
                        <a:xfrm rot="300000">
                          <a:off x="0" y="0"/>
                          <a:ext cx="19685" cy="30099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6.3pt;margin-top:2.5pt;height:23.7pt;width:1.55pt;rotation:327680f;z-index:251765760;mso-width-relative:page;mso-height-relative:page;" filled="f" stroked="t" coordsize="21600,21600" o:gfxdata="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x0Yy3XAAAACAEAAA8AAAAAAAAAAQAgAAAA&#10;IgAAAGRycy9kb3ducmV2LnhtbFBLAQIUABQAAAAIAIdO4kDzmzETDAIAAPsDAAAOAAAAAAAAAAEA&#10;IAAAACYBAABkcnMvZTJvRG9jLnhtbFBLBQYAAAAABgAGAFkBAACk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788" w:hRule="atLeast"/>
          <w:tblCellSpacing w:w="20" w:type="dxa"/>
          <w:jc w:val="center"/>
        </w:trPr>
        <w:tc>
          <w:tcPr>
            <w:tcW w:w="684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财政局协同采购单位共同询价确定采购项目招标限价</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0640"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128" name="直接连接符 128"/>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0.8pt;height:31.2pt;width:0pt;z-index:251760640;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UHrbTAAAACAEAAA8AAAAAAAAAAQAgAAAAIgAAAGRycy9kb3ducmV2&#10;LnhtbFBLAQIUABQAAAAIAIdO4kB/VUh4AQIAAOoDAAAOAAAAAAAAAAEAIAAAACIBAABkcnMvZTJv&#10;RG9jLnhtbFBLBQYAAAAABgAGAFkBAACV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599" w:hRule="atLeast"/>
          <w:tblCellSpacing w:w="20" w:type="dxa"/>
          <w:jc w:val="center"/>
        </w:trPr>
        <w:tc>
          <w:tcPr>
            <w:tcW w:w="664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采购单位填报《政府采购申请表》</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1664" behindDoc="0" locked="0" layoutInCell="1" allowOverlap="1">
                <wp:simplePos x="0" y="0"/>
                <wp:positionH relativeFrom="column">
                  <wp:posOffset>2628900</wp:posOffset>
                </wp:positionH>
                <wp:positionV relativeFrom="paragraph">
                  <wp:posOffset>20320</wp:posOffset>
                </wp:positionV>
                <wp:extent cx="19685" cy="301625"/>
                <wp:effectExtent l="52070" t="635" r="61595" b="2540"/>
                <wp:wrapNone/>
                <wp:docPr id="129" name="直接连接符 129"/>
                <wp:cNvGraphicFramePr/>
                <a:graphic xmlns:a="http://schemas.openxmlformats.org/drawingml/2006/main">
                  <a:graphicData uri="http://schemas.microsoft.com/office/word/2010/wordprocessingShape">
                    <wps:wsp>
                      <wps:cNvCnPr/>
                      <wps:spPr>
                        <a:xfrm>
                          <a:off x="0" y="0"/>
                          <a:ext cx="19685" cy="301625"/>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1.6pt;height:23.75pt;width:1.55pt;z-index:251761664;mso-width-relative:page;mso-height-relative:page;" filled="f" stroked="t" coordsize="21600,21600" o:gfxdata="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2kBH1gAAAAgBAAAPAAAAAAAAAAEAIAAAACIAAABkcnMvZG93&#10;bnJldi54bWxQSwECFAAUAAAACACHTuJA2cHVQAICAADuAwAADgAAAAAAAAABACAAAAAlAQAAZHJz&#10;L2Uyb0RvYy54bWxQSwUGAAAAAAYABgBZAQAAm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554" w:hRule="atLeast"/>
          <w:tblCellSpacing w:w="20" w:type="dxa"/>
          <w:jc w:val="center"/>
        </w:trPr>
        <w:tc>
          <w:tcPr>
            <w:tcW w:w="672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财政局委托代理机构编制招标文件</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2688" behindDoc="0" locked="0" layoutInCell="1" allowOverlap="1">
                <wp:simplePos x="0" y="0"/>
                <wp:positionH relativeFrom="column">
                  <wp:posOffset>2628900</wp:posOffset>
                </wp:positionH>
                <wp:positionV relativeFrom="paragraph">
                  <wp:posOffset>30480</wp:posOffset>
                </wp:positionV>
                <wp:extent cx="0" cy="396240"/>
                <wp:effectExtent l="63500" t="0" r="69850" b="3810"/>
                <wp:wrapNone/>
                <wp:docPr id="131" name="直接连接符 131"/>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2.4pt;height:31.2pt;width:0pt;z-index:251762688;mso-width-relative:page;mso-height-relative:page;" filled="f" stroked="t" coordsize="21600,21600" o:gfxdata="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GMA61AAAAAgBAAAPAAAAAAAAAAEAIAAAACIAAABkcnMvZG93bnJl&#10;di54bWxQSwECFAAUAAAACACHTuJAaaALeQECAADqAwAADgAAAAAAAAABACAAAAAjAQAAZHJzL2Uy&#10;b0RvYy54bWxQSwUGAAAAAAYABgBZAQAAlg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CellSpacing w:w="20" w:type="dxa"/>
          <w:jc w:val="center"/>
        </w:trPr>
        <w:tc>
          <w:tcPr>
            <w:tcW w:w="6842"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采购单位、财政局共同审核招标文件</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7808"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32" name="直接连接符 132"/>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1.6pt;height:31.2pt;width:0pt;z-index:251767808;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xRkrNQAAAAIAQAADwAAAAAAAAABACAAAAAiAAAAZHJzL2Rvd25y&#10;ZXYueG1sUEsBAhQAFAAAAAgAh07iQCt0QmgCAgAA6gMAAA4AAAAAAAAAAQAgAAAAIwEAAGRycy9l&#10;Mm9Eb2MueG1sUEsFBgAAAAAGAAYAWQEAAJc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1163" w:hRule="atLeast"/>
          <w:tblCellSpacing w:w="20" w:type="dxa"/>
          <w:jc w:val="center"/>
        </w:trPr>
        <w:tc>
          <w:tcPr>
            <w:tcW w:w="678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代理机构组织公开招标，采购单位组织会签《供货合同》</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3712" behindDoc="0" locked="0" layoutInCell="1" allowOverlap="1">
                <wp:simplePos x="0" y="0"/>
                <wp:positionH relativeFrom="column">
                  <wp:posOffset>2628900</wp:posOffset>
                </wp:positionH>
                <wp:positionV relativeFrom="paragraph">
                  <wp:posOffset>40640</wp:posOffset>
                </wp:positionV>
                <wp:extent cx="0" cy="396240"/>
                <wp:effectExtent l="63500" t="0" r="69850" b="3810"/>
                <wp:wrapNone/>
                <wp:docPr id="133" name="直接连接符 133"/>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3.2pt;height:31.2pt;width:0pt;z-index:251763712;mso-width-relative:page;mso-height-relative:page;" filled="f" stroked="t" coordsize="21600,21600" o:gfxdata="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siup0wAAAAgBAAAPAAAAAAAAAAEAIAAAACIAAABkcnMvZG93bnJl&#10;di54bWxQSwECFAAUAAAACACHTuJAKjqq0QICAADqAwAADgAAAAAAAAABACAAAAAiAQAAZHJzL2Uy&#10;b0RvYy54bWxQSwUGAAAAAAYABgBZAQAAlg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70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950"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采购单位组织验收货物、收取发票、入库登记</w:t>
            </w:r>
          </w:p>
        </w:tc>
      </w:tr>
    </w:tbl>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764736" behindDoc="0" locked="0" layoutInCell="1" allowOverlap="1">
                <wp:simplePos x="0" y="0"/>
                <wp:positionH relativeFrom="column">
                  <wp:posOffset>2628900</wp:posOffset>
                </wp:positionH>
                <wp:positionV relativeFrom="paragraph">
                  <wp:posOffset>50800</wp:posOffset>
                </wp:positionV>
                <wp:extent cx="10795" cy="300355"/>
                <wp:effectExtent l="57150" t="0" r="65405" b="4445"/>
                <wp:wrapNone/>
                <wp:docPr id="134" name="直接连接符 134"/>
                <wp:cNvGraphicFramePr/>
                <a:graphic xmlns:a="http://schemas.openxmlformats.org/drawingml/2006/main">
                  <a:graphicData uri="http://schemas.microsoft.com/office/word/2010/wordprocessingShape">
                    <wps:wsp>
                      <wps:cNvCnPr/>
                      <wps:spPr>
                        <a:xfrm>
                          <a:off x="0" y="0"/>
                          <a:ext cx="10795" cy="300355"/>
                        </a:xfrm>
                        <a:prstGeom prst="line">
                          <a:avLst/>
                        </a:prstGeom>
                        <a:ln w="15875" cap="flat" cmpd="sng">
                          <a:solidFill>
                            <a:srgbClr val="000000"/>
                          </a:solidFill>
                          <a:prstDash val="solid"/>
                          <a:headEnd type="none" w="med" len="med"/>
                          <a:tailEnd type="triangle" w="lg" len="lg"/>
                        </a:ln>
                      </wps:spPr>
                      <wps:bodyPr upright="1"/>
                    </wps:wsp>
                  </a:graphicData>
                </a:graphic>
              </wp:anchor>
            </w:drawing>
          </mc:Choice>
          <mc:Fallback>
            <w:pict>
              <v:line id="_x0000_s1026" o:spid="_x0000_s1026" o:spt="20" style="position:absolute;left:0pt;margin-left:207pt;margin-top:4pt;height:23.65pt;width:0.85pt;z-index:251764736;mso-width-relative:page;mso-height-relative:page;" filled="f" stroked="t" coordsize="21600,21600" o:gfxdata="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ncdN1gAAAAgBAAAPAAAAAAAAAAEAIAAAACIAAABkcnMvZG93&#10;bnJldi54bWxQSwECFAAUAAAACACHTuJAccNHhQICAADuAwAADgAAAAAAAAABACAAAAAlAQAAZHJz&#10;L2Uyb0RvYy54bWxQSwUGAAAAAAYABgBZAQAAm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9" w:type="dxa"/>
            <w:shd w:val="clear" w:color="auto" w:fill="auto"/>
            <w:noWrap w:val="0"/>
            <w:vAlign w:val="top"/>
          </w:tcPr>
          <w:p>
            <w:pPr>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财政局按合同支付款项、发票入账</w:t>
            </w:r>
          </w:p>
        </w:tc>
      </w:tr>
    </w:tbl>
    <w:p>
      <w:pPr>
        <w:pStyle w:val="2"/>
        <w:bidi w:val="0"/>
        <w:rPr>
          <w:rFonts w:hint="eastAsia"/>
          <w:color w:val="auto"/>
        </w:rPr>
      </w:pPr>
      <w:r>
        <w:rPr>
          <w:rFonts w:hint="eastAsia"/>
          <w:color w:val="auto"/>
          <w:lang w:val="en-US" w:eastAsia="zh-CN"/>
        </w:rPr>
        <w:t>16、</w:t>
      </w:r>
      <w:r>
        <w:rPr>
          <w:rFonts w:hint="eastAsia"/>
          <w:color w:val="auto"/>
        </w:rPr>
        <w:t>项目核准、审批</w:t>
      </w:r>
      <w:r>
        <w:rPr>
          <w:rFonts w:hint="eastAsia"/>
          <w:color w:val="auto"/>
          <w:lang w:eastAsia="zh-CN"/>
        </w:rPr>
        <w:t>转报</w:t>
      </w:r>
      <w:r>
        <w:rPr>
          <w:rFonts w:hint="eastAsia"/>
          <w:color w:val="auto"/>
        </w:rPr>
        <w:t>工作制度</w:t>
      </w:r>
      <w:bookmarkEnd w:id="29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为进一步规范政府投资项目</w:t>
      </w:r>
      <w:r>
        <w:rPr>
          <w:rFonts w:hint="eastAsia" w:ascii="仿宋" w:hAnsi="仿宋" w:eastAsia="仿宋" w:cs="仿宋"/>
          <w:color w:val="auto"/>
          <w:sz w:val="32"/>
          <w:szCs w:val="32"/>
          <w:lang w:eastAsia="zh-CN"/>
        </w:rPr>
        <w:t>核准、</w:t>
      </w:r>
      <w:r>
        <w:rPr>
          <w:rFonts w:hint="eastAsia" w:ascii="仿宋" w:hAnsi="仿宋" w:eastAsia="仿宋" w:cs="仿宋"/>
          <w:color w:val="auto"/>
          <w:sz w:val="32"/>
          <w:szCs w:val="32"/>
        </w:rPr>
        <w:t>审批</w:t>
      </w:r>
      <w:r>
        <w:rPr>
          <w:rFonts w:hint="eastAsia" w:ascii="仿宋" w:hAnsi="仿宋" w:eastAsia="仿宋" w:cs="仿宋"/>
          <w:color w:val="auto"/>
          <w:sz w:val="32"/>
          <w:szCs w:val="32"/>
          <w:lang w:eastAsia="zh-CN"/>
        </w:rPr>
        <w:t>工作</w:t>
      </w:r>
      <w:r>
        <w:rPr>
          <w:rFonts w:hint="eastAsia" w:ascii="仿宋" w:hAnsi="仿宋" w:eastAsia="仿宋" w:cs="仿宋"/>
          <w:color w:val="auto"/>
          <w:sz w:val="32"/>
          <w:szCs w:val="32"/>
        </w:rPr>
        <w:t>，提升科学决策水平和政府投资效益，</w:t>
      </w:r>
      <w:r>
        <w:rPr>
          <w:rFonts w:hint="eastAsia" w:ascii="仿宋" w:hAnsi="仿宋" w:eastAsia="仿宋" w:cs="仿宋"/>
          <w:color w:val="auto"/>
          <w:sz w:val="32"/>
          <w:szCs w:val="32"/>
          <w:lang w:eastAsia="zh-CN"/>
        </w:rPr>
        <w:t>生态新区在没有审批权限的情况下，协助企业转报核准、</w:t>
      </w:r>
      <w:r>
        <w:rPr>
          <w:rFonts w:hint="eastAsia" w:ascii="仿宋" w:hAnsi="仿宋" w:eastAsia="仿宋" w:cs="仿宋"/>
          <w:color w:val="auto"/>
          <w:sz w:val="32"/>
          <w:szCs w:val="32"/>
        </w:rPr>
        <w:t>审批</w:t>
      </w:r>
      <w:r>
        <w:rPr>
          <w:rFonts w:hint="eastAsia" w:ascii="仿宋" w:hAnsi="仿宋" w:eastAsia="仿宋" w:cs="仿宋"/>
          <w:color w:val="auto"/>
          <w:sz w:val="32"/>
          <w:szCs w:val="32"/>
          <w:lang w:eastAsia="zh-CN"/>
        </w:rPr>
        <w:t>工作手续，特</w:t>
      </w:r>
      <w:r>
        <w:rPr>
          <w:rFonts w:hint="eastAsia" w:ascii="仿宋" w:hAnsi="仿宋" w:eastAsia="仿宋" w:cs="仿宋"/>
          <w:color w:val="auto"/>
          <w:sz w:val="32"/>
          <w:szCs w:val="32"/>
        </w:rPr>
        <w:t>制定本工作制度。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293" w:name="_Toc24579"/>
      <w:bookmarkStart w:id="294" w:name="_Toc30849"/>
      <w:bookmarkStart w:id="295" w:name="_Toc18025"/>
      <w:bookmarkStart w:id="296" w:name="_Toc23221"/>
      <w:bookmarkStart w:id="297" w:name="_Toc9628"/>
      <w:bookmarkStart w:id="298" w:name="_Toc23664"/>
      <w:bookmarkStart w:id="299" w:name="_Toc12008"/>
      <w:bookmarkStart w:id="300" w:name="_Toc23162"/>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责任单位</w:t>
      </w:r>
      <w:bookmarkEnd w:id="293"/>
      <w:bookmarkEnd w:id="294"/>
      <w:bookmarkEnd w:id="295"/>
      <w:bookmarkEnd w:id="296"/>
      <w:bookmarkEnd w:id="297"/>
      <w:bookmarkEnd w:id="298"/>
      <w:bookmarkEnd w:id="299"/>
      <w:bookmarkEnd w:id="30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生态新区项目合作服务局</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301" w:name="_Toc26192"/>
      <w:bookmarkStart w:id="302" w:name="_Toc12759"/>
      <w:bookmarkStart w:id="303" w:name="_Toc26379"/>
      <w:bookmarkStart w:id="304" w:name="_Toc32112"/>
      <w:bookmarkStart w:id="305" w:name="_Toc9796"/>
      <w:bookmarkStart w:id="306" w:name="_Toc238"/>
      <w:bookmarkStart w:id="307" w:name="_Toc19619"/>
      <w:bookmarkStart w:id="308" w:name="_Toc21050"/>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rPr>
        <w:t>审批依据</w:t>
      </w:r>
      <w:bookmarkEnd w:id="301"/>
      <w:bookmarkEnd w:id="302"/>
      <w:bookmarkEnd w:id="303"/>
      <w:bookmarkEnd w:id="304"/>
      <w:bookmarkEnd w:id="305"/>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1.《吉林省企业备案投资项目核准和备案管理办法》；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2.《吉林省政府性投资项目监督管理办法》；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 xml:space="preserve">国家、省其它相关法律、法规和政策。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仿宋_GB2312" w:hAnsi="仿宋_GB2312" w:eastAsia="仿宋_GB2312" w:cs="仿宋_GB2312"/>
          <w:color w:val="auto"/>
          <w:sz w:val="32"/>
          <w:szCs w:val="32"/>
        </w:rPr>
      </w:pPr>
      <w:bookmarkStart w:id="309" w:name="_Toc13036"/>
      <w:bookmarkStart w:id="310" w:name="_Toc26531"/>
      <w:bookmarkStart w:id="311" w:name="_Toc18037"/>
      <w:bookmarkStart w:id="312" w:name="_Toc10308"/>
      <w:bookmarkStart w:id="313" w:name="_Toc260"/>
      <w:bookmarkStart w:id="314" w:name="_Toc939"/>
      <w:bookmarkStart w:id="315" w:name="_Toc16724"/>
      <w:bookmarkStart w:id="316" w:name="_Toc9226"/>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rPr>
        <w:t>适用范围</w:t>
      </w:r>
      <w:bookmarkEnd w:id="309"/>
      <w:bookmarkEnd w:id="310"/>
      <w:bookmarkEnd w:id="311"/>
      <w:bookmarkEnd w:id="312"/>
      <w:bookmarkEnd w:id="313"/>
      <w:bookmarkEnd w:id="314"/>
      <w:bookmarkEnd w:id="315"/>
      <w:bookmarkEnd w:id="316"/>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 w:hAnsi="仿宋" w:eastAsia="仿宋" w:cs="仿宋"/>
          <w:color w:val="auto"/>
          <w:sz w:val="32"/>
          <w:szCs w:val="32"/>
          <w:lang w:val="en-US" w:eastAsia="zh-CN"/>
        </w:rPr>
        <w:t>按照省、市有关规定，在新区建设，由白城市发改委核准、审批的项目。</w:t>
      </w: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317" w:name="_Toc9786"/>
      <w:bookmarkStart w:id="318" w:name="_Toc8865"/>
      <w:bookmarkStart w:id="319" w:name="_Toc13907"/>
      <w:bookmarkStart w:id="320" w:name="_Toc19717"/>
      <w:bookmarkStart w:id="321" w:name="_Toc8514"/>
      <w:bookmarkStart w:id="322" w:name="_Toc28681"/>
      <w:bookmarkStart w:id="323" w:name="_Toc8621"/>
      <w:bookmarkStart w:id="324" w:name="_Toc18514"/>
      <w:r>
        <w:rPr>
          <w:rFonts w:hint="eastAsia" w:ascii="黑体" w:hAnsi="黑体" w:eastAsia="黑体" w:cs="黑体"/>
          <w:color w:val="auto"/>
          <w:sz w:val="32"/>
          <w:szCs w:val="32"/>
          <w:lang w:eastAsia="zh-CN"/>
        </w:rPr>
        <w:t>四、</w:t>
      </w:r>
      <w:r>
        <w:rPr>
          <w:rFonts w:hint="eastAsia" w:ascii="黑体" w:hAnsi="黑体" w:eastAsia="黑体" w:cs="黑体"/>
          <w:color w:val="auto"/>
          <w:sz w:val="32"/>
          <w:szCs w:val="32"/>
        </w:rPr>
        <w:t>申报材料</w:t>
      </w:r>
      <w:bookmarkEnd w:id="317"/>
      <w:bookmarkEnd w:id="318"/>
      <w:bookmarkEnd w:id="319"/>
      <w:bookmarkEnd w:id="320"/>
      <w:bookmarkEnd w:id="321"/>
      <w:bookmarkEnd w:id="322"/>
      <w:bookmarkEnd w:id="323"/>
      <w:bookmarkEnd w:id="32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政府投资项目实行审批制，包括审批项目建议书和可行性研究报告。除党政机关办公楼等楼堂馆所项目外，建设内容简单、投资规模较小的项目可以直接编制可行性研究报告；应报市</w:t>
      </w:r>
      <w:r>
        <w:rPr>
          <w:rFonts w:hint="eastAsia" w:ascii="仿宋" w:hAnsi="仿宋" w:cs="仿宋"/>
          <w:color w:val="auto"/>
          <w:sz w:val="32"/>
          <w:szCs w:val="32"/>
          <w:lang w:val="en-US" w:eastAsia="zh-CN"/>
        </w:rPr>
        <w:t>发改</w:t>
      </w:r>
      <w:r>
        <w:rPr>
          <w:rFonts w:hint="eastAsia" w:ascii="仿宋" w:hAnsi="仿宋" w:eastAsia="仿宋" w:cs="仿宋"/>
          <w:color w:val="auto"/>
          <w:sz w:val="32"/>
          <w:szCs w:val="32"/>
          <w:lang w:val="en-US" w:eastAsia="zh-CN"/>
        </w:rPr>
        <w:t xml:space="preserve">部门核准的地方企业投资项目，企业向本局申报，由我局转报市发改委相关部门。申报单位应对申报材料的真实性负责。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1.</w:t>
      </w:r>
      <w:r>
        <w:rPr>
          <w:rFonts w:hint="eastAsia" w:ascii="楷体_GB2312" w:hAnsi="楷体_GB2312" w:eastAsia="楷体_GB2312" w:cs="楷体_GB2312"/>
          <w:color w:val="auto"/>
          <w:sz w:val="32"/>
          <w:szCs w:val="32"/>
          <w:lang w:eastAsia="zh-CN"/>
        </w:rPr>
        <w:t>项目核准、审批要求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（1）项目法人单位报送由具备相应工程咨询资质的单位编制的《可行性研究报告》或《项目申请报告》，同时附送相应管理权限的部门出具的文件，并对所有申报材料及文件的真实性负责。</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（2）项目合作服务局出具项目核准、审批的请示文件；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cs="仿宋"/>
          <w:color w:val="auto"/>
          <w:sz w:val="32"/>
          <w:szCs w:val="32"/>
          <w:lang w:val="en-US" w:eastAsia="zh-CN"/>
        </w:rPr>
        <w:t>自然资源局提供相应审批文件</w:t>
      </w:r>
      <w:r>
        <w:rPr>
          <w:rFonts w:hint="eastAsia" w:ascii="仿宋" w:hAnsi="仿宋" w:eastAsia="仿宋" w:cs="仿宋"/>
          <w:color w:val="auto"/>
          <w:sz w:val="32"/>
          <w:szCs w:val="32"/>
          <w:lang w:val="en-US" w:eastAsia="zh-CN"/>
        </w:rPr>
        <w:t>；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 环境保护行政主管部门出具的环境影响评价审批文件；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（5）节能审查行政主管部门出具的节能审查意见；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 其他有关法律、法规规定应提交的文件；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 真实性声明；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（8）资金到位证明。</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u w:val="none"/>
        </w:rPr>
      </w:pPr>
      <w:r>
        <w:rPr>
          <w:rFonts w:hint="eastAsia" w:ascii="楷体_GB2312" w:hAnsi="楷体_GB2312" w:eastAsia="楷体_GB2312" w:cs="楷体_GB2312"/>
          <w:color w:val="auto"/>
          <w:sz w:val="32"/>
          <w:szCs w:val="32"/>
          <w:u w:val="none"/>
          <w:lang w:val="en-US" w:eastAsia="zh-CN"/>
        </w:rPr>
        <w:t>2.</w:t>
      </w:r>
      <w:r>
        <w:rPr>
          <w:rFonts w:hint="eastAsia" w:ascii="楷体_GB2312" w:hAnsi="楷体_GB2312" w:eastAsia="楷体_GB2312" w:cs="楷体_GB2312"/>
          <w:color w:val="auto"/>
          <w:sz w:val="32"/>
          <w:szCs w:val="32"/>
          <w:u w:val="none"/>
          <w:lang w:eastAsia="zh-CN"/>
        </w:rPr>
        <w:t>项目核准、审批中，</w:t>
      </w:r>
      <w:r>
        <w:rPr>
          <w:rFonts w:hint="eastAsia" w:ascii="楷体_GB2312" w:hAnsi="楷体_GB2312" w:eastAsia="楷体_GB2312" w:cs="楷体_GB2312"/>
          <w:color w:val="auto"/>
          <w:sz w:val="32"/>
          <w:szCs w:val="32"/>
          <w:u w:val="none"/>
        </w:rPr>
        <w:t>有下列情形之一的，应当按照规定重新</w:t>
      </w:r>
      <w:r>
        <w:rPr>
          <w:rFonts w:hint="eastAsia" w:ascii="楷体_GB2312" w:hAnsi="楷体_GB2312" w:eastAsia="楷体_GB2312" w:cs="楷体_GB2312"/>
          <w:color w:val="auto"/>
          <w:sz w:val="32"/>
          <w:szCs w:val="32"/>
          <w:u w:val="none"/>
          <w:lang w:eastAsia="zh-CN"/>
        </w:rPr>
        <w:t>备案或调整</w:t>
      </w:r>
      <w:r>
        <w:rPr>
          <w:rFonts w:hint="eastAsia" w:ascii="楷体_GB2312" w:hAnsi="楷体_GB2312" w:eastAsia="楷体_GB2312" w:cs="楷体_GB2312"/>
          <w:color w:val="auto"/>
          <w:sz w:val="32"/>
          <w:szCs w:val="32"/>
          <w:u w:val="none"/>
        </w:rPr>
        <w:t>可行性研究报告：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color w:val="auto"/>
          <w:sz w:val="32"/>
          <w:szCs w:val="32"/>
          <w:u w:val="none"/>
          <w:lang w:eastAsia="zh-CN"/>
        </w:rPr>
        <w:t>（</w:t>
      </w:r>
      <w:r>
        <w:rPr>
          <w:rFonts w:hint="eastAsia" w:ascii="仿宋" w:hAnsi="仿宋" w:eastAsia="仿宋" w:cs="仿宋"/>
          <w:color w:val="auto"/>
          <w:sz w:val="32"/>
          <w:szCs w:val="32"/>
          <w:lang w:val="en-US" w:eastAsia="zh-CN"/>
        </w:rPr>
        <w:t>1）项目法人单位发生变化；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（2）项目建设规模和内容发生变化；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（3）建设地点发生变化；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（4）初步设计建设规模变化幅度超过规模的５％；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（5）概算总投资额变化幅度超过估算总投资额的10%。</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325" w:name="_Toc3828"/>
      <w:bookmarkStart w:id="326" w:name="_Toc13989"/>
      <w:bookmarkStart w:id="327" w:name="_Toc11753"/>
      <w:bookmarkStart w:id="328" w:name="_Toc5494"/>
      <w:bookmarkStart w:id="329" w:name="_Toc28389"/>
      <w:bookmarkStart w:id="330" w:name="_Toc1737"/>
      <w:bookmarkStart w:id="331" w:name="_Toc3285"/>
      <w:bookmarkStart w:id="332" w:name="_Toc12555"/>
      <w:r>
        <w:rPr>
          <w:rFonts w:hint="eastAsia" w:ascii="黑体" w:hAnsi="黑体" w:eastAsia="黑体" w:cs="黑体"/>
          <w:color w:val="auto"/>
          <w:sz w:val="32"/>
          <w:szCs w:val="32"/>
          <w:lang w:eastAsia="zh-CN"/>
        </w:rPr>
        <w:t>五、</w:t>
      </w:r>
      <w:r>
        <w:rPr>
          <w:rFonts w:hint="eastAsia" w:ascii="黑体" w:hAnsi="黑体" w:eastAsia="黑体" w:cs="黑体"/>
          <w:color w:val="auto"/>
          <w:sz w:val="32"/>
          <w:szCs w:val="32"/>
        </w:rPr>
        <w:t>办理程序</w:t>
      </w:r>
      <w:bookmarkEnd w:id="325"/>
      <w:bookmarkEnd w:id="326"/>
      <w:bookmarkEnd w:id="327"/>
      <w:bookmarkEnd w:id="328"/>
      <w:bookmarkEnd w:id="329"/>
      <w:bookmarkEnd w:id="330"/>
      <w:bookmarkEnd w:id="331"/>
      <w:bookmarkEnd w:id="33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bookmarkStart w:id="333" w:name="_Toc29493"/>
      <w:r>
        <w:rPr>
          <w:rFonts w:hint="eastAsia" w:ascii="仿宋" w:hAnsi="仿宋" w:eastAsia="仿宋" w:cs="仿宋"/>
          <w:color w:val="auto"/>
          <w:sz w:val="32"/>
          <w:szCs w:val="32"/>
          <w:lang w:val="en-US" w:eastAsia="zh-CN"/>
        </w:rPr>
        <w:t>1.受理</w:t>
      </w:r>
      <w:bookmarkEnd w:id="33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新区项目合作服务局接收项目核准、审批申请及相关资料后，进行初审，并根据相关规定，分别作出以下处理：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（1）申请事项依法不需要取得核准、审批的，即时告知申请人不受理；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（2）申请事项依法不属于本局职权范围的，即时做出不予受理的决定，并告知申请人向有关行政机关申请；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（3）申请材料不齐全或者不符合法定形式，需要补正有关材料的，即时一次性告知申请人需要补正的全部内容；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（4）申请事项属于本局职权范围，申请材料齐全、符合法定形式，或者申请人按照本行政机关的要求提交全部补正申请材料的，即时受理核准、审批申请。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bookmarkStart w:id="334" w:name="_Toc26167"/>
      <w:r>
        <w:rPr>
          <w:rFonts w:hint="eastAsia" w:ascii="仿宋" w:hAnsi="仿宋" w:eastAsia="仿宋" w:cs="仿宋"/>
          <w:color w:val="auto"/>
          <w:sz w:val="32"/>
          <w:szCs w:val="32"/>
          <w:lang w:val="en-US" w:eastAsia="zh-CN"/>
        </w:rPr>
        <w:t>2.初审及转报</w:t>
      </w:r>
      <w:bookmarkEnd w:id="33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由本单位对受理的申报材料及内容是否符合法定条件和标准进行初审，向市发改委政务大厅窗口出具核准、审批请示文件并转报该项目的所有申报材料，由发改委部门相关科室进行审核。</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bookmarkStart w:id="335" w:name="_Toc5142"/>
      <w:r>
        <w:rPr>
          <w:rFonts w:hint="eastAsia" w:ascii="仿宋" w:hAnsi="仿宋" w:eastAsia="仿宋" w:cs="仿宋"/>
          <w:color w:val="auto"/>
          <w:sz w:val="32"/>
          <w:szCs w:val="32"/>
          <w:lang w:val="en-US" w:eastAsia="zh-CN"/>
        </w:rPr>
        <w:t>3.批复文件送达</w:t>
      </w:r>
      <w:bookmarkEnd w:id="335"/>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发改委部门相关科室将制作的核准、审批文件，加盖本行政机关印章后通知新区项目合作服务局，由项目局领取文件后转给项目单位。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336" w:name="_Toc13475"/>
      <w:bookmarkStart w:id="337" w:name="_Toc29655"/>
      <w:bookmarkStart w:id="338" w:name="_Toc17404"/>
      <w:bookmarkStart w:id="339" w:name="_Toc13196"/>
      <w:bookmarkStart w:id="340" w:name="_Toc1460"/>
      <w:bookmarkStart w:id="341" w:name="_Toc827"/>
      <w:bookmarkStart w:id="342" w:name="_Toc1393"/>
      <w:bookmarkStart w:id="343" w:name="_Toc32591"/>
      <w:r>
        <w:rPr>
          <w:rFonts w:hint="eastAsia" w:ascii="黑体" w:hAnsi="黑体" w:eastAsia="黑体" w:cs="黑体"/>
          <w:color w:val="auto"/>
          <w:sz w:val="32"/>
          <w:szCs w:val="32"/>
          <w:lang w:eastAsia="zh-CN"/>
        </w:rPr>
        <w:t>六、</w:t>
      </w:r>
      <w:r>
        <w:rPr>
          <w:rFonts w:hint="eastAsia" w:ascii="黑体" w:hAnsi="黑体" w:eastAsia="黑体" w:cs="黑体"/>
          <w:color w:val="auto"/>
          <w:sz w:val="32"/>
          <w:szCs w:val="32"/>
        </w:rPr>
        <w:t>办理期限</w:t>
      </w:r>
      <w:bookmarkEnd w:id="336"/>
      <w:bookmarkEnd w:id="337"/>
      <w:bookmarkEnd w:id="338"/>
      <w:bookmarkEnd w:id="339"/>
      <w:bookmarkEnd w:id="340"/>
      <w:bookmarkEnd w:id="341"/>
      <w:bookmarkEnd w:id="342"/>
      <w:bookmarkEnd w:id="34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项目申请单位提交报审材料后，经审查材料不齐全或者不符合要求的，即时一次告知申请人补齐或补正。申请人按要求准备齐全上报材料后，项目合作服务局予以正式受理。正式受理后对项目申报材料及内容进行初审，合格后立即向市发改委政务大厅窗口出具核准、审批请示文件并转报该项目的所有申报材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344" w:name="_Toc15652"/>
      <w:bookmarkStart w:id="345" w:name="_Toc13211"/>
      <w:bookmarkStart w:id="346" w:name="_Toc11010"/>
      <w:bookmarkStart w:id="347" w:name="_Toc8763"/>
      <w:bookmarkStart w:id="348" w:name="_Toc7051"/>
      <w:bookmarkStart w:id="349" w:name="_Toc5214"/>
      <w:bookmarkStart w:id="350" w:name="_Toc10001"/>
      <w:bookmarkStart w:id="351" w:name="_Toc25397"/>
      <w:r>
        <w:rPr>
          <w:rFonts w:hint="eastAsia" w:ascii="黑体" w:hAnsi="黑体" w:eastAsia="黑体" w:cs="黑体"/>
          <w:color w:val="auto"/>
          <w:sz w:val="32"/>
          <w:szCs w:val="32"/>
          <w:lang w:eastAsia="zh-CN"/>
        </w:rPr>
        <w:t>七、</w:t>
      </w:r>
      <w:r>
        <w:rPr>
          <w:rFonts w:hint="eastAsia" w:ascii="黑体" w:hAnsi="黑体" w:eastAsia="黑体" w:cs="黑体"/>
          <w:color w:val="auto"/>
          <w:sz w:val="32"/>
          <w:szCs w:val="32"/>
        </w:rPr>
        <w:t>监督检查</w:t>
      </w:r>
      <w:bookmarkEnd w:id="344"/>
      <w:bookmarkEnd w:id="345"/>
      <w:bookmarkEnd w:id="346"/>
      <w:bookmarkEnd w:id="347"/>
      <w:bookmarkEnd w:id="348"/>
      <w:bookmarkEnd w:id="349"/>
      <w:bookmarkEnd w:id="350"/>
      <w:bookmarkEnd w:id="35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 w:hAnsi="仿宋" w:eastAsia="仿宋" w:cs="仿宋"/>
          <w:color w:val="auto"/>
          <w:sz w:val="32"/>
          <w:szCs w:val="32"/>
          <w:lang w:val="en-US" w:eastAsia="zh-CN"/>
        </w:rPr>
        <w:t>在项目核准、审批转报过程中不能私自更改项目相关申报材料和内容，不能出现拖延不报、对项目单位吃、拿、卡、要等情况。要廉洁自律、秉公处理，严格遵守职业道德规范并接受相关部门的监督检查。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color w:val="auto"/>
          <w:sz w:val="32"/>
          <w:szCs w:val="32"/>
        </w:rPr>
      </w:pPr>
      <w:bookmarkStart w:id="352" w:name="_Toc22189"/>
      <w:bookmarkStart w:id="353" w:name="_Toc17570"/>
      <w:bookmarkStart w:id="354" w:name="_Toc8619"/>
      <w:bookmarkStart w:id="355" w:name="_Toc6395"/>
      <w:bookmarkStart w:id="356" w:name="_Toc5526"/>
      <w:bookmarkStart w:id="357" w:name="_Toc5590"/>
      <w:bookmarkStart w:id="358" w:name="_Toc1313"/>
      <w:bookmarkStart w:id="359" w:name="_Toc13305"/>
      <w:r>
        <w:rPr>
          <w:rFonts w:hint="eastAsia" w:ascii="黑体" w:hAnsi="黑体" w:eastAsia="黑体" w:cs="黑体"/>
          <w:color w:val="auto"/>
          <w:sz w:val="32"/>
          <w:szCs w:val="32"/>
          <w:lang w:eastAsia="zh-CN"/>
        </w:rPr>
        <w:t>八、</w:t>
      </w:r>
      <w:r>
        <w:rPr>
          <w:rFonts w:hint="eastAsia" w:ascii="黑体" w:hAnsi="黑体" w:eastAsia="黑体" w:cs="黑体"/>
          <w:color w:val="auto"/>
          <w:sz w:val="32"/>
          <w:szCs w:val="32"/>
        </w:rPr>
        <w:t>其他事项</w:t>
      </w:r>
      <w:bookmarkEnd w:id="352"/>
      <w:bookmarkEnd w:id="353"/>
      <w:bookmarkEnd w:id="354"/>
      <w:bookmarkEnd w:id="355"/>
      <w:bookmarkEnd w:id="356"/>
      <w:bookmarkEnd w:id="357"/>
      <w:bookmarkEnd w:id="358"/>
      <w:bookmarkEnd w:id="35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 w:hAnsi="仿宋" w:eastAsia="仿宋" w:cs="仿宋"/>
          <w:color w:val="auto"/>
          <w:sz w:val="32"/>
          <w:szCs w:val="32"/>
          <w:lang w:val="en-US" w:eastAsia="zh-CN"/>
        </w:rPr>
        <w:t>本制度自印发之日起执行。</w:t>
      </w: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bidi w:val="0"/>
        <w:jc w:val="center"/>
        <w:rPr>
          <w:rFonts w:hint="eastAsia"/>
          <w:b/>
          <w:bCs/>
          <w:color w:val="auto"/>
        </w:rPr>
      </w:pPr>
      <w:r>
        <w:rPr>
          <w:rFonts w:hint="eastAsia"/>
          <w:b/>
          <w:bCs/>
          <w:color w:val="auto"/>
        </w:rPr>
        <w:t>企业投资项目核准</w:t>
      </w:r>
      <w:r>
        <w:rPr>
          <w:rFonts w:hint="eastAsia"/>
          <w:b/>
          <w:bCs/>
          <w:color w:val="auto"/>
          <w:lang w:eastAsia="zh-CN"/>
        </w:rPr>
        <w:t>或</w:t>
      </w:r>
      <w:r>
        <w:rPr>
          <w:rFonts w:hint="eastAsia"/>
          <w:b/>
          <w:bCs/>
          <w:color w:val="auto"/>
        </w:rPr>
        <w:t>可研报告</w:t>
      </w:r>
    </w:p>
    <w:p>
      <w:pPr>
        <w:bidi w:val="0"/>
        <w:jc w:val="center"/>
        <w:rPr>
          <w:rFonts w:hint="eastAsia" w:ascii="黑体" w:hAnsi="黑体" w:eastAsia="黑体" w:cs="黑体"/>
          <w:color w:val="auto"/>
          <w:szCs w:val="44"/>
        </w:rPr>
      </w:pPr>
      <w:bookmarkStart w:id="360" w:name="_Toc18836"/>
      <w:r>
        <w:rPr>
          <w:rFonts w:hint="eastAsia"/>
          <w:b/>
          <w:bCs/>
          <w:color w:val="auto"/>
        </w:rPr>
        <w:t>审批</w:t>
      </w:r>
      <w:r>
        <w:rPr>
          <w:rFonts w:hint="eastAsia"/>
          <w:b/>
          <w:bCs/>
          <w:color w:val="auto"/>
          <w:lang w:eastAsia="zh-CN"/>
        </w:rPr>
        <w:t>转报</w:t>
      </w:r>
      <w:r>
        <w:rPr>
          <w:rFonts w:hint="eastAsia"/>
          <w:b/>
          <w:bCs/>
          <w:color w:val="auto"/>
        </w:rPr>
        <w:t>流程</w:t>
      </w:r>
      <w:bookmarkEnd w:id="360"/>
    </w:p>
    <w:p>
      <w:pPr>
        <w:jc w:val="left"/>
        <w:rPr>
          <w:rFonts w:hint="eastAsia" w:ascii="黑体" w:hAnsi="黑体" w:eastAsia="黑体" w:cs="黑体"/>
          <w:color w:val="auto"/>
          <w:sz w:val="44"/>
          <w:szCs w:val="44"/>
        </w:rPr>
      </w:pPr>
    </w:p>
    <w:p>
      <w:pPr>
        <w:jc w:val="left"/>
        <w:rPr>
          <w:rFonts w:hint="eastAsia" w:ascii="黑体" w:hAnsi="黑体" w:eastAsia="黑体" w:cs="黑体"/>
          <w:color w:val="auto"/>
          <w:sz w:val="28"/>
          <w:szCs w:val="28"/>
        </w:rPr>
      </w:pPr>
      <w:r>
        <w:rPr>
          <w:color w:val="auto"/>
          <w:sz w:val="28"/>
          <w:szCs w:val="28"/>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198120</wp:posOffset>
                </wp:positionV>
                <wp:extent cx="1109345" cy="476885"/>
                <wp:effectExtent l="7620" t="7620" r="26035" b="10795"/>
                <wp:wrapNone/>
                <wp:docPr id="36" name="流程图: 可选过程 36"/>
                <wp:cNvGraphicFramePr/>
                <a:graphic xmlns:a="http://schemas.openxmlformats.org/drawingml/2006/main">
                  <a:graphicData uri="http://schemas.microsoft.com/office/word/2010/wordprocessingShape">
                    <wps:wsp>
                      <wps:cNvSpPr/>
                      <wps:spPr>
                        <a:xfrm>
                          <a:off x="0" y="0"/>
                          <a:ext cx="1109345" cy="476885"/>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项目单位</w:t>
                            </w:r>
                          </w:p>
                        </w:txbxContent>
                      </wps:txbx>
                      <wps:bodyPr upright="1"/>
                    </wps:wsp>
                  </a:graphicData>
                </a:graphic>
              </wp:anchor>
            </w:drawing>
          </mc:Choice>
          <mc:Fallback>
            <w:pict>
              <v:shape id="_x0000_s1026" o:spid="_x0000_s1026" o:spt="176" type="#_x0000_t176" style="position:absolute;left:0pt;margin-left:99pt;margin-top:15.6pt;height:37.55pt;width:87.35pt;z-index:251672576;mso-width-relative:page;mso-height-relative:page;" filled="f" stroked="t" coordsize="21600,21600" o:gfxdata="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S&#10;5B3WAAAACgEAAA8AAAAAAAAAAQAgAAAAIgAAAGRycy9kb3ducmV2LnhtbFBLAQIUABQAAAAIAIdO&#10;4kAmSstiJQIAACkEAAAOAAAAAAAAAAEAIAAAACUBAABkcnMvZTJvRG9jLnhtbFBLBQYAAAAABgAG&#10;AFkBAAC8BQAAAAA=&#10;">
                <v:fill on="f" focussize="0,0"/>
                <v:stroke weight="1.25pt" color="#000000" joinstyle="miter"/>
                <v:imagedata o:title=""/>
                <o:lock v:ext="edit" aspectratio="f"/>
                <v:textbox>
                  <w:txbxContent>
                    <w:p>
                      <w:pPr>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项目单位</w:t>
                      </w:r>
                    </w:p>
                  </w:txbxContent>
                </v:textbox>
              </v:shape>
            </w:pict>
          </mc:Fallback>
        </mc:AlternateContent>
      </w:r>
    </w:p>
    <w:p>
      <w:pPr>
        <w:jc w:val="left"/>
        <w:rPr>
          <w:rFonts w:hint="eastAsia" w:ascii="黑体" w:hAnsi="黑体" w:eastAsia="黑体" w:cs="黑体"/>
          <w:color w:val="auto"/>
          <w:sz w:val="28"/>
          <w:szCs w:val="28"/>
        </w:rPr>
      </w:pPr>
      <w:r>
        <w:rPr>
          <w:rFonts w:hint="eastAsia" w:ascii="黑体" w:hAnsi="黑体" w:eastAsia="黑体" w:cs="黑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81280</wp:posOffset>
                </wp:positionV>
                <wp:extent cx="839470" cy="5715"/>
                <wp:effectExtent l="0" t="37465" r="17780" b="33020"/>
                <wp:wrapNone/>
                <wp:docPr id="39" name="直接连接符 39"/>
                <wp:cNvGraphicFramePr/>
                <a:graphic xmlns:a="http://schemas.openxmlformats.org/drawingml/2006/main">
                  <a:graphicData uri="http://schemas.microsoft.com/office/word/2010/wordprocessingShape">
                    <wps:wsp>
                      <wps:cNvCnPr/>
                      <wps:spPr>
                        <a:xfrm flipV="1">
                          <a:off x="0" y="0"/>
                          <a:ext cx="839470" cy="571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7pt;margin-top:6.4pt;height:0.45pt;width:66.1pt;z-index:251677696;mso-width-relative:page;mso-height-relative:page;" filled="f" stroked="t" coordsize="21600,21600" o:gfxdata="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H80n1wAAAAgBAAAPAAAAAAAAAAEAIAAAACIAAABk&#10;cnMvZG93bnJldi54bWxQSwECFAAUAAAACACHTuJAhnSYRgcCAAD3AwAADgAAAAAAAAABACAAAAAm&#10;AQAAZHJzL2Uyb0RvYy54bWxQSwUGAAAAAAYABgBZAQAAnwUAAAAA&#10;">
                <v:fill on="f" focussize="0,0"/>
                <v:stroke weight="1.25pt" color="#000000" joinstyle="round" endarrow="block"/>
                <v:imagedata o:title=""/>
                <o:lock v:ext="edit" aspectratio="f"/>
              </v:line>
            </w:pict>
          </mc:Fallback>
        </mc:AlternateContent>
      </w:r>
      <w:r>
        <w:rPr>
          <w:rFonts w:hint="eastAsia" w:ascii="黑体" w:hAnsi="黑体" w:eastAsia="黑体" w:cs="黑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342900</wp:posOffset>
                </wp:positionH>
                <wp:positionV relativeFrom="paragraph">
                  <wp:posOffset>80645</wp:posOffset>
                </wp:positionV>
                <wp:extent cx="635" cy="467995"/>
                <wp:effectExtent l="7620" t="0" r="10795" b="8255"/>
                <wp:wrapNone/>
                <wp:docPr id="38" name="直接连接符 38"/>
                <wp:cNvGraphicFramePr/>
                <a:graphic xmlns:a="http://schemas.openxmlformats.org/drawingml/2006/main">
                  <a:graphicData uri="http://schemas.microsoft.com/office/word/2010/wordprocessingShape">
                    <wps:wsp>
                      <wps:cNvCnPr/>
                      <wps:spPr>
                        <a:xfrm>
                          <a:off x="0" y="0"/>
                          <a:ext cx="635" cy="46799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pt;margin-top:6.35pt;height:36.85pt;width:0.05pt;z-index:251676672;mso-width-relative:page;mso-height-relative:page;" filled="f" stroked="t" coordsize="21600,21600" o:gfxdata="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BpFN1wAAAAcBAAAPAAAAAAAAAAEAIAAAACIAAABkcnMvZG93bnJldi54bWxQ&#10;SwECFAAUAAAACACHTuJAzXioU/gBAADoAwAADgAAAAAAAAABACAAAAAmAQAAZHJzL2Uyb0RvYy54&#10;bWxQSwUGAAAAAAYABgBZAQAAkAUAAAAA&#10;">
                <v:fill on="f" focussize="0,0"/>
                <v:stroke weight="1.25pt" color="#000000" joinstyle="round"/>
                <v:imagedata o:title=""/>
                <o:lock v:ext="edit" aspectratio="f"/>
              </v:line>
            </w:pict>
          </mc:Fallback>
        </mc:AlternateContent>
      </w:r>
    </w:p>
    <w:p>
      <w:pPr>
        <w:jc w:val="left"/>
        <w:rPr>
          <w:rFonts w:hint="eastAsia" w:ascii="黑体" w:hAnsi="黑体" w:eastAsia="黑体" w:cs="黑体"/>
          <w:color w:val="auto"/>
          <w:sz w:val="28"/>
          <w:szCs w:val="28"/>
        </w:rPr>
      </w:pPr>
      <w:r>
        <w:rPr>
          <w:color w:val="auto"/>
          <w:sz w:val="28"/>
          <w:szCs w:val="28"/>
        </w:rPr>
        <mc:AlternateContent>
          <mc:Choice Requires="wps">
            <w:drawing>
              <wp:anchor distT="0" distB="0" distL="114300" distR="114300" simplePos="0" relativeHeight="251669504" behindDoc="0" locked="0" layoutInCell="1" allowOverlap="1">
                <wp:simplePos x="0" y="0"/>
                <wp:positionH relativeFrom="column">
                  <wp:posOffset>3061335</wp:posOffset>
                </wp:positionH>
                <wp:positionV relativeFrom="paragraph">
                  <wp:posOffset>33655</wp:posOffset>
                </wp:positionV>
                <wp:extent cx="3018155" cy="2653030"/>
                <wp:effectExtent l="7620" t="7620" r="22225" b="25400"/>
                <wp:wrapNone/>
                <wp:docPr id="51" name="圆角矩形 51"/>
                <wp:cNvGraphicFramePr/>
                <a:graphic xmlns:a="http://schemas.openxmlformats.org/drawingml/2006/main">
                  <a:graphicData uri="http://schemas.microsoft.com/office/word/2010/wordprocessingShape">
                    <wps:wsp>
                      <wps:cNvSpPr/>
                      <wps:spPr>
                        <a:xfrm>
                          <a:off x="0" y="0"/>
                          <a:ext cx="3018155" cy="2653030"/>
                        </a:xfrm>
                        <a:prstGeom prst="roundRect">
                          <a:avLst>
                            <a:gd name="adj" fmla="val 16667"/>
                          </a:avLst>
                        </a:prstGeom>
                        <a:noFill/>
                        <a:ln w="15875" cap="flat" cmpd="sng">
                          <a:solidFill>
                            <a:srgbClr val="000000"/>
                          </a:solidFill>
                          <a:prstDash val="solid"/>
                          <a:headEnd type="none" w="med" len="med"/>
                          <a:tailEnd type="none" w="med" len="med"/>
                        </a:ln>
                      </wps:spPr>
                      <wps:txbx>
                        <w:txbxContent>
                          <w:p>
                            <w:pPr>
                              <w:spacing w:line="200" w:lineRule="exact"/>
                              <w:ind w:firstLine="360" w:firstLineChars="20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项目法人单位报送由具备相应工程咨询资质的单位编制的《项目申请报告》</w:t>
                            </w:r>
                            <w:r>
                              <w:rPr>
                                <w:rFonts w:hint="eastAsia" w:ascii="仿宋_GB2312" w:hAnsi="仿宋_GB2312" w:eastAsia="仿宋_GB2312" w:cs="仿宋_GB2312"/>
                                <w:sz w:val="18"/>
                                <w:szCs w:val="18"/>
                                <w:lang w:eastAsia="zh-CN"/>
                              </w:rPr>
                              <w:t>或《可行性研究报告》</w:t>
                            </w:r>
                            <w:r>
                              <w:rPr>
                                <w:rFonts w:hint="eastAsia" w:ascii="仿宋_GB2312" w:hAnsi="仿宋_GB2312" w:eastAsia="仿宋_GB2312" w:cs="仿宋_GB2312"/>
                                <w:sz w:val="18"/>
                                <w:szCs w:val="18"/>
                              </w:rPr>
                              <w:t>，同时附送相应管理权限的部门出具的文件，并对所有申报材料及文件的真实性负责。</w:t>
                            </w:r>
                          </w:p>
                          <w:p>
                            <w:pPr>
                              <w:spacing w:line="200" w:lineRule="exact"/>
                              <w:ind w:firstLine="360" w:firstLineChars="20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（一）项目局出具项目核准</w:t>
                            </w:r>
                            <w:r>
                              <w:rPr>
                                <w:rFonts w:hint="eastAsia" w:ascii="仿宋_GB2312" w:hAnsi="仿宋_GB2312" w:eastAsia="仿宋_GB2312" w:cs="仿宋_GB2312"/>
                                <w:sz w:val="18"/>
                                <w:szCs w:val="18"/>
                                <w:lang w:eastAsia="zh-CN"/>
                              </w:rPr>
                              <w:t>、审批</w:t>
                            </w:r>
                            <w:r>
                              <w:rPr>
                                <w:rFonts w:hint="eastAsia" w:ascii="仿宋_GB2312" w:hAnsi="仿宋_GB2312" w:eastAsia="仿宋_GB2312" w:cs="仿宋_GB2312"/>
                                <w:sz w:val="18"/>
                                <w:szCs w:val="18"/>
                              </w:rPr>
                              <w:t>的请示文件； </w:t>
                            </w:r>
                          </w:p>
                          <w:p>
                            <w:pPr>
                              <w:spacing w:line="200" w:lineRule="exact"/>
                              <w:ind w:firstLine="360"/>
                              <w:jc w:val="left"/>
                              <w:rPr>
                                <w:rFonts w:hint="eastAsia" w:ascii="宋体" w:hAnsi="宋体" w:cs="宋体"/>
                                <w:sz w:val="18"/>
                                <w:szCs w:val="18"/>
                              </w:rPr>
                            </w:pPr>
                            <w:r>
                              <w:rPr>
                                <w:rFonts w:hint="eastAsia" w:ascii="仿宋_GB2312" w:hAnsi="仿宋_GB2312" w:eastAsia="仿宋_GB2312" w:cs="仿宋_GB2312"/>
                                <w:sz w:val="18"/>
                                <w:szCs w:val="18"/>
                              </w:rPr>
                              <w:t>（二）</w:t>
                            </w:r>
                            <w:r>
                              <w:rPr>
                                <w:rFonts w:hint="eastAsia" w:ascii="仿宋_GB2312" w:hAnsi="仿宋_GB2312" w:eastAsia="仿宋_GB2312" w:cs="仿宋_GB2312"/>
                                <w:sz w:val="18"/>
                                <w:szCs w:val="18"/>
                                <w:lang w:val="en-US" w:eastAsia="zh-CN"/>
                              </w:rPr>
                              <w:t>自然资源局提供相应审批文件；</w:t>
                            </w:r>
                            <w:r>
                              <w:rPr>
                                <w:rFonts w:hint="eastAsia" w:ascii="宋体" w:hAnsi="宋体" w:cs="宋体"/>
                                <w:sz w:val="18"/>
                                <w:szCs w:val="18"/>
                              </w:rPr>
                              <w:t> </w:t>
                            </w:r>
                          </w:p>
                          <w:p>
                            <w:pPr>
                              <w:spacing w:line="200" w:lineRule="exact"/>
                              <w:ind w:firstLine="36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（三）环境保护行政主管部门出具的环境影响评价审批文件；</w:t>
                            </w:r>
                            <w:r>
                              <w:rPr>
                                <w:rFonts w:hint="eastAsia" w:ascii="宋体" w:hAnsi="宋体" w:cs="宋体"/>
                                <w:sz w:val="18"/>
                                <w:szCs w:val="18"/>
                              </w:rPr>
                              <w:t> </w:t>
                            </w:r>
                          </w:p>
                          <w:p>
                            <w:pPr>
                              <w:spacing w:line="200" w:lineRule="exact"/>
                              <w:ind w:firstLine="36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（四）节能审查行政主管部门出具的节能审查意见；</w:t>
                            </w:r>
                            <w:r>
                              <w:rPr>
                                <w:rFonts w:hint="eastAsia" w:ascii="宋体" w:hAnsi="宋体" w:cs="宋体"/>
                                <w:sz w:val="18"/>
                                <w:szCs w:val="18"/>
                              </w:rPr>
                              <w:t> </w:t>
                            </w:r>
                          </w:p>
                          <w:p>
                            <w:pPr>
                              <w:pStyle w:val="8"/>
                              <w:shd w:val="clear" w:color="auto" w:fill="FFFFFF"/>
                              <w:spacing w:before="0" w:beforeAutospacing="0" w:after="0" w:afterAutospacing="0" w:line="200" w:lineRule="exact"/>
                              <w:ind w:firstLine="360" w:firstLineChars="200"/>
                              <w:rPr>
                                <w:rFonts w:hint="eastAsia"/>
                                <w:sz w:val="18"/>
                                <w:szCs w:val="18"/>
                              </w:rPr>
                            </w:pPr>
                            <w:r>
                              <w:rPr>
                                <w:rFonts w:hint="eastAsia" w:ascii="仿宋_GB2312" w:hAnsi="仿宋_GB2312" w:eastAsia="仿宋_GB2312" w:cs="仿宋_GB2312"/>
                                <w:sz w:val="18"/>
                                <w:szCs w:val="18"/>
                              </w:rPr>
                              <w:t>（五）其他有关法律、法规规定应提交的文件</w:t>
                            </w:r>
                            <w:r>
                              <w:rPr>
                                <w:rFonts w:hint="eastAsia" w:ascii="仿宋_GB2312" w:hAnsi="仿宋_GB2312" w:eastAsia="仿宋_GB2312" w:cs="仿宋_GB2312"/>
                                <w:sz w:val="18"/>
                                <w:szCs w:val="18"/>
                                <w:lang w:eastAsia="zh-CN"/>
                              </w:rPr>
                              <w:t>；</w:t>
                            </w:r>
                            <w:r>
                              <w:rPr>
                                <w:rFonts w:hint="eastAsia"/>
                                <w:sz w:val="18"/>
                                <w:szCs w:val="18"/>
                              </w:rPr>
                              <w:t> </w:t>
                            </w:r>
                          </w:p>
                          <w:p>
                            <w:pPr>
                              <w:spacing w:line="200" w:lineRule="exact"/>
                              <w:ind w:firstLine="360"/>
                              <w:jc w:val="left"/>
                              <w:rPr>
                                <w:rFonts w:hint="eastAsia" w:ascii="仿宋_GB2312" w:hAnsi="仿宋_GB2312" w:eastAsia="仿宋_GB2312" w:cs="仿宋_GB2312"/>
                                <w:sz w:val="18"/>
                                <w:szCs w:val="18"/>
                              </w:rPr>
                            </w:pPr>
                          </w:p>
                          <w:p>
                            <w:pPr>
                              <w:pStyle w:val="8"/>
                              <w:shd w:val="clear" w:color="auto" w:fill="FFFFFF"/>
                              <w:spacing w:before="0" w:beforeAutospacing="0" w:after="0" w:afterAutospacing="0" w:line="200" w:lineRule="exact"/>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eastAsia="zh-CN"/>
                              </w:rPr>
                              <w:t>六</w:t>
                            </w:r>
                            <w:r>
                              <w:rPr>
                                <w:rFonts w:hint="eastAsia" w:ascii="仿宋_GB2312" w:hAnsi="仿宋_GB2312" w:eastAsia="仿宋_GB2312" w:cs="仿宋_GB2312"/>
                                <w:sz w:val="18"/>
                                <w:szCs w:val="18"/>
                              </w:rPr>
                              <w:t>）</w:t>
                            </w:r>
                            <w:r>
                              <w:rPr>
                                <w:rFonts w:hint="eastAsia" w:ascii="仿宋_GB2312" w:hAnsi="仿宋_GB2312" w:eastAsia="仿宋_GB2312" w:cs="仿宋_GB2312"/>
                                <w:kern w:val="2"/>
                                <w:sz w:val="18"/>
                                <w:szCs w:val="18"/>
                              </w:rPr>
                              <w:t>真实性声明</w:t>
                            </w:r>
                            <w:r>
                              <w:rPr>
                                <w:rFonts w:hint="eastAsia" w:ascii="仿宋_GB2312" w:hAnsi="仿宋_GB2312" w:eastAsia="仿宋_GB2312" w:cs="仿宋_GB2312"/>
                                <w:kern w:val="2"/>
                                <w:sz w:val="18"/>
                                <w:szCs w:val="18"/>
                                <w:lang w:eastAsia="zh-CN"/>
                              </w:rPr>
                              <w:t>；</w:t>
                            </w:r>
                          </w:p>
                          <w:p>
                            <w:pPr>
                              <w:pStyle w:val="8"/>
                              <w:shd w:val="clear" w:color="auto" w:fill="FFFFFF"/>
                              <w:spacing w:before="0" w:beforeAutospacing="0" w:after="0" w:afterAutospacing="0" w:line="200" w:lineRule="exact"/>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kern w:val="2"/>
                                <w:sz w:val="18"/>
                                <w:szCs w:val="18"/>
                              </w:rPr>
                              <w:t>（</w:t>
                            </w:r>
                            <w:r>
                              <w:rPr>
                                <w:rFonts w:hint="eastAsia" w:ascii="仿宋_GB2312" w:hAnsi="仿宋_GB2312" w:eastAsia="仿宋_GB2312" w:cs="仿宋_GB2312"/>
                                <w:kern w:val="2"/>
                                <w:sz w:val="18"/>
                                <w:szCs w:val="18"/>
                                <w:lang w:val="en-US" w:eastAsia="zh-CN"/>
                              </w:rPr>
                              <w:t>七</w:t>
                            </w:r>
                            <w:r>
                              <w:rPr>
                                <w:rFonts w:hint="eastAsia" w:ascii="仿宋_GB2312" w:hAnsi="仿宋_GB2312" w:eastAsia="仿宋_GB2312" w:cs="仿宋_GB2312"/>
                                <w:kern w:val="2"/>
                                <w:sz w:val="18"/>
                                <w:szCs w:val="18"/>
                              </w:rPr>
                              <w:t>）</w:t>
                            </w:r>
                            <w:r>
                              <w:rPr>
                                <w:rFonts w:hint="eastAsia" w:ascii="仿宋_GB2312" w:hAnsi="仿宋_GB2312" w:eastAsia="仿宋_GB2312" w:cs="仿宋_GB2312"/>
                                <w:sz w:val="18"/>
                                <w:szCs w:val="18"/>
                              </w:rPr>
                              <w:t>资金到位证明</w:t>
                            </w:r>
                            <w:r>
                              <w:rPr>
                                <w:rFonts w:hint="eastAsia" w:ascii="仿宋_GB2312" w:hAnsi="仿宋_GB2312" w:eastAsia="仿宋_GB2312" w:cs="仿宋_GB2312"/>
                                <w:sz w:val="18"/>
                                <w:szCs w:val="18"/>
                                <w:lang w:eastAsia="zh-CN"/>
                              </w:rPr>
                              <w:t>。</w:t>
                            </w:r>
                          </w:p>
                        </w:txbxContent>
                      </wps:txbx>
                      <wps:bodyPr upright="1"/>
                    </wps:wsp>
                  </a:graphicData>
                </a:graphic>
              </wp:anchor>
            </w:drawing>
          </mc:Choice>
          <mc:Fallback>
            <w:pict>
              <v:roundrect id="_x0000_s1026" o:spid="_x0000_s1026" o:spt="2" style="position:absolute;left:0pt;margin-left:241.05pt;margin-top:2.65pt;height:208.9pt;width:237.65pt;z-index:251669504;mso-width-relative:page;mso-height-relative:page;" filled="f" stroked="t" coordsize="21600,21600" arcsize="0.166666666666667" o:gfxdata="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LiwdcA&#10;AAAJAQAADwAAAAAAAAABACAAAAAiAAAAZHJzL2Rvd25yZXYueG1sUEsBAhQAFAAAAAgAh07iQFPA&#10;0uMgAgAAMQQAAA4AAAAAAAAAAQAgAAAAJgEAAGRycy9lMm9Eb2MueG1sUEsFBgAAAAAGAAYAWQEA&#10;ALgFAAAAAA==&#10;">
                <v:fill on="f" focussize="0,0"/>
                <v:stroke weight="1.25pt" color="#000000" joinstyle="round"/>
                <v:imagedata o:title=""/>
                <o:lock v:ext="edit" aspectratio="f"/>
                <v:textbox>
                  <w:txbxContent>
                    <w:p>
                      <w:pPr>
                        <w:spacing w:line="200" w:lineRule="exact"/>
                        <w:ind w:firstLine="360" w:firstLineChars="20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项目法人单位报送由具备相应工程咨询资质的单位编制的《项目申请报告》</w:t>
                      </w:r>
                      <w:r>
                        <w:rPr>
                          <w:rFonts w:hint="eastAsia" w:ascii="仿宋_GB2312" w:hAnsi="仿宋_GB2312" w:eastAsia="仿宋_GB2312" w:cs="仿宋_GB2312"/>
                          <w:sz w:val="18"/>
                          <w:szCs w:val="18"/>
                          <w:lang w:eastAsia="zh-CN"/>
                        </w:rPr>
                        <w:t>或《可行性研究报告》</w:t>
                      </w:r>
                      <w:r>
                        <w:rPr>
                          <w:rFonts w:hint="eastAsia" w:ascii="仿宋_GB2312" w:hAnsi="仿宋_GB2312" w:eastAsia="仿宋_GB2312" w:cs="仿宋_GB2312"/>
                          <w:sz w:val="18"/>
                          <w:szCs w:val="18"/>
                        </w:rPr>
                        <w:t>，同时附送相应管理权限的部门出具的文件，并对所有申报材料及文件的真实性负责。</w:t>
                      </w:r>
                    </w:p>
                    <w:p>
                      <w:pPr>
                        <w:spacing w:line="200" w:lineRule="exact"/>
                        <w:ind w:firstLine="360" w:firstLineChars="20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（一）项目局出具项目核准</w:t>
                      </w:r>
                      <w:r>
                        <w:rPr>
                          <w:rFonts w:hint="eastAsia" w:ascii="仿宋_GB2312" w:hAnsi="仿宋_GB2312" w:eastAsia="仿宋_GB2312" w:cs="仿宋_GB2312"/>
                          <w:sz w:val="18"/>
                          <w:szCs w:val="18"/>
                          <w:lang w:eastAsia="zh-CN"/>
                        </w:rPr>
                        <w:t>、审批</w:t>
                      </w:r>
                      <w:r>
                        <w:rPr>
                          <w:rFonts w:hint="eastAsia" w:ascii="仿宋_GB2312" w:hAnsi="仿宋_GB2312" w:eastAsia="仿宋_GB2312" w:cs="仿宋_GB2312"/>
                          <w:sz w:val="18"/>
                          <w:szCs w:val="18"/>
                        </w:rPr>
                        <w:t>的请示文件； </w:t>
                      </w:r>
                    </w:p>
                    <w:p>
                      <w:pPr>
                        <w:spacing w:line="200" w:lineRule="exact"/>
                        <w:ind w:firstLine="360"/>
                        <w:jc w:val="left"/>
                        <w:rPr>
                          <w:rFonts w:hint="eastAsia" w:ascii="宋体" w:hAnsi="宋体" w:cs="宋体"/>
                          <w:sz w:val="18"/>
                          <w:szCs w:val="18"/>
                        </w:rPr>
                      </w:pPr>
                      <w:r>
                        <w:rPr>
                          <w:rFonts w:hint="eastAsia" w:ascii="仿宋_GB2312" w:hAnsi="仿宋_GB2312" w:eastAsia="仿宋_GB2312" w:cs="仿宋_GB2312"/>
                          <w:sz w:val="18"/>
                          <w:szCs w:val="18"/>
                        </w:rPr>
                        <w:t>（二）</w:t>
                      </w:r>
                      <w:r>
                        <w:rPr>
                          <w:rFonts w:hint="eastAsia" w:ascii="仿宋_GB2312" w:hAnsi="仿宋_GB2312" w:eastAsia="仿宋_GB2312" w:cs="仿宋_GB2312"/>
                          <w:sz w:val="18"/>
                          <w:szCs w:val="18"/>
                          <w:lang w:val="en-US" w:eastAsia="zh-CN"/>
                        </w:rPr>
                        <w:t>自然资源局提供相应审批文件；</w:t>
                      </w:r>
                      <w:r>
                        <w:rPr>
                          <w:rFonts w:hint="eastAsia" w:ascii="宋体" w:hAnsi="宋体" w:cs="宋体"/>
                          <w:sz w:val="18"/>
                          <w:szCs w:val="18"/>
                        </w:rPr>
                        <w:t> </w:t>
                      </w:r>
                    </w:p>
                    <w:p>
                      <w:pPr>
                        <w:spacing w:line="200" w:lineRule="exact"/>
                        <w:ind w:firstLine="36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（三）环境保护行政主管部门出具的环境影响评价审批文件；</w:t>
                      </w:r>
                      <w:r>
                        <w:rPr>
                          <w:rFonts w:hint="eastAsia" w:ascii="宋体" w:hAnsi="宋体" w:cs="宋体"/>
                          <w:sz w:val="18"/>
                          <w:szCs w:val="18"/>
                        </w:rPr>
                        <w:t> </w:t>
                      </w:r>
                    </w:p>
                    <w:p>
                      <w:pPr>
                        <w:spacing w:line="200" w:lineRule="exact"/>
                        <w:ind w:firstLine="36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（四）节能审查行政主管部门出具的节能审查意见；</w:t>
                      </w:r>
                      <w:r>
                        <w:rPr>
                          <w:rFonts w:hint="eastAsia" w:ascii="宋体" w:hAnsi="宋体" w:cs="宋体"/>
                          <w:sz w:val="18"/>
                          <w:szCs w:val="18"/>
                        </w:rPr>
                        <w:t> </w:t>
                      </w:r>
                    </w:p>
                    <w:p>
                      <w:pPr>
                        <w:pStyle w:val="8"/>
                        <w:shd w:val="clear" w:color="auto" w:fill="FFFFFF"/>
                        <w:spacing w:before="0" w:beforeAutospacing="0" w:after="0" w:afterAutospacing="0" w:line="200" w:lineRule="exact"/>
                        <w:ind w:firstLine="360" w:firstLineChars="200"/>
                        <w:rPr>
                          <w:rFonts w:hint="eastAsia"/>
                          <w:sz w:val="18"/>
                          <w:szCs w:val="18"/>
                        </w:rPr>
                      </w:pPr>
                      <w:r>
                        <w:rPr>
                          <w:rFonts w:hint="eastAsia" w:ascii="仿宋_GB2312" w:hAnsi="仿宋_GB2312" w:eastAsia="仿宋_GB2312" w:cs="仿宋_GB2312"/>
                          <w:sz w:val="18"/>
                          <w:szCs w:val="18"/>
                        </w:rPr>
                        <w:t>（五）其他有关法律、法规规定应提交的文件</w:t>
                      </w:r>
                      <w:r>
                        <w:rPr>
                          <w:rFonts w:hint="eastAsia" w:ascii="仿宋_GB2312" w:hAnsi="仿宋_GB2312" w:eastAsia="仿宋_GB2312" w:cs="仿宋_GB2312"/>
                          <w:sz w:val="18"/>
                          <w:szCs w:val="18"/>
                          <w:lang w:eastAsia="zh-CN"/>
                        </w:rPr>
                        <w:t>；</w:t>
                      </w:r>
                      <w:r>
                        <w:rPr>
                          <w:rFonts w:hint="eastAsia"/>
                          <w:sz w:val="18"/>
                          <w:szCs w:val="18"/>
                        </w:rPr>
                        <w:t> </w:t>
                      </w:r>
                    </w:p>
                    <w:p>
                      <w:pPr>
                        <w:spacing w:line="200" w:lineRule="exact"/>
                        <w:ind w:firstLine="360"/>
                        <w:jc w:val="left"/>
                        <w:rPr>
                          <w:rFonts w:hint="eastAsia" w:ascii="仿宋_GB2312" w:hAnsi="仿宋_GB2312" w:eastAsia="仿宋_GB2312" w:cs="仿宋_GB2312"/>
                          <w:sz w:val="18"/>
                          <w:szCs w:val="18"/>
                        </w:rPr>
                      </w:pPr>
                    </w:p>
                    <w:p>
                      <w:pPr>
                        <w:pStyle w:val="8"/>
                        <w:shd w:val="clear" w:color="auto" w:fill="FFFFFF"/>
                        <w:spacing w:before="0" w:beforeAutospacing="0" w:after="0" w:afterAutospacing="0" w:line="200" w:lineRule="exact"/>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w:t>
                      </w:r>
                      <w:r>
                        <w:rPr>
                          <w:rFonts w:hint="eastAsia" w:ascii="仿宋_GB2312" w:hAnsi="仿宋_GB2312" w:eastAsia="仿宋_GB2312" w:cs="仿宋_GB2312"/>
                          <w:sz w:val="18"/>
                          <w:szCs w:val="18"/>
                          <w:lang w:eastAsia="zh-CN"/>
                        </w:rPr>
                        <w:t>六</w:t>
                      </w:r>
                      <w:r>
                        <w:rPr>
                          <w:rFonts w:hint="eastAsia" w:ascii="仿宋_GB2312" w:hAnsi="仿宋_GB2312" w:eastAsia="仿宋_GB2312" w:cs="仿宋_GB2312"/>
                          <w:sz w:val="18"/>
                          <w:szCs w:val="18"/>
                        </w:rPr>
                        <w:t>）</w:t>
                      </w:r>
                      <w:r>
                        <w:rPr>
                          <w:rFonts w:hint="eastAsia" w:ascii="仿宋_GB2312" w:hAnsi="仿宋_GB2312" w:eastAsia="仿宋_GB2312" w:cs="仿宋_GB2312"/>
                          <w:kern w:val="2"/>
                          <w:sz w:val="18"/>
                          <w:szCs w:val="18"/>
                        </w:rPr>
                        <w:t>真实性声明</w:t>
                      </w:r>
                      <w:r>
                        <w:rPr>
                          <w:rFonts w:hint="eastAsia" w:ascii="仿宋_GB2312" w:hAnsi="仿宋_GB2312" w:eastAsia="仿宋_GB2312" w:cs="仿宋_GB2312"/>
                          <w:kern w:val="2"/>
                          <w:sz w:val="18"/>
                          <w:szCs w:val="18"/>
                          <w:lang w:eastAsia="zh-CN"/>
                        </w:rPr>
                        <w:t>；</w:t>
                      </w:r>
                    </w:p>
                    <w:p>
                      <w:pPr>
                        <w:pStyle w:val="8"/>
                        <w:shd w:val="clear" w:color="auto" w:fill="FFFFFF"/>
                        <w:spacing w:before="0" w:beforeAutospacing="0" w:after="0" w:afterAutospacing="0" w:line="200" w:lineRule="exact"/>
                        <w:ind w:firstLine="360" w:firstLineChars="200"/>
                        <w:rPr>
                          <w:rFonts w:hint="eastAsia" w:ascii="仿宋_GB2312" w:hAnsi="仿宋_GB2312" w:eastAsia="仿宋_GB2312" w:cs="仿宋_GB2312"/>
                          <w:sz w:val="18"/>
                          <w:szCs w:val="18"/>
                        </w:rPr>
                      </w:pPr>
                      <w:r>
                        <w:rPr>
                          <w:rFonts w:hint="eastAsia" w:ascii="仿宋_GB2312" w:hAnsi="仿宋_GB2312" w:eastAsia="仿宋_GB2312" w:cs="仿宋_GB2312"/>
                          <w:kern w:val="2"/>
                          <w:sz w:val="18"/>
                          <w:szCs w:val="18"/>
                        </w:rPr>
                        <w:t>（</w:t>
                      </w:r>
                      <w:r>
                        <w:rPr>
                          <w:rFonts w:hint="eastAsia" w:ascii="仿宋_GB2312" w:hAnsi="仿宋_GB2312" w:eastAsia="仿宋_GB2312" w:cs="仿宋_GB2312"/>
                          <w:kern w:val="2"/>
                          <w:sz w:val="18"/>
                          <w:szCs w:val="18"/>
                          <w:lang w:val="en-US" w:eastAsia="zh-CN"/>
                        </w:rPr>
                        <w:t>七</w:t>
                      </w:r>
                      <w:r>
                        <w:rPr>
                          <w:rFonts w:hint="eastAsia" w:ascii="仿宋_GB2312" w:hAnsi="仿宋_GB2312" w:eastAsia="仿宋_GB2312" w:cs="仿宋_GB2312"/>
                          <w:kern w:val="2"/>
                          <w:sz w:val="18"/>
                          <w:szCs w:val="18"/>
                        </w:rPr>
                        <w:t>）</w:t>
                      </w:r>
                      <w:r>
                        <w:rPr>
                          <w:rFonts w:hint="eastAsia" w:ascii="仿宋_GB2312" w:hAnsi="仿宋_GB2312" w:eastAsia="仿宋_GB2312" w:cs="仿宋_GB2312"/>
                          <w:sz w:val="18"/>
                          <w:szCs w:val="18"/>
                        </w:rPr>
                        <w:t>资金到位证明</w:t>
                      </w:r>
                      <w:r>
                        <w:rPr>
                          <w:rFonts w:hint="eastAsia" w:ascii="仿宋_GB2312" w:hAnsi="仿宋_GB2312" w:eastAsia="仿宋_GB2312" w:cs="仿宋_GB2312"/>
                          <w:sz w:val="18"/>
                          <w:szCs w:val="18"/>
                          <w:lang w:eastAsia="zh-CN"/>
                        </w:rPr>
                        <w:t>。</w:t>
                      </w:r>
                    </w:p>
                  </w:txbxContent>
                </v:textbox>
              </v:roundrect>
            </w:pict>
          </mc:Fallback>
        </mc:AlternateContent>
      </w:r>
      <w:r>
        <w:rPr>
          <w:color w:val="auto"/>
          <w:sz w:val="28"/>
          <w:szCs w:val="28"/>
        </w:rPr>
        <mc:AlternateContent>
          <mc:Choice Requires="wps">
            <w:drawing>
              <wp:anchor distT="0" distB="0" distL="114300" distR="114300" simplePos="0" relativeHeight="251670528" behindDoc="0" locked="0" layoutInCell="1" allowOverlap="1">
                <wp:simplePos x="0" y="0"/>
                <wp:positionH relativeFrom="column">
                  <wp:posOffset>1783080</wp:posOffset>
                </wp:positionH>
                <wp:positionV relativeFrom="paragraph">
                  <wp:posOffset>135255</wp:posOffset>
                </wp:positionV>
                <wp:extent cx="76200" cy="605790"/>
                <wp:effectExtent l="10160" t="7620" r="27940" b="34290"/>
                <wp:wrapNone/>
                <wp:docPr id="49" name="下箭头 49"/>
                <wp:cNvGraphicFramePr/>
                <a:graphic xmlns:a="http://schemas.openxmlformats.org/drawingml/2006/main">
                  <a:graphicData uri="http://schemas.microsoft.com/office/word/2010/wordprocessingShape">
                    <wps:wsp>
                      <wps:cNvSpPr/>
                      <wps:spPr>
                        <a:xfrm>
                          <a:off x="0" y="0"/>
                          <a:ext cx="76200" cy="605790"/>
                        </a:xfrm>
                        <a:prstGeom prst="downArrow">
                          <a:avLst>
                            <a:gd name="adj1" fmla="val 50000"/>
                            <a:gd name="adj2" fmla="val 198750"/>
                          </a:avLst>
                        </a:prstGeom>
                        <a:noFill/>
                        <a:ln w="15875" cap="flat" cmpd="sng">
                          <a:solidFill>
                            <a:srgbClr val="000000"/>
                          </a:solidFill>
                          <a:prstDash val="solid"/>
                          <a:miter/>
                          <a:headEnd type="none" w="med" len="med"/>
                          <a:tailEnd type="none" w="med" len="med"/>
                        </a:ln>
                      </wps:spPr>
                      <wps:txbx>
                        <w:txbxContent>
                          <w:p>
                            <w:pPr>
                              <w:jc w:val="center"/>
                            </w:pPr>
                          </w:p>
                        </w:txbxContent>
                      </wps:txbx>
                      <wps:bodyPr vert="eaVert" upright="1"/>
                    </wps:wsp>
                  </a:graphicData>
                </a:graphic>
              </wp:anchor>
            </w:drawing>
          </mc:Choice>
          <mc:Fallback>
            <w:pict>
              <v:shape id="_x0000_s1026" o:spid="_x0000_s1026" o:spt="67" type="#_x0000_t67" style="position:absolute;left:0pt;margin-left:140.4pt;margin-top:10.65pt;height:47.7pt;width:6pt;z-index:251670528;mso-width-relative:page;mso-height-relative:page;" filled="f" stroked="t" coordsize="21600,21600" o:gfxdata="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EkH09gAAAAKAQAADwAAAAAAAAABACAAAAAiAAAAZHJzL2Rvd25yZXYueG1s&#10;UEsBAhQAFAAAAAgAh07iQBP7oskxAgAAaQQAAA4AAAAAAAAAAQAgAAAAJwEAAGRycy9lMm9Eb2Mu&#10;eG1sUEsFBgAAAAAGAAYAWQEAAMoFAAAAAA==&#10;" adj="16200,5400">
                <v:fill on="f" focussize="0,0"/>
                <v:stroke weight="1.25pt" color="#000000" joinstyle="miter"/>
                <v:imagedata o:title=""/>
                <o:lock v:ext="edit" aspectratio="f"/>
                <v:textbox style="layout-flow:vertical-ideographic;">
                  <w:txbxContent>
                    <w:p>
                      <w:pPr>
                        <w:jc w:val="center"/>
                      </w:pPr>
                    </w:p>
                  </w:txbxContent>
                </v:textbox>
              </v:shape>
            </w:pict>
          </mc:Fallback>
        </mc:AlternateContent>
      </w:r>
      <w:r>
        <w:rPr>
          <w:color w:val="auto"/>
          <w:sz w:val="28"/>
          <w:szCs w:val="28"/>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196215</wp:posOffset>
                </wp:positionV>
                <wp:extent cx="1056640" cy="433705"/>
                <wp:effectExtent l="7620" t="7620" r="21590" b="15875"/>
                <wp:wrapNone/>
                <wp:docPr id="50" name="流程图: 可选过程 50"/>
                <wp:cNvGraphicFramePr/>
                <a:graphic xmlns:a="http://schemas.openxmlformats.org/drawingml/2006/main">
                  <a:graphicData uri="http://schemas.microsoft.com/office/word/2010/wordprocessingShape">
                    <wps:wsp>
                      <wps:cNvSpPr/>
                      <wps:spPr>
                        <a:xfrm>
                          <a:off x="0" y="0"/>
                          <a:ext cx="1056640" cy="433705"/>
                        </a:xfrm>
                        <a:prstGeom prst="flowChartAlternateProcess">
                          <a:avLst/>
                        </a:prstGeom>
                        <a:noFill/>
                        <a:ln w="1587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hAnsi="仿宋_GB2312" w:eastAsia="仿宋_GB2312" w:cs="仿宋_GB2312"/>
                                <w:b w:val="0"/>
                                <w:bCs w:val="0"/>
                                <w:sz w:val="18"/>
                                <w:szCs w:val="18"/>
                              </w:rPr>
                            </w:pPr>
                            <w:r>
                              <w:rPr>
                                <w:rFonts w:hint="eastAsia" w:ascii="仿宋_GB2312" w:hAnsi="仿宋_GB2312" w:eastAsia="仿宋_GB2312" w:cs="仿宋_GB2312"/>
                                <w:b w:val="0"/>
                                <w:bCs w:val="0"/>
                                <w:sz w:val="18"/>
                                <w:szCs w:val="18"/>
                              </w:rPr>
                              <w:t>不予受理或补充材料（一次性告知）</w:t>
                            </w:r>
                          </w:p>
                        </w:txbxContent>
                      </wps:txbx>
                      <wps:bodyPr lIns="0" tIns="0" rIns="0" bIns="0" upright="1"/>
                    </wps:wsp>
                  </a:graphicData>
                </a:graphic>
              </wp:anchor>
            </w:drawing>
          </mc:Choice>
          <mc:Fallback>
            <w:pict>
              <v:shape id="_x0000_s1026" o:spid="_x0000_s1026" o:spt="176" type="#_x0000_t176" style="position:absolute;left:0pt;margin-left:-9pt;margin-top:15.45pt;height:34.15pt;width:83.2pt;z-index:251673600;mso-width-relative:page;mso-height-relative:page;" filled="f" stroked="t" coordsize="21600,21600" o:gfxdata="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GlpI7ZAAAACQEAAA8AAAAAAAAAAQAgAAAAIgAAAGRycy9kb3ducmV2&#10;LnhtbFBLAQIUABQAAAAIAIdO4kAILINZNAIAAE0EAAAOAAAAAAAAAAEAIAAAACgBAABkcnMvZTJv&#10;RG9jLnhtbFBLBQYAAAAABgAGAFkBAADOBQAAAAA=&#10;">
                <v:fill on="f" focussize="0,0"/>
                <v:stroke weight="1.25pt" color="#000000" joinstyle="miter"/>
                <v:imagedata o:title=""/>
                <o:lock v:ext="edit" aspectratio="f"/>
                <v:textbox inset="0mm,0mm,0mm,0mm">
                  <w:txbxContent>
                    <w:p>
                      <w:pPr>
                        <w:spacing w:line="240" w:lineRule="exact"/>
                        <w:jc w:val="center"/>
                        <w:rPr>
                          <w:rFonts w:hint="eastAsia" w:ascii="仿宋_GB2312" w:hAnsi="仿宋_GB2312" w:eastAsia="仿宋_GB2312" w:cs="仿宋_GB2312"/>
                          <w:b w:val="0"/>
                          <w:bCs w:val="0"/>
                          <w:sz w:val="18"/>
                          <w:szCs w:val="18"/>
                        </w:rPr>
                      </w:pPr>
                      <w:r>
                        <w:rPr>
                          <w:rFonts w:hint="eastAsia" w:ascii="仿宋_GB2312" w:hAnsi="仿宋_GB2312" w:eastAsia="仿宋_GB2312" w:cs="仿宋_GB2312"/>
                          <w:b w:val="0"/>
                          <w:bCs w:val="0"/>
                          <w:sz w:val="18"/>
                          <w:szCs w:val="18"/>
                        </w:rPr>
                        <w:t>不予受理或补充材料（一次性告知）</w:t>
                      </w:r>
                    </w:p>
                  </w:txbxContent>
                </v:textbox>
              </v:shape>
            </w:pict>
          </mc:Fallback>
        </mc:AlternateContent>
      </w: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82816" behindDoc="0" locked="0" layoutInCell="1" allowOverlap="1">
                <wp:simplePos x="0" y="0"/>
                <wp:positionH relativeFrom="column">
                  <wp:posOffset>351155</wp:posOffset>
                </wp:positionH>
                <wp:positionV relativeFrom="paragraph">
                  <wp:posOffset>235585</wp:posOffset>
                </wp:positionV>
                <wp:extent cx="8255" cy="532130"/>
                <wp:effectExtent l="0" t="0" r="0" b="0"/>
                <wp:wrapNone/>
                <wp:docPr id="47" name="直接连接符 47"/>
                <wp:cNvGraphicFramePr/>
                <a:graphic xmlns:a="http://schemas.openxmlformats.org/drawingml/2006/main">
                  <a:graphicData uri="http://schemas.microsoft.com/office/word/2010/wordprocessingShape">
                    <wps:wsp>
                      <wps:cNvCnPr/>
                      <wps:spPr>
                        <a:xfrm flipH="1">
                          <a:off x="0" y="0"/>
                          <a:ext cx="8255" cy="53213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7.65pt;margin-top:18.55pt;height:41.9pt;width:0.65pt;z-index:251682816;mso-width-relative:page;mso-height-relative:page;" filled="f" stroked="t" coordsize="21600,21600" o:gfxdata="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bjkZNcAAAAIAQAADwAAAAAAAAABACAAAAAiAAAAZHJzL2Rv&#10;d25yZXYueG1sUEsBAhQAFAAAAAgAh07iQN48b3QCAgAA8wMAAA4AAAAAAAAAAQAgAAAAJgEAAGRy&#10;cy9lMm9Eb2MueG1sUEsFBgAAAAAGAAYAWQEAAJoFAAAAAA==&#10;">
                <v:fill on="f" focussize="0,0"/>
                <v:stroke weight="1.25pt" color="#000000" joinstyle="round"/>
                <v:imagedata o:title=""/>
                <o:lock v:ext="edit" aspectratio="f"/>
              </v:line>
            </w:pict>
          </mc:Fallback>
        </mc:AlternateContent>
      </w:r>
    </w:p>
    <w:p>
      <w:pPr>
        <w:spacing w:before="156" w:beforeLines="50"/>
        <w:jc w:val="left"/>
        <w:rPr>
          <w:rFonts w:hint="eastAsia" w:ascii="黑体" w:hAnsi="黑体" w:eastAsia="黑体" w:cs="黑体"/>
          <w:color w:val="auto"/>
          <w:sz w:val="24"/>
          <w:szCs w:val="24"/>
        </w:rPr>
      </w:pPr>
      <w:r>
        <w:rPr>
          <w:rFonts w:hint="eastAsia" w:ascii="黑体" w:hAnsi="黑体" w:eastAsia="黑体" w:cs="黑体"/>
          <w:color w:val="auto"/>
          <w:sz w:val="28"/>
          <w:szCs w:val="28"/>
        </w:rPr>
        <mc:AlternateContent>
          <mc:Choice Requires="wps">
            <w:drawing>
              <wp:anchor distT="0" distB="0" distL="114300" distR="114300" simplePos="0" relativeHeight="251678720" behindDoc="0" locked="0" layoutInCell="1" allowOverlap="1">
                <wp:simplePos x="0" y="0"/>
                <wp:positionH relativeFrom="column">
                  <wp:posOffset>1274445</wp:posOffset>
                </wp:positionH>
                <wp:positionV relativeFrom="paragraph">
                  <wp:posOffset>179705</wp:posOffset>
                </wp:positionV>
                <wp:extent cx="1082040" cy="398780"/>
                <wp:effectExtent l="7620" t="7620" r="15240" b="12700"/>
                <wp:wrapSquare wrapText="bothSides"/>
                <wp:docPr id="48" name="流程图: 可选过程 48"/>
                <wp:cNvGraphicFramePr/>
                <a:graphic xmlns:a="http://schemas.openxmlformats.org/drawingml/2006/main">
                  <a:graphicData uri="http://schemas.microsoft.com/office/word/2010/wordprocessingShape">
                    <wps:wsp>
                      <wps:cNvSpPr/>
                      <wps:spPr>
                        <a:xfrm>
                          <a:off x="0" y="0"/>
                          <a:ext cx="1082040" cy="39878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新区项</w:t>
                            </w:r>
                            <w:r>
                              <w:rPr>
                                <w:rFonts w:hint="eastAsia" w:ascii="仿宋_GB2312" w:hAnsi="仿宋_GB2312" w:eastAsia="仿宋_GB2312" w:cs="仿宋_GB2312"/>
                                <w:b/>
                                <w:bCs/>
                                <w:sz w:val="24"/>
                                <w:szCs w:val="24"/>
                                <w:lang w:eastAsia="zh-CN"/>
                              </w:rPr>
                              <w:t>目局</w:t>
                            </w:r>
                          </w:p>
                        </w:txbxContent>
                      </wps:txbx>
                      <wps:bodyPr upright="1"/>
                    </wps:wsp>
                  </a:graphicData>
                </a:graphic>
              </wp:anchor>
            </w:drawing>
          </mc:Choice>
          <mc:Fallback>
            <w:pict>
              <v:shape id="_x0000_s1026" o:spid="_x0000_s1026" o:spt="176" type="#_x0000_t176" style="position:absolute;left:0pt;margin-left:100.35pt;margin-top:14.15pt;height:31.4pt;width:85.2pt;mso-wrap-distance-bottom:0pt;mso-wrap-distance-left:9pt;mso-wrap-distance-right:9pt;mso-wrap-distance-top:0pt;z-index:251678720;mso-width-relative:page;mso-height-relative:page;" filled="f" stroked="t" coordsize="21600,21600" o:gfxdata="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euHn&#10;1AAAAAkBAAAPAAAAAAAAAAEAIAAAACIAAABkcnMvZG93bnJldi54bWxQSwECFAAUAAAACACHTuJA&#10;KLexJyUCAAApBAAADgAAAAAAAAABACAAAAAjAQAAZHJzL2Uyb0RvYy54bWxQSwUGAAAAAAYABgBZ&#10;AQAAugUAAAAA&#10;">
                <v:fill on="f" focussize="0,0"/>
                <v:stroke weight="1.25pt" color="#000000" joinstyle="miter"/>
                <v:imagedata o:title=""/>
                <o:lock v:ext="edit" aspectratio="f"/>
                <v:textbo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新区项</w:t>
                      </w:r>
                      <w:r>
                        <w:rPr>
                          <w:rFonts w:hint="eastAsia" w:ascii="仿宋_GB2312" w:hAnsi="仿宋_GB2312" w:eastAsia="仿宋_GB2312" w:cs="仿宋_GB2312"/>
                          <w:b/>
                          <w:bCs/>
                          <w:sz w:val="24"/>
                          <w:szCs w:val="24"/>
                          <w:lang w:eastAsia="zh-CN"/>
                        </w:rPr>
                        <w:t>目局</w:t>
                      </w:r>
                    </w:p>
                  </w:txbxContent>
                </v:textbox>
                <w10:wrap type="square"/>
              </v:shape>
            </w:pict>
          </mc:Fallback>
        </mc:AlternateContent>
      </w: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81792" behindDoc="0" locked="0" layoutInCell="1" allowOverlap="1">
                <wp:simplePos x="0" y="0"/>
                <wp:positionH relativeFrom="column">
                  <wp:posOffset>350520</wp:posOffset>
                </wp:positionH>
                <wp:positionV relativeFrom="paragraph">
                  <wp:posOffset>147955</wp:posOffset>
                </wp:positionV>
                <wp:extent cx="839470" cy="5715"/>
                <wp:effectExtent l="0" t="37465" r="17780" b="33020"/>
                <wp:wrapNone/>
                <wp:docPr id="46" name="直接连接符 46"/>
                <wp:cNvGraphicFramePr/>
                <a:graphic xmlns:a="http://schemas.openxmlformats.org/drawingml/2006/main">
                  <a:graphicData uri="http://schemas.microsoft.com/office/word/2010/wordprocessingShape">
                    <wps:wsp>
                      <wps:cNvCnPr/>
                      <wps:spPr>
                        <a:xfrm flipV="1">
                          <a:off x="0" y="0"/>
                          <a:ext cx="839470" cy="571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7.6pt;margin-top:11.65pt;height:0.45pt;width:66.1pt;z-index:251681792;mso-width-relative:page;mso-height-relative:page;" filled="f" stroked="t" coordsize="21600,21600" o:gfxdata="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pNvENgAAAAIAQAADwAAAAAAAAABACAAAAAiAAAA&#10;ZHJzL2Rvd25yZXYueG1sUEsBAhQAFAAAAAgAh07iQNm/ldoHAgAA9wMAAA4AAAAAAAAAAQAgAAAA&#10;JwEAAGRycy9lMm9Eb2MueG1sUEsFBgAAAAAGAAYAWQEAAKAFAAAAAA==&#10;">
                <v:fill on="f" focussize="0,0"/>
                <v:stroke weight="1.25pt" color="#000000" joinstyle="round" endarrow="block"/>
                <v:imagedata o:title=""/>
                <o:lock v:ext="edit" aspectratio="f"/>
              </v:line>
            </w:pict>
          </mc:Fallback>
        </mc:AlternateContent>
      </w:r>
      <w:r>
        <w:rPr>
          <w:color w:val="auto"/>
          <w:sz w:val="28"/>
          <w:szCs w:val="28"/>
        </w:rPr>
        <mc:AlternateContent>
          <mc:Choice Requires="wps">
            <w:drawing>
              <wp:anchor distT="0" distB="0" distL="114300" distR="114300" simplePos="0" relativeHeight="251674624" behindDoc="0" locked="0" layoutInCell="1" allowOverlap="1">
                <wp:simplePos x="0" y="0"/>
                <wp:positionH relativeFrom="column">
                  <wp:posOffset>2381885</wp:posOffset>
                </wp:positionH>
                <wp:positionV relativeFrom="paragraph">
                  <wp:posOffset>127635</wp:posOffset>
                </wp:positionV>
                <wp:extent cx="625475" cy="0"/>
                <wp:effectExtent l="0" t="38100" r="3175" b="38100"/>
                <wp:wrapNone/>
                <wp:docPr id="45" name="直接连接符 45"/>
                <wp:cNvGraphicFramePr/>
                <a:graphic xmlns:a="http://schemas.openxmlformats.org/drawingml/2006/main">
                  <a:graphicData uri="http://schemas.microsoft.com/office/word/2010/wordprocessingShape">
                    <wps:wsp>
                      <wps:cNvCnPr/>
                      <wps:spPr>
                        <a:xfrm>
                          <a:off x="0" y="0"/>
                          <a:ext cx="625475"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7.55pt;margin-top:10.05pt;height:0pt;width:49.25pt;z-index:251674624;mso-width-relative:page;mso-height-relative:page;" filled="f" stroked="t" coordsize="21600,21600" o:gfxdata="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Tup61wAAAAkBAAAPAAAAAAAAAAEAIAAAACIAAABkcnMvZG93bnJldi54&#10;bWxQSwECFAAUAAAACACHTuJAMnqgOfsBAADqAwAADgAAAAAAAAABACAAAAAmAQAAZHJzL2Uyb0Rv&#10;Yy54bWxQSwUGAAAAAAYABgBZAQAAkwUAAAAA&#10;">
                <v:fill on="f" focussize="0,0"/>
                <v:stroke weight="1.25pt" color="#000000" joinstyle="round" endarrow="block"/>
                <v:imagedata o:title=""/>
                <o:lock v:ext="edit" aspectratio="f"/>
              </v:line>
            </w:pict>
          </mc:Fallback>
        </mc:AlternateContent>
      </w:r>
    </w:p>
    <w:p>
      <w:pPr>
        <w:spacing w:before="156" w:beforeLines="50"/>
        <w:jc w:val="left"/>
        <w:rPr>
          <w:rFonts w:hint="eastAsia" w:ascii="黑体" w:hAnsi="黑体" w:eastAsia="黑体" w:cs="黑体"/>
          <w:color w:val="auto"/>
          <w:sz w:val="24"/>
          <w:szCs w:val="24"/>
        </w:rPr>
      </w:pPr>
      <w:r>
        <w:rPr>
          <w:rFonts w:hint="eastAsia" w:ascii="黑体" w:hAnsi="黑体" w:eastAsia="黑体" w:cs="黑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1780540</wp:posOffset>
                </wp:positionH>
                <wp:positionV relativeFrom="paragraph">
                  <wp:posOffset>69850</wp:posOffset>
                </wp:positionV>
                <wp:extent cx="76200" cy="544195"/>
                <wp:effectExtent l="10160" t="7620" r="27940" b="38735"/>
                <wp:wrapNone/>
                <wp:docPr id="41" name="下箭头 41"/>
                <wp:cNvGraphicFramePr/>
                <a:graphic xmlns:a="http://schemas.openxmlformats.org/drawingml/2006/main">
                  <a:graphicData uri="http://schemas.microsoft.com/office/word/2010/wordprocessingShape">
                    <wps:wsp>
                      <wps:cNvSpPr/>
                      <wps:spPr>
                        <a:xfrm>
                          <a:off x="0" y="0"/>
                          <a:ext cx="76200" cy="544195"/>
                        </a:xfrm>
                        <a:prstGeom prst="downArrow">
                          <a:avLst>
                            <a:gd name="adj1" fmla="val 50000"/>
                            <a:gd name="adj2" fmla="val 178541"/>
                          </a:avLst>
                        </a:prstGeom>
                        <a:noFill/>
                        <a:ln w="15875" cap="flat" cmpd="sng">
                          <a:solidFill>
                            <a:srgbClr val="000000"/>
                          </a:solidFill>
                          <a:prstDash val="solid"/>
                          <a:miter/>
                          <a:headEnd type="none" w="med" len="med"/>
                          <a:tailEnd type="none" w="med" len="med"/>
                        </a:ln>
                      </wps:spPr>
                      <wps:txbx>
                        <w:txbxContent>
                          <w:p>
                            <w:pPr>
                              <w:jc w:val="center"/>
                            </w:pPr>
                          </w:p>
                        </w:txbxContent>
                      </wps:txbx>
                      <wps:bodyPr vert="eaVert" upright="1"/>
                    </wps:wsp>
                  </a:graphicData>
                </a:graphic>
              </wp:anchor>
            </w:drawing>
          </mc:Choice>
          <mc:Fallback>
            <w:pict>
              <v:shape id="_x0000_s1026" o:spid="_x0000_s1026" o:spt="67" type="#_x0000_t67" style="position:absolute;left:0pt;margin-left:140.2pt;margin-top:5.5pt;height:42.85pt;width:6pt;z-index:251679744;mso-width-relative:page;mso-height-relative:page;" filled="f" stroked="t" coordsize="21600,21600" o:gfxdata="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DHAVtYAAAAJAQAADwAAAAAAAAABACAAAAAiAAAAZHJzL2Rvd25yZXYueG1sUEsB&#10;AhQAFAAAAAgAh07iQOsQV8EwAgAAaQQAAA4AAAAAAAAAAQAgAAAAJQEAAGRycy9lMm9Eb2MueG1s&#10;UEsFBgAAAAAGAAYAWQEAAMcFAAAAAA==&#10;" adj="16201,5400">
                <v:fill on="f" focussize="0,0"/>
                <v:stroke weight="1.25pt" color="#000000" joinstyle="miter"/>
                <v:imagedata o:title=""/>
                <o:lock v:ext="edit" aspectratio="f"/>
                <v:textbox style="layout-flow:vertical-ideographic;">
                  <w:txbxContent>
                    <w:p>
                      <w:pPr>
                        <w:jc w:val="center"/>
                      </w:pPr>
                    </w:p>
                  </w:txbxContent>
                </v:textbox>
              </v:shape>
            </w:pict>
          </mc:Fallback>
        </mc:AlternateContent>
      </w:r>
      <w:r>
        <w:rPr>
          <w:rFonts w:hint="eastAsia" w:ascii="黑体" w:hAnsi="黑体" w:eastAsia="黑体" w:cs="黑体"/>
          <w:color w:val="auto"/>
          <w:sz w:val="24"/>
          <w:szCs w:val="24"/>
        </w:rPr>
        <w:t xml:space="preserve">                    </w:t>
      </w:r>
    </w:p>
    <w:p>
      <w:pPr>
        <w:spacing w:before="156" w:beforeLines="50"/>
        <w:jc w:val="left"/>
        <w:rPr>
          <w:rFonts w:hint="eastAsia" w:ascii="黑体" w:hAnsi="黑体" w:eastAsia="黑体" w:cs="黑体"/>
          <w:color w:val="auto"/>
          <w:sz w:val="24"/>
          <w:szCs w:val="24"/>
        </w:rPr>
      </w:pP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71552" behindDoc="0" locked="0" layoutInCell="1" allowOverlap="1">
                <wp:simplePos x="0" y="0"/>
                <wp:positionH relativeFrom="column">
                  <wp:posOffset>1317625</wp:posOffset>
                </wp:positionH>
                <wp:positionV relativeFrom="paragraph">
                  <wp:posOffset>46355</wp:posOffset>
                </wp:positionV>
                <wp:extent cx="1114425" cy="515620"/>
                <wp:effectExtent l="7620" t="7620" r="20955" b="10160"/>
                <wp:wrapNone/>
                <wp:docPr id="40" name="流程图: 可选过程 40"/>
                <wp:cNvGraphicFramePr/>
                <a:graphic xmlns:a="http://schemas.openxmlformats.org/drawingml/2006/main">
                  <a:graphicData uri="http://schemas.microsoft.com/office/word/2010/wordprocessingShape">
                    <wps:wsp>
                      <wps:cNvSpPr/>
                      <wps:spPr>
                        <a:xfrm>
                          <a:off x="0" y="0"/>
                          <a:ext cx="1114425" cy="51562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发改委政务大厅窗口</w:t>
                            </w:r>
                          </w:p>
                        </w:txbxContent>
                      </wps:txbx>
                      <wps:bodyPr upright="1"/>
                    </wps:wsp>
                  </a:graphicData>
                </a:graphic>
              </wp:anchor>
            </w:drawing>
          </mc:Choice>
          <mc:Fallback>
            <w:pict>
              <v:shape id="_x0000_s1026" o:spid="_x0000_s1026" o:spt="176" type="#_x0000_t176" style="position:absolute;left:0pt;margin-left:103.75pt;margin-top:3.65pt;height:40.6pt;width:87.75pt;z-index:251671552;mso-width-relative:page;mso-height-relative:page;" filled="f" stroked="t" coordsize="21600,21600" o:gfxdata="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sTsdbV&#10;AAAACAEAAA8AAAAAAAAAAQAgAAAAIgAAAGRycy9kb3ducmV2LnhtbFBLAQIUABQAAAAIAIdO4kAL&#10;ECZKIwIAACkEAAAOAAAAAAAAAAEAIAAAACQBAABkcnMvZTJvRG9jLnhtbFBLBQYAAAAABgAGAFkB&#10;AAC5BQAAAAA=&#10;">
                <v:fill on="f" focussize="0,0"/>
                <v:stroke weight="1.25pt" color="#000000" joinstyle="miter"/>
                <v:imagedata o:title=""/>
                <o:lock v:ext="edit" aspectratio="f"/>
                <v:textbo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发改委政务大厅窗口</w:t>
                      </w:r>
                    </w:p>
                  </w:txbxContent>
                </v:textbox>
              </v:shape>
            </w:pict>
          </mc:Fallback>
        </mc:AlternateContent>
      </w:r>
    </w:p>
    <w:p>
      <w:pPr>
        <w:spacing w:before="156" w:beforeLines="50"/>
        <w:jc w:val="left"/>
        <w:rPr>
          <w:rFonts w:hint="eastAsia" w:ascii="黑体" w:hAnsi="黑体" w:eastAsia="黑体" w:cs="黑体"/>
          <w:color w:val="auto"/>
          <w:sz w:val="24"/>
          <w:szCs w:val="24"/>
        </w:rPr>
      </w:pP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80768" behindDoc="0" locked="0" layoutInCell="1" allowOverlap="1">
                <wp:simplePos x="0" y="0"/>
                <wp:positionH relativeFrom="column">
                  <wp:posOffset>1763395</wp:posOffset>
                </wp:positionH>
                <wp:positionV relativeFrom="paragraph">
                  <wp:posOffset>71755</wp:posOffset>
                </wp:positionV>
                <wp:extent cx="93980" cy="579755"/>
                <wp:effectExtent l="10795" t="7620" r="28575" b="41275"/>
                <wp:wrapNone/>
                <wp:docPr id="37" name="下箭头 37"/>
                <wp:cNvGraphicFramePr/>
                <a:graphic xmlns:a="http://schemas.openxmlformats.org/drawingml/2006/main">
                  <a:graphicData uri="http://schemas.microsoft.com/office/word/2010/wordprocessingShape">
                    <wps:wsp>
                      <wps:cNvSpPr/>
                      <wps:spPr>
                        <a:xfrm>
                          <a:off x="0" y="0"/>
                          <a:ext cx="93980" cy="579755"/>
                        </a:xfrm>
                        <a:prstGeom prst="downArrow">
                          <a:avLst>
                            <a:gd name="adj1" fmla="val 50000"/>
                            <a:gd name="adj2" fmla="val 154222"/>
                          </a:avLst>
                        </a:prstGeom>
                        <a:noFill/>
                        <a:ln w="15875" cap="flat" cmpd="sng">
                          <a:solidFill>
                            <a:srgbClr val="000000"/>
                          </a:solidFill>
                          <a:prstDash val="solid"/>
                          <a:miter/>
                          <a:headEnd type="none" w="med" len="med"/>
                          <a:tailEnd type="none" w="med" len="med"/>
                        </a:ln>
                      </wps:spPr>
                      <wps:txbx>
                        <w:txbxContent>
                          <w:p>
                            <w:pPr>
                              <w:jc w:val="center"/>
                            </w:pPr>
                          </w:p>
                        </w:txbxContent>
                      </wps:txbx>
                      <wps:bodyPr vert="eaVert" upright="1"/>
                    </wps:wsp>
                  </a:graphicData>
                </a:graphic>
              </wp:anchor>
            </w:drawing>
          </mc:Choice>
          <mc:Fallback>
            <w:pict>
              <v:shape id="_x0000_s1026" o:spid="_x0000_s1026" o:spt="67" type="#_x0000_t67" style="position:absolute;left:0pt;margin-left:138.85pt;margin-top:5.65pt;height:45.65pt;width:7.4pt;z-index:251680768;mso-width-relative:page;mso-height-relative:page;" filled="f" stroked="t" coordsize="21600,21600" o:gfxdata="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tLzI1wAAAAoBAAAPAAAAAAAAAAEAIAAAACIAAABkcnMvZG93bnJldi54bWxQ&#10;SwECFAAUAAAACACHTuJA7IOftjECAABpBAAADgAAAAAAAAABACAAAAAmAQAAZHJzL2Uyb0RvYy54&#10;bWxQSwUGAAAAAAYABgBZAQAAyQUAAAAA&#10;" adj="16201,5400">
                <v:fill on="f" focussize="0,0"/>
                <v:stroke weight="1.25pt" color="#000000" joinstyle="miter"/>
                <v:imagedata o:title=""/>
                <o:lock v:ext="edit" aspectratio="f"/>
                <v:textbox style="layout-flow:vertical-ideographic;">
                  <w:txbxContent>
                    <w:p>
                      <w:pPr>
                        <w:jc w:val="center"/>
                      </w:pPr>
                    </w:p>
                  </w:txbxContent>
                </v:textbox>
              </v:shape>
            </w:pict>
          </mc:Fallback>
        </mc:AlternateContent>
      </w:r>
    </w:p>
    <w:p>
      <w:pPr>
        <w:spacing w:before="156" w:beforeLines="50"/>
        <w:jc w:val="left"/>
        <w:rPr>
          <w:rFonts w:hint="eastAsia" w:ascii="黑体" w:hAnsi="黑体" w:eastAsia="黑体" w:cs="黑体"/>
          <w:color w:val="auto"/>
          <w:sz w:val="24"/>
          <w:szCs w:val="24"/>
        </w:rPr>
      </w:pP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75648" behindDoc="0" locked="0" layoutInCell="1" allowOverlap="1">
                <wp:simplePos x="0" y="0"/>
                <wp:positionH relativeFrom="column">
                  <wp:posOffset>1025525</wp:posOffset>
                </wp:positionH>
                <wp:positionV relativeFrom="paragraph">
                  <wp:posOffset>67310</wp:posOffset>
                </wp:positionV>
                <wp:extent cx="1687830" cy="583565"/>
                <wp:effectExtent l="7620" t="7620" r="19050" b="18415"/>
                <wp:wrapNone/>
                <wp:docPr id="44" name="流程图: 可选过程 44"/>
                <wp:cNvGraphicFramePr/>
                <a:graphic xmlns:a="http://schemas.openxmlformats.org/drawingml/2006/main">
                  <a:graphicData uri="http://schemas.microsoft.com/office/word/2010/wordprocessingShape">
                    <wps:wsp>
                      <wps:cNvSpPr/>
                      <wps:spPr>
                        <a:xfrm>
                          <a:off x="0" y="0"/>
                          <a:ext cx="1687830" cy="583565"/>
                        </a:xfrm>
                        <a:prstGeom prst="flowChartAlternateProcess">
                          <a:avLst/>
                        </a:prstGeom>
                        <a:noFill/>
                        <a:ln w="15875" cap="flat" cmpd="sng">
                          <a:solidFill>
                            <a:srgbClr val="000000"/>
                          </a:solidFill>
                          <a:prstDash val="solid"/>
                          <a:miter/>
                          <a:headEnd type="none" w="med" len="med"/>
                          <a:tailEnd type="none" w="med" len="med"/>
                        </a:ln>
                      </wps:spPr>
                      <wps:txbx>
                        <w:txbxContent>
                          <w:p>
                            <w:pPr>
                              <w:ind w:left="482" w:hanging="482" w:hangingChars="200"/>
                              <w:jc w:val="both"/>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发改委</w:t>
                            </w:r>
                            <w:r>
                              <w:rPr>
                                <w:rFonts w:hint="eastAsia" w:ascii="仿宋_GB2312" w:hAnsi="仿宋_GB2312" w:eastAsia="仿宋_GB2312" w:cs="仿宋_GB2312"/>
                                <w:b/>
                                <w:bCs/>
                                <w:sz w:val="24"/>
                                <w:szCs w:val="24"/>
                              </w:rPr>
                              <w:t>相关科室进行</w:t>
                            </w:r>
                            <w:r>
                              <w:rPr>
                                <w:rFonts w:hint="eastAsia" w:ascii="仿宋_GB2312" w:hAnsi="仿宋_GB2312" w:eastAsia="仿宋_GB2312" w:cs="仿宋_GB2312"/>
                                <w:b/>
                                <w:bCs/>
                                <w:sz w:val="24"/>
                                <w:szCs w:val="24"/>
                                <w:lang w:eastAsia="zh-CN"/>
                              </w:rPr>
                              <w:t>核准或审批</w:t>
                            </w:r>
                          </w:p>
                        </w:txbxContent>
                      </wps:txbx>
                      <wps:bodyPr upright="1"/>
                    </wps:wsp>
                  </a:graphicData>
                </a:graphic>
              </wp:anchor>
            </w:drawing>
          </mc:Choice>
          <mc:Fallback>
            <w:pict>
              <v:shape id="_x0000_s1026" o:spid="_x0000_s1026" o:spt="176" type="#_x0000_t176" style="position:absolute;left:0pt;margin-left:80.75pt;margin-top:5.3pt;height:45.95pt;width:132.9pt;z-index:251675648;mso-width-relative:page;mso-height-relative:page;" filled="f" stroked="t" coordsize="21600,21600" o:gfxdata="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d&#10;+CjWAAAACgEAAA8AAAAAAAAAAQAgAAAAIgAAAGRycy9kb3ducmV2LnhtbFBLAQIUABQAAAAIAIdO&#10;4kAOn6YCJQIAACkEAAAOAAAAAAAAAAEAIAAAACUBAABkcnMvZTJvRG9jLnhtbFBLBQYAAAAABgAG&#10;AFkBAAC8BQAAAAA=&#10;">
                <v:fill on="f" focussize="0,0"/>
                <v:stroke weight="1.25pt" color="#000000" joinstyle="miter"/>
                <v:imagedata o:title=""/>
                <o:lock v:ext="edit" aspectratio="f"/>
                <v:textbox>
                  <w:txbxContent>
                    <w:p>
                      <w:pPr>
                        <w:ind w:left="482" w:hanging="482" w:hangingChars="200"/>
                        <w:jc w:val="both"/>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发改委</w:t>
                      </w:r>
                      <w:r>
                        <w:rPr>
                          <w:rFonts w:hint="eastAsia" w:ascii="仿宋_GB2312" w:hAnsi="仿宋_GB2312" w:eastAsia="仿宋_GB2312" w:cs="仿宋_GB2312"/>
                          <w:b/>
                          <w:bCs/>
                          <w:sz w:val="24"/>
                          <w:szCs w:val="24"/>
                        </w:rPr>
                        <w:t>相关科室进行</w:t>
                      </w:r>
                      <w:r>
                        <w:rPr>
                          <w:rFonts w:hint="eastAsia" w:ascii="仿宋_GB2312" w:hAnsi="仿宋_GB2312" w:eastAsia="仿宋_GB2312" w:cs="仿宋_GB2312"/>
                          <w:b/>
                          <w:bCs/>
                          <w:sz w:val="24"/>
                          <w:szCs w:val="24"/>
                          <w:lang w:eastAsia="zh-CN"/>
                        </w:rPr>
                        <w:t>核准或审批</w:t>
                      </w:r>
                    </w:p>
                  </w:txbxContent>
                </v:textbox>
              </v:shape>
            </w:pict>
          </mc:Fallback>
        </mc:AlternateContent>
      </w:r>
    </w:p>
    <w:p>
      <w:pPr>
        <w:spacing w:before="156" w:beforeLines="50"/>
        <w:jc w:val="left"/>
        <w:rPr>
          <w:rFonts w:hint="eastAsia" w:ascii="黑体" w:hAnsi="黑体" w:eastAsia="黑体" w:cs="黑体"/>
          <w:color w:val="auto"/>
          <w:sz w:val="24"/>
          <w:szCs w:val="24"/>
        </w:rPr>
      </w:pP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84864" behindDoc="0" locked="0" layoutInCell="1" allowOverlap="1">
                <wp:simplePos x="0" y="0"/>
                <wp:positionH relativeFrom="column">
                  <wp:posOffset>1779905</wp:posOffset>
                </wp:positionH>
                <wp:positionV relativeFrom="paragraph">
                  <wp:posOffset>134620</wp:posOffset>
                </wp:positionV>
                <wp:extent cx="95885" cy="579755"/>
                <wp:effectExtent l="10795" t="8255" r="26670" b="40640"/>
                <wp:wrapNone/>
                <wp:docPr id="43" name="下箭头 43"/>
                <wp:cNvGraphicFramePr/>
                <a:graphic xmlns:a="http://schemas.openxmlformats.org/drawingml/2006/main">
                  <a:graphicData uri="http://schemas.microsoft.com/office/word/2010/wordprocessingShape">
                    <wps:wsp>
                      <wps:cNvSpPr/>
                      <wps:spPr>
                        <a:xfrm>
                          <a:off x="0" y="0"/>
                          <a:ext cx="95885" cy="579755"/>
                        </a:xfrm>
                        <a:prstGeom prst="downArrow">
                          <a:avLst>
                            <a:gd name="adj1" fmla="val 50000"/>
                            <a:gd name="adj2" fmla="val 151158"/>
                          </a:avLst>
                        </a:prstGeom>
                        <a:noFill/>
                        <a:ln w="1587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40.15pt;margin-top:10.6pt;height:45.65pt;width:7.55pt;z-index:251684864;mso-width-relative:page;mso-height-relative:page;" filled="f" stroked="t" coordsize="21600,21600" o:gfxdata="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QHor1wAAAAoBAAAPAAAAAAAAAAEAIAAAACIAAABkcnMvZG93bnJldi54bWxQSwECFAAU&#10;AAAACACHTuJA6Ru8cysCAABeBAAADgAAAAAAAAABACAAAAAmAQAAZHJzL2Uyb0RvYy54bWxQSwUG&#10;AAAAAAYABgBZAQAAwwUAAAAA&#10;" adj="16201,5400">
                <v:fill on="f" focussize="0,0"/>
                <v:stroke weight="1.25pt" color="#000000" joinstyle="miter"/>
                <v:imagedata o:title=""/>
                <o:lock v:ext="edit" aspectratio="f"/>
                <v:textbox style="layout-flow:vertical-ideographic;"/>
              </v:shape>
            </w:pict>
          </mc:Fallback>
        </mc:AlternateContent>
      </w:r>
    </w:p>
    <w:p>
      <w:pPr>
        <w:spacing w:before="156" w:beforeLines="50"/>
        <w:jc w:val="left"/>
        <w:rPr>
          <w:rFonts w:hint="eastAsia" w:ascii="黑体" w:hAnsi="黑体" w:eastAsia="黑体" w:cs="黑体"/>
          <w:color w:val="auto"/>
          <w:sz w:val="24"/>
          <w:szCs w:val="24"/>
        </w:rPr>
      </w:pPr>
    </w:p>
    <w:p>
      <w:pPr>
        <w:spacing w:before="156" w:beforeLines="50"/>
        <w:jc w:val="left"/>
        <w:rPr>
          <w:rFonts w:hint="eastAsia" w:ascii="黑体" w:hAnsi="黑体" w:eastAsia="黑体" w:cs="黑体"/>
          <w:color w:val="auto"/>
          <w:sz w:val="24"/>
          <w:szCs w:val="24"/>
        </w:rPr>
      </w:pPr>
      <w:r>
        <w:rPr>
          <w:color w:val="auto"/>
          <w:sz w:val="28"/>
          <w:szCs w:val="28"/>
        </w:rPr>
        <mc:AlternateContent>
          <mc:Choice Requires="wps">
            <w:drawing>
              <wp:anchor distT="0" distB="0" distL="114300" distR="114300" simplePos="0" relativeHeight="251683840" behindDoc="0" locked="0" layoutInCell="1" allowOverlap="1">
                <wp:simplePos x="0" y="0"/>
                <wp:positionH relativeFrom="column">
                  <wp:posOffset>1106170</wp:posOffset>
                </wp:positionH>
                <wp:positionV relativeFrom="paragraph">
                  <wp:posOffset>184150</wp:posOffset>
                </wp:positionV>
                <wp:extent cx="1463675" cy="538480"/>
                <wp:effectExtent l="7620" t="7620" r="14605" b="25400"/>
                <wp:wrapNone/>
                <wp:docPr id="42" name="流程图: 可选过程 42"/>
                <wp:cNvGraphicFramePr/>
                <a:graphic xmlns:a="http://schemas.openxmlformats.org/drawingml/2006/main">
                  <a:graphicData uri="http://schemas.microsoft.com/office/word/2010/wordprocessingShape">
                    <wps:wsp>
                      <wps:cNvSpPr/>
                      <wps:spPr>
                        <a:xfrm>
                          <a:off x="0" y="0"/>
                          <a:ext cx="1463675" cy="53848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由新区项目局转给项目单位</w:t>
                            </w:r>
                          </w:p>
                        </w:txbxContent>
                      </wps:txbx>
                      <wps:bodyPr upright="1"/>
                    </wps:wsp>
                  </a:graphicData>
                </a:graphic>
              </wp:anchor>
            </w:drawing>
          </mc:Choice>
          <mc:Fallback>
            <w:pict>
              <v:shape id="_x0000_s1026" o:spid="_x0000_s1026" o:spt="176" type="#_x0000_t176" style="position:absolute;left:0pt;margin-left:87.1pt;margin-top:14.5pt;height:42.4pt;width:115.25pt;z-index:251683840;mso-width-relative:page;mso-height-relative:page;" filled="f" stroked="t" coordsize="21600,21600" o:gfxdata="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jk&#10;J43WAAAACgEAAA8AAAAAAAAAAQAgAAAAIgAAAGRycy9kb3ducmV2LnhtbFBLAQIUABQAAAAIAIdO&#10;4kBTr9OdJQIAACkEAAAOAAAAAAAAAAEAIAAAACUBAABkcnMvZTJvRG9jLnhtbFBLBQYAAAAABgAG&#10;AFkBAAC8BQAAAAA=&#10;">
                <v:fill on="f" focussize="0,0"/>
                <v:stroke weight="1.25pt" color="#000000" joinstyle="miter"/>
                <v:imagedata o:title=""/>
                <o:lock v:ext="edit" aspectratio="f"/>
                <v:textbo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由新区项目局转给项目单位</w:t>
                      </w:r>
                    </w:p>
                  </w:txbxContent>
                </v:textbox>
              </v:shape>
            </w:pict>
          </mc:Fallback>
        </mc:AlternateContent>
      </w:r>
    </w:p>
    <w:p>
      <w:pPr>
        <w:spacing w:before="156" w:beforeLines="50"/>
        <w:jc w:val="left"/>
        <w:rPr>
          <w:rFonts w:hint="eastAsia" w:ascii="黑体" w:hAnsi="黑体" w:eastAsia="黑体" w:cs="黑体"/>
          <w:color w:val="auto"/>
          <w:sz w:val="24"/>
          <w:szCs w:val="24"/>
        </w:rPr>
      </w:pPr>
    </w:p>
    <w:p>
      <w:pPr>
        <w:spacing w:before="156" w:beforeLines="50"/>
        <w:jc w:val="left"/>
        <w:rPr>
          <w:rFonts w:hint="eastAsia" w:ascii="黑体" w:hAnsi="黑体" w:eastAsia="黑体" w:cs="黑体"/>
          <w:color w:val="auto"/>
          <w:sz w:val="24"/>
          <w:szCs w:val="24"/>
        </w:rPr>
      </w:pPr>
    </w:p>
    <w:p>
      <w:pPr>
        <w:ind w:firstLine="640" w:firstLineChars="200"/>
        <w:rPr>
          <w:rFonts w:hint="eastAsia" w:ascii="仿宋_GB2312" w:hAnsi="仿宋_GB2312" w:eastAsia="仿宋_GB2312" w:cs="仿宋_GB2312"/>
          <w:color w:val="auto"/>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p>
    <w:p>
      <w:pPr>
        <w:bidi w:val="0"/>
        <w:jc w:val="center"/>
        <w:rPr>
          <w:rFonts w:hint="eastAsia"/>
          <w:b/>
          <w:bCs/>
          <w:color w:val="auto"/>
        </w:rPr>
      </w:pPr>
      <w:r>
        <w:rPr>
          <w:rFonts w:hint="eastAsia"/>
          <w:b/>
          <w:bCs/>
          <w:color w:val="auto"/>
        </w:rPr>
        <w:t>建设项目环境影响报告书（表）</w:t>
      </w:r>
    </w:p>
    <w:p>
      <w:pPr>
        <w:bidi w:val="0"/>
        <w:jc w:val="center"/>
        <w:rPr>
          <w:rFonts w:hint="eastAsia"/>
          <w:b/>
          <w:bCs/>
          <w:color w:val="auto"/>
          <w:lang w:eastAsia="zh-CN"/>
        </w:rPr>
      </w:pPr>
      <w:bookmarkStart w:id="361" w:name="_Toc27849"/>
      <w:r>
        <w:rPr>
          <w:rFonts w:hint="eastAsia"/>
          <w:b/>
          <w:bCs/>
          <w:color w:val="auto"/>
        </w:rPr>
        <w:t>审批</w:t>
      </w:r>
      <w:r>
        <w:rPr>
          <w:rFonts w:hint="eastAsia"/>
          <w:b/>
          <w:bCs/>
          <w:color w:val="auto"/>
          <w:lang w:eastAsia="zh-CN"/>
        </w:rPr>
        <w:t>转报流程</w:t>
      </w:r>
      <w:bookmarkEnd w:id="361"/>
    </w:p>
    <w:p>
      <w:pPr>
        <w:bidi w:val="0"/>
        <w:jc w:val="center"/>
        <w:rPr>
          <w:rFonts w:hint="eastAsia"/>
          <w:b/>
          <w:bCs/>
          <w:color w:val="auto"/>
          <w:lang w:eastAsia="zh-CN"/>
        </w:rPr>
      </w:pPr>
      <w:r>
        <w:rPr>
          <w:rFonts w:hint="eastAsia"/>
          <w:color w:val="auto"/>
        </w:rPr>
        <mc:AlternateContent>
          <mc:Choice Requires="wps">
            <w:drawing>
              <wp:anchor distT="0" distB="0" distL="114300" distR="114300" simplePos="0" relativeHeight="251693056" behindDoc="0" locked="0" layoutInCell="1" allowOverlap="1">
                <wp:simplePos x="0" y="0"/>
                <wp:positionH relativeFrom="column">
                  <wp:posOffset>3112770</wp:posOffset>
                </wp:positionH>
                <wp:positionV relativeFrom="paragraph">
                  <wp:posOffset>328930</wp:posOffset>
                </wp:positionV>
                <wp:extent cx="3136265" cy="4157980"/>
                <wp:effectExtent l="4445" t="4445" r="21590" b="9525"/>
                <wp:wrapNone/>
                <wp:docPr id="67" name="圆角矩形 67"/>
                <wp:cNvGraphicFramePr/>
                <a:graphic xmlns:a="http://schemas.openxmlformats.org/drawingml/2006/main">
                  <a:graphicData uri="http://schemas.microsoft.com/office/word/2010/wordprocessingShape">
                    <wps:wsp>
                      <wps:cNvSpPr/>
                      <wps:spPr>
                        <a:xfrm>
                          <a:off x="0" y="0"/>
                          <a:ext cx="3136265" cy="41579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300" w:lineRule="exact"/>
                              <w:ind w:firstLine="361" w:firstLineChars="200"/>
                              <w:jc w:val="left"/>
                              <w:textAlignment w:val="auto"/>
                              <w:rPr>
                                <w:rFonts w:hint="eastAsia"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1.建设项目环境影响报告书、表审批书面申请；</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2.具有相应资质环境影响评价机构编制的环境影响报告书、表（报批版）及其书面评估（评审）意见；</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3.属备案类的项目，需提交市（州）发改部门出具的项目备案文件（备案证）；</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4.涉及影响水土保持的项目，由相应权限水利部门出具的生产建设项目水土保持方案许可文件；</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5.同级环境保护行政主管部门出具的项目排放污染物总量指标来源确认函（非污染生态类及污染防治类项目除外）。</w:t>
                            </w:r>
                          </w:p>
                        </w:txbxContent>
                      </wps:txbx>
                      <wps:bodyPr upright="1"/>
                    </wps:wsp>
                  </a:graphicData>
                </a:graphic>
              </wp:anchor>
            </w:drawing>
          </mc:Choice>
          <mc:Fallback>
            <w:pict>
              <v:roundrect id="_x0000_s1026" o:spid="_x0000_s1026" o:spt="2" style="position:absolute;left:0pt;margin-left:245.1pt;margin-top:25.9pt;height:327.4pt;width:246.95pt;z-index:251693056;mso-width-relative:page;mso-height-relative:page;" fillcolor="#FFFFFF" filled="t" stroked="t" coordsize="21600,21600" arcsize="0.166666666666667" o:gfxdata="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bF5MdcAAAAKAQAADwAAAAAAAAABACAAAAAiAAAAZHJzL2Rvd25yZXYueG1sUEsBAhQAFAAAAAgA&#10;h07iQMyS7RUmAgAAWQQAAA4AAAAAAAAAAQAgAAAAJgEAAGRycy9lMm9Eb2MueG1sUEsFBgAAAAAG&#10;AAYAWQEAAL4FAAAAAA==&#10;">
                <v:fill on="t" focussize="0,0"/>
                <v:stroke color="#000000"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00" w:lineRule="exact"/>
                        <w:ind w:firstLine="361" w:firstLineChars="200"/>
                        <w:jc w:val="left"/>
                        <w:textAlignment w:val="auto"/>
                        <w:rPr>
                          <w:rFonts w:hint="eastAsia"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1.建设项目环境影响报告书、表审批书面申请；</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2.具有相应资质环境影响评价机构编制的环境影响报告书、表（报批版）及其书面评估（评审）意见；</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3.属备案类的项目，需提交市（州）发改部门出具的项目备案文件（备案证）；</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4.涉及影响水土保持的项目，由相应权限水利部门出具的生产建设项目水土保持方案许可文件；</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r>
                        <w:rPr>
                          <w:rFonts w:hint="eastAsia" w:ascii="仿宋_GB2312" w:eastAsia="仿宋_GB2312"/>
                          <w:szCs w:val="32"/>
                        </w:rPr>
                        <w:t>5.同级环境保护行政主管部门出具的项目排放污染物总量指标来源确认函（非污染生态类及污染防治类项目除外）。</w:t>
                      </w:r>
                    </w:p>
                  </w:txbxContent>
                </v:textbox>
              </v:roundrect>
            </w:pict>
          </mc:Fallback>
        </mc:AlternateContent>
      </w:r>
    </w:p>
    <w:p>
      <w:pPr>
        <w:rPr>
          <w:rFonts w:hint="eastAsia" w:ascii="楷体_GB2312" w:eastAsia="楷体_GB2312"/>
          <w:b/>
          <w:color w:val="auto"/>
          <w:sz w:val="32"/>
          <w:szCs w:val="32"/>
        </w:rPr>
      </w:pPr>
    </w:p>
    <w:p>
      <w:pPr>
        <w:rPr>
          <w:rFonts w:hint="eastAsia" w:ascii="楷体_GB2312" w:eastAsia="楷体_GB2312"/>
          <w:b/>
          <w:color w:val="auto"/>
          <w:sz w:val="32"/>
          <w:szCs w:val="32"/>
        </w:rPr>
      </w:pPr>
    </w:p>
    <w:p>
      <w:pPr>
        <w:rPr>
          <w:rFonts w:hint="eastAsia"/>
          <w:color w:val="auto"/>
        </w:rPr>
      </w:pPr>
    </w:p>
    <w:p>
      <w:pPr>
        <w:rPr>
          <w:rFonts w:hint="eastAsia"/>
          <w:color w:val="auto"/>
        </w:rPr>
      </w:pPr>
      <w:r>
        <w:rPr>
          <w:color w:val="auto"/>
        </w:rPr>
        <mc:AlternateContent>
          <mc:Choice Requires="wps">
            <w:drawing>
              <wp:anchor distT="0" distB="0" distL="114300" distR="114300" simplePos="0" relativeHeight="251687936" behindDoc="0" locked="0" layoutInCell="1" allowOverlap="1">
                <wp:simplePos x="0" y="0"/>
                <wp:positionH relativeFrom="column">
                  <wp:posOffset>1132205</wp:posOffset>
                </wp:positionH>
                <wp:positionV relativeFrom="paragraph">
                  <wp:posOffset>3175</wp:posOffset>
                </wp:positionV>
                <wp:extent cx="1319530" cy="506730"/>
                <wp:effectExtent l="4445" t="5080" r="9525" b="21590"/>
                <wp:wrapNone/>
                <wp:docPr id="64" name="圆角矩形 64"/>
                <wp:cNvGraphicFramePr/>
                <a:graphic xmlns:a="http://schemas.openxmlformats.org/drawingml/2006/main">
                  <a:graphicData uri="http://schemas.microsoft.com/office/word/2010/wordprocessingShape">
                    <wps:wsp>
                      <wps:cNvSpPr/>
                      <wps:spPr>
                        <a:xfrm>
                          <a:off x="0" y="0"/>
                          <a:ext cx="1319530" cy="5067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b/>
                                <w:szCs w:val="21"/>
                                <w:lang w:eastAsia="zh-CN"/>
                              </w:rPr>
                            </w:pPr>
                            <w:r>
                              <w:rPr>
                                <w:rFonts w:hint="eastAsia"/>
                                <w:b/>
                                <w:szCs w:val="21"/>
                                <w:lang w:eastAsia="zh-CN"/>
                              </w:rPr>
                              <w:t>项目单位</w:t>
                            </w:r>
                          </w:p>
                        </w:txbxContent>
                      </wps:txbx>
                      <wps:bodyPr lIns="91440" tIns="82800" rIns="91440" bIns="45720" upright="1"/>
                    </wps:wsp>
                  </a:graphicData>
                </a:graphic>
              </wp:anchor>
            </w:drawing>
          </mc:Choice>
          <mc:Fallback>
            <w:pict>
              <v:roundrect id="_x0000_s1026" o:spid="_x0000_s1026" o:spt="2" style="position:absolute;left:0pt;margin-left:89.15pt;margin-top:0.25pt;height:39.9pt;width:103.9pt;z-index:251687936;mso-width-relative:page;mso-height-relative:page;" fillcolor="#FFFFFF" filled="t" stroked="t" coordsize="21600,21600" arcsize="0.166666666666667" o:gfxdata="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ARU5zWAAAABwEAAA8AAAAAAAAAAQAgAAAAIgAAAGRy&#10;cy9kb3ducmV2LnhtbFBLAQIUABQAAAAIAIdO4kAA/9F6QAIAAIwEAAAOAAAAAAAAAAEAIAAAACUB&#10;AABkcnMvZTJvRG9jLnhtbFBLBQYAAAAABgAGAFkBAADXBQAAAAA=&#10;">
                <v:fill on="t" focussize="0,0"/>
                <v:stroke color="#000000" joinstyle="round"/>
                <v:imagedata o:title=""/>
                <o:lock v:ext="edit" aspectratio="f"/>
                <v:textbox inset="2.54mm,2.3mm,2.54mm,1.27mm">
                  <w:txbxContent>
                    <w:p>
                      <w:pPr>
                        <w:jc w:val="center"/>
                        <w:rPr>
                          <w:rFonts w:hint="eastAsia" w:eastAsia="宋体"/>
                          <w:b/>
                          <w:szCs w:val="21"/>
                          <w:lang w:eastAsia="zh-CN"/>
                        </w:rPr>
                      </w:pPr>
                      <w:r>
                        <w:rPr>
                          <w:rFonts w:hint="eastAsia"/>
                          <w:b/>
                          <w:szCs w:val="21"/>
                          <w:lang w:eastAsia="zh-CN"/>
                        </w:rPr>
                        <w:t>项目单位</w:t>
                      </w:r>
                    </w:p>
                  </w:txbxContent>
                </v:textbox>
              </v:roundrect>
            </w:pict>
          </mc:Fallback>
        </mc:AlternateContent>
      </w:r>
    </w:p>
    <w:p>
      <w:pPr>
        <w:rPr>
          <w:rFonts w:hint="eastAsia"/>
          <w:color w:val="auto"/>
        </w:rPr>
      </w:pPr>
      <w:r>
        <w:rPr>
          <w:color w:val="auto"/>
        </w:rPr>
        <mc:AlternateContent>
          <mc:Choice Requires="wps">
            <w:drawing>
              <wp:anchor distT="0" distB="0" distL="114300" distR="114300" simplePos="0" relativeHeight="251689984" behindDoc="0" locked="0" layoutInCell="1" allowOverlap="1">
                <wp:simplePos x="0" y="0"/>
                <wp:positionH relativeFrom="column">
                  <wp:posOffset>1862455</wp:posOffset>
                </wp:positionH>
                <wp:positionV relativeFrom="paragraph">
                  <wp:posOffset>309245</wp:posOffset>
                </wp:positionV>
                <wp:extent cx="635" cy="614680"/>
                <wp:effectExtent l="71120" t="0" r="80645" b="13970"/>
                <wp:wrapNone/>
                <wp:docPr id="59" name="直接连接符 59"/>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6.65pt;margin-top:24.35pt;height:48.4pt;width:0.05pt;z-index:251689984;mso-width-relative:page;mso-height-relative:page;" filled="f" stroked="t" coordsize="21600,21600" o:gfxdata="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x2U33AAAAAoBAAAPAAAAAAAAAAEAIAAAACIA&#10;AABkcnMvZG93bnJldi54bWxQSwECFAAUAAAACACHTuJAfemJWQUCAADyAwAADgAAAAAAAAABACAA&#10;AAArAQAAZHJzL2Uyb0RvYy54bWxQSwUGAAAAAAYABgBZAQAAogUAAAAA&#10;">
                <v:fill on="f" focussize="0,0"/>
                <v:stroke weight="3.75pt" color="#000000" linestyle="thickThin" joinstyle="round" endarrow="block"/>
                <v:imagedata o:title=""/>
                <o:lock v:ext="edit" aspectratio="f"/>
              </v:line>
            </w:pict>
          </mc:Fallback>
        </mc:AlternateContent>
      </w:r>
      <w:r>
        <w:rPr>
          <w:rFonts w:hint="eastAsia"/>
          <w:color w:val="auto"/>
        </w:rPr>
        <mc:AlternateContent>
          <mc:Choice Requires="wps">
            <w:drawing>
              <wp:anchor distT="0" distB="0" distL="114300" distR="114300" simplePos="0" relativeHeight="251692032" behindDoc="0" locked="0" layoutInCell="1" allowOverlap="1">
                <wp:simplePos x="0" y="0"/>
                <wp:positionH relativeFrom="column">
                  <wp:posOffset>-154940</wp:posOffset>
                </wp:positionH>
                <wp:positionV relativeFrom="paragraph">
                  <wp:posOffset>269875</wp:posOffset>
                </wp:positionV>
                <wp:extent cx="1257300" cy="532765"/>
                <wp:effectExtent l="4445" t="4445" r="14605" b="15240"/>
                <wp:wrapNone/>
                <wp:docPr id="60" name="圆角矩形 60"/>
                <wp:cNvGraphicFramePr/>
                <a:graphic xmlns:a="http://schemas.openxmlformats.org/drawingml/2006/main">
                  <a:graphicData uri="http://schemas.microsoft.com/office/word/2010/wordprocessingShape">
                    <wps:wsp>
                      <wps:cNvSpPr/>
                      <wps:spPr>
                        <a:xfrm flipV="1">
                          <a:off x="0" y="0"/>
                          <a:ext cx="1257300" cy="5327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8"/>
                                <w:szCs w:val="18"/>
                              </w:rPr>
                            </w:pPr>
                            <w:r>
                              <w:rPr>
                                <w:rFonts w:hint="eastAsia"/>
                                <w:sz w:val="18"/>
                                <w:szCs w:val="18"/>
                              </w:rPr>
                              <w:t>不予受理或补充材料（一次性告知）</w:t>
                            </w:r>
                          </w:p>
                        </w:txbxContent>
                      </wps:txbx>
                      <wps:bodyPr upright="1"/>
                    </wps:wsp>
                  </a:graphicData>
                </a:graphic>
              </wp:anchor>
            </w:drawing>
          </mc:Choice>
          <mc:Fallback>
            <w:pict>
              <v:roundrect id="_x0000_s1026" o:spid="_x0000_s1026" o:spt="2" style="position:absolute;left:0pt;flip:y;margin-left:-12.2pt;margin-top:21.25pt;height:41.95pt;width:99pt;z-index:251692032;mso-width-relative:page;mso-height-relative:page;" fillcolor="#FFFFFF" filled="t" stroked="t" coordsize="21600,21600" arcsize="0.166666666666667" o:gfxdata="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40HRjZAAAACgEAAA8AAAAAAAAAAQAgAAAAIgAAAGRycy9kb3ducmV2LnhtbFBLAQIU&#10;ABQAAAAIAIdO4kDuK9jDKwIAAGIEAAAOAAAAAAAAAAEAIAAAACgBAABkcnMvZTJvRG9jLnhtbFBL&#10;BQYAAAAABgAGAFkBAADFBQAAAAA=&#10;">
                <v:fill on="t" focussize="0,0"/>
                <v:stroke color="#000000" joinstyle="round"/>
                <v:imagedata o:title=""/>
                <o:lock v:ext="edit" aspectratio="f"/>
                <v:textbox>
                  <w:txbxContent>
                    <w:p>
                      <w:pPr>
                        <w:rPr>
                          <w:rFonts w:hint="eastAsia"/>
                          <w:sz w:val="18"/>
                          <w:szCs w:val="18"/>
                        </w:rPr>
                      </w:pPr>
                      <w:r>
                        <w:rPr>
                          <w:rFonts w:hint="eastAsia"/>
                          <w:sz w:val="18"/>
                          <w:szCs w:val="18"/>
                        </w:rPr>
                        <w:t>不予受理或补充材料（一次性告知）</w:t>
                      </w:r>
                    </w:p>
                  </w:txbxContent>
                </v:textbox>
              </v:roundrect>
            </w:pict>
          </mc:Fallback>
        </mc:AlternateContent>
      </w:r>
      <w:r>
        <w:rPr>
          <w:color w:val="auto"/>
        </w:rPr>
        <mc:AlternateContent>
          <mc:Choice Requires="wps">
            <w:drawing>
              <wp:anchor distT="0" distB="0" distL="114300" distR="114300" simplePos="0" relativeHeight="251694080" behindDoc="0" locked="0" layoutInCell="1" allowOverlap="1">
                <wp:simplePos x="0" y="0"/>
                <wp:positionH relativeFrom="column">
                  <wp:posOffset>377190</wp:posOffset>
                </wp:positionH>
                <wp:positionV relativeFrom="paragraph">
                  <wp:posOffset>15875</wp:posOffset>
                </wp:positionV>
                <wp:extent cx="635" cy="201295"/>
                <wp:effectExtent l="4445" t="0" r="13970" b="8255"/>
                <wp:wrapNone/>
                <wp:docPr id="58" name="直接连接符 58"/>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7pt;margin-top:1.25pt;height:15.85pt;width:0.05pt;z-index:251694080;mso-width-relative:page;mso-height-relative:page;" filled="f" stroked="t" coordsize="21600,21600" o:gfxdata="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luBO1QAAAAYBAAAPAAAAAAAAAAEAIAAAACIAAABkcnMvZG93bnJldi54bWxQSwECFAAU&#10;AAAACACHTuJAeesNgPQBAADnAwAADgAAAAAAAAABACAAAAAkAQAAZHJzL2Uyb0RvYy54bWxQSwUG&#10;AAAAAAYABgBZAQAAigU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377190</wp:posOffset>
                </wp:positionH>
                <wp:positionV relativeFrom="paragraph">
                  <wp:posOffset>15875</wp:posOffset>
                </wp:positionV>
                <wp:extent cx="754380" cy="0"/>
                <wp:effectExtent l="0" t="38100" r="7620" b="38100"/>
                <wp:wrapNone/>
                <wp:docPr id="62" name="直接连接符 62"/>
                <wp:cNvGraphicFramePr/>
                <a:graphic xmlns:a="http://schemas.openxmlformats.org/drawingml/2006/main">
                  <a:graphicData uri="http://schemas.microsoft.com/office/word/2010/wordprocessingShape">
                    <wps:wsp>
                      <wps:cNvCnPr/>
                      <wps:spPr>
                        <a:xfrm>
                          <a:off x="0" y="0"/>
                          <a:ext cx="7543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7pt;margin-top:1.25pt;height:0pt;width:59.4pt;z-index:251691008;mso-width-relative:page;mso-height-relative:page;" filled="f" stroked="t" coordsize="21600,21600" o:gfxdata="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KxHu9UAAAAGAQAADwAAAAAAAAABACAAAAAiAAAAZHJzL2Rvd25yZXYu&#10;eG1sUEsBAhQAFAAAAAgAh07iQB7ku6b+AQAA6QMAAA4AAAAAAAAAAQAgAAAAJAEAAGRycy9lMm9E&#10;b2MueG1sUEsFBgAAAAAGAAYAWQEAAJQ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97152" behindDoc="0" locked="0" layoutInCell="1" allowOverlap="1">
                <wp:simplePos x="0" y="0"/>
                <wp:positionH relativeFrom="column">
                  <wp:posOffset>2451735</wp:posOffset>
                </wp:positionH>
                <wp:positionV relativeFrom="paragraph">
                  <wp:posOffset>62230</wp:posOffset>
                </wp:positionV>
                <wp:extent cx="565785" cy="0"/>
                <wp:effectExtent l="0" t="38100" r="5715" b="38100"/>
                <wp:wrapNone/>
                <wp:docPr id="61" name="直接连接符 61"/>
                <wp:cNvGraphicFramePr/>
                <a:graphic xmlns:a="http://schemas.openxmlformats.org/drawingml/2006/main">
                  <a:graphicData uri="http://schemas.microsoft.com/office/word/2010/wordprocessingShape">
                    <wps:wsp>
                      <wps:cNvCnPr/>
                      <wps:spPr>
                        <a:xfrm>
                          <a:off x="0" y="0"/>
                          <a:ext cx="5657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05pt;margin-top:4.9pt;height:0pt;width:44.55pt;z-index:251697152;mso-width-relative:page;mso-height-relative:page;" filled="f" stroked="t" coordsize="21600,21600" o:gfxdata="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zQIZ9cAAAAHAQAADwAAAAAAAAABACAAAAAiAAAAZHJzL2Rvd25yZXYu&#10;eG1sUEsBAhQAFAAAAAgAh07iQB3T2yH8AQAA6QMAAA4AAAAAAAAAAQAgAAAAJgEAAGRycy9lMm9E&#10;b2MueG1sUEsFBgAAAAAGAAYAWQEAAJQFAAAAAA==&#10;">
                <v:fill on="f" focussize="0,0"/>
                <v:stroke color="#000000" joinstyle="round" endarrow="block"/>
                <v:imagedata o:title=""/>
                <o:lock v:ext="edit" aspectratio="f"/>
              </v:line>
            </w:pict>
          </mc:Fallback>
        </mc:AlternateContent>
      </w:r>
    </w:p>
    <w:p>
      <w:pPr>
        <w:rPr>
          <w:rFonts w:hint="eastAsia"/>
          <w:color w:val="auto"/>
        </w:rPr>
      </w:pPr>
    </w:p>
    <w:p>
      <w:pPr>
        <w:rPr>
          <w:rFonts w:hint="eastAsia"/>
          <w:color w:val="auto"/>
        </w:rPr>
      </w:pPr>
      <w:r>
        <w:rPr>
          <w:color w:val="auto"/>
        </w:rPr>
        <mc:AlternateContent>
          <mc:Choice Requires="wps">
            <w:drawing>
              <wp:anchor distT="0" distB="0" distL="114300" distR="114300" simplePos="0" relativeHeight="251686912" behindDoc="0" locked="0" layoutInCell="1" allowOverlap="1">
                <wp:simplePos x="0" y="0"/>
                <wp:positionH relativeFrom="column">
                  <wp:posOffset>1217930</wp:posOffset>
                </wp:positionH>
                <wp:positionV relativeFrom="paragraph">
                  <wp:posOffset>335915</wp:posOffset>
                </wp:positionV>
                <wp:extent cx="1449070" cy="411480"/>
                <wp:effectExtent l="4445" t="4445" r="13335" b="22225"/>
                <wp:wrapNone/>
                <wp:docPr id="57" name="圆角矩形 57"/>
                <wp:cNvGraphicFramePr/>
                <a:graphic xmlns:a="http://schemas.openxmlformats.org/drawingml/2006/main">
                  <a:graphicData uri="http://schemas.microsoft.com/office/word/2010/wordprocessingShape">
                    <wps:wsp>
                      <wps:cNvSpPr/>
                      <wps:spPr>
                        <a:xfrm>
                          <a:off x="0" y="0"/>
                          <a:ext cx="1449070" cy="4114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新区项</w:t>
                            </w:r>
                            <w:r>
                              <w:rPr>
                                <w:rFonts w:hint="eastAsia" w:ascii="仿宋_GB2312" w:hAnsi="仿宋_GB2312" w:eastAsia="仿宋_GB2312" w:cs="仿宋_GB2312"/>
                                <w:b/>
                                <w:bCs/>
                                <w:sz w:val="24"/>
                                <w:szCs w:val="24"/>
                                <w:lang w:eastAsia="zh-CN"/>
                              </w:rPr>
                              <w:t>目局</w:t>
                            </w:r>
                          </w:p>
                          <w:p>
                            <w:pPr>
                              <w:rPr>
                                <w:rFonts w:hint="eastAsia"/>
                                <w:sz w:val="18"/>
                                <w:szCs w:val="18"/>
                              </w:rPr>
                            </w:pPr>
                          </w:p>
                        </w:txbxContent>
                      </wps:txbx>
                      <wps:bodyPr lIns="91440" tIns="82800" rIns="91440" bIns="45720" upright="1"/>
                    </wps:wsp>
                  </a:graphicData>
                </a:graphic>
              </wp:anchor>
            </w:drawing>
          </mc:Choice>
          <mc:Fallback>
            <w:pict>
              <v:roundrect id="_x0000_s1026" o:spid="_x0000_s1026" o:spt="2" style="position:absolute;left:0pt;margin-left:95.9pt;margin-top:26.45pt;height:32.4pt;width:114.1pt;z-index:251686912;mso-width-relative:page;mso-height-relative:page;" fillcolor="#FFFFFF" filled="t" stroked="t" coordsize="21600,21600" arcsize="0.166666666666667" o:gfxdata="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&#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G5Yr2AAAAAoBAAAPAAAAAAAAAAEAIAAAACIAAABk&#10;cnMvZG93bnJldi54bWxQSwECFAAUAAAACACHTuJAm/MhST8CAACMBAAADgAAAAAAAAABACAAAAAn&#10;AQAAZHJzL2Uyb0RvYy54bWxQSwUGAAAAAAYABgBZAQAA2AUAAAAA&#10;">
                <v:fill on="t" focussize="0,0"/>
                <v:stroke color="#000000" joinstyle="round"/>
                <v:imagedata o:title=""/>
                <o:lock v:ext="edit" aspectratio="f"/>
                <v:textbox inset="2.54mm,2.3mm,2.54mm,1.27mm">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新区项</w:t>
                      </w:r>
                      <w:r>
                        <w:rPr>
                          <w:rFonts w:hint="eastAsia" w:ascii="仿宋_GB2312" w:hAnsi="仿宋_GB2312" w:eastAsia="仿宋_GB2312" w:cs="仿宋_GB2312"/>
                          <w:b/>
                          <w:bCs/>
                          <w:sz w:val="24"/>
                          <w:szCs w:val="24"/>
                          <w:lang w:eastAsia="zh-CN"/>
                        </w:rPr>
                        <w:t>目局</w:t>
                      </w:r>
                    </w:p>
                    <w:p>
                      <w:pPr>
                        <w:rPr>
                          <w:rFonts w:hint="eastAsia"/>
                          <w:sz w:val="18"/>
                          <w:szCs w:val="18"/>
                        </w:rPr>
                      </w:pPr>
                    </w:p>
                  </w:txbxContent>
                </v:textbox>
              </v:roundrect>
            </w:pict>
          </mc:Fallback>
        </mc:AlternateContent>
      </w:r>
      <w:r>
        <w:rPr>
          <w:rFonts w:hint="eastAsia"/>
          <w:color w:val="auto"/>
        </w:rPr>
        <mc:AlternateContent>
          <mc:Choice Requires="wps">
            <w:drawing>
              <wp:anchor distT="0" distB="0" distL="114300" distR="114300" simplePos="0" relativeHeight="251695104" behindDoc="0" locked="0" layoutInCell="1" allowOverlap="1">
                <wp:simplePos x="0" y="0"/>
                <wp:positionH relativeFrom="column">
                  <wp:posOffset>377190</wp:posOffset>
                </wp:positionH>
                <wp:positionV relativeFrom="paragraph">
                  <wp:posOffset>186055</wp:posOffset>
                </wp:positionV>
                <wp:extent cx="635" cy="316865"/>
                <wp:effectExtent l="0" t="0" r="0" b="0"/>
                <wp:wrapNone/>
                <wp:docPr id="63" name="直接连接符 63"/>
                <wp:cNvGraphicFramePr/>
                <a:graphic xmlns:a="http://schemas.openxmlformats.org/drawingml/2006/main">
                  <a:graphicData uri="http://schemas.microsoft.com/office/word/2010/wordprocessingShape">
                    <wps:wsp>
                      <wps:cNvCnPr/>
                      <wps:spPr>
                        <a:xfrm flipH="1">
                          <a:off x="0" y="0"/>
                          <a:ext cx="635" cy="3168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7pt;margin-top:14.65pt;height:24.95pt;width:0.05pt;z-index:251695104;mso-width-relative:page;mso-height-relative:page;" filled="f" stroked="t" coordsize="21600,21600" o:gfxdata="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Zb+h1QAAAAcBAAAPAAAAAAAAAAEAIAAAACIAAABkcnMvZG93bnJldi54&#10;bWxQSwECFAAUAAAACACHTuJAepSU/f0BAADxAwAADgAAAAAAAAABACAAAAAkAQAAZHJzL2Uyb0Rv&#10;Yy54bWxQSwUGAAAAAAYABgBZAQAAkwUAAAAA&#10;">
                <v:fill on="f" focussize="0,0"/>
                <v:stroke color="#000000" joinstyle="round"/>
                <v:imagedata o:title=""/>
                <o:lock v:ext="edit" aspectratio="f"/>
              </v:line>
            </w:pict>
          </mc:Fallback>
        </mc:AlternateContent>
      </w:r>
    </w:p>
    <w:p>
      <w:pPr>
        <w:rPr>
          <w:rFonts w:hint="eastAsia"/>
          <w:color w:val="auto"/>
        </w:rPr>
      </w:pPr>
      <w:r>
        <w:rPr>
          <w:rFonts w:hint="eastAsia"/>
          <w:color w:val="auto"/>
        </w:rPr>
        <mc:AlternateContent>
          <mc:Choice Requires="wps">
            <w:drawing>
              <wp:anchor distT="0" distB="0" distL="114300" distR="114300" simplePos="0" relativeHeight="251696128" behindDoc="0" locked="0" layoutInCell="1" allowOverlap="1">
                <wp:simplePos x="0" y="0"/>
                <wp:positionH relativeFrom="column">
                  <wp:posOffset>377190</wp:posOffset>
                </wp:positionH>
                <wp:positionV relativeFrom="paragraph">
                  <wp:posOffset>102870</wp:posOffset>
                </wp:positionV>
                <wp:extent cx="754380" cy="0"/>
                <wp:effectExtent l="0" t="0" r="0" b="0"/>
                <wp:wrapNone/>
                <wp:docPr id="56" name="直接连接符 56"/>
                <wp:cNvGraphicFramePr/>
                <a:graphic xmlns:a="http://schemas.openxmlformats.org/drawingml/2006/main">
                  <a:graphicData uri="http://schemas.microsoft.com/office/word/2010/wordprocessingShape">
                    <wps:wsp>
                      <wps:cNvCnPr/>
                      <wps:spPr>
                        <a:xfrm flipH="1">
                          <a:off x="0" y="0"/>
                          <a:ext cx="7543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7pt;margin-top:8.1pt;height:0pt;width:59.4pt;z-index:251696128;mso-width-relative:page;mso-height-relative:page;" filled="f" stroked="t" coordsize="21600,21600" o:gfxdata="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36up1QAAAAgBAAAPAAAAAAAAAAEAIAAAACIAAABkcnMvZG93bnJldi54&#10;bWxQSwECFAAUAAAACACHTuJAZoZQf/0BAADvAwAADgAAAAAAAAABACAAAAAkAQAAZHJzL2Uyb0Rv&#10;Yy54bWxQSwUGAAAAAAYABgBZAQAAkwUAAAAA&#10;">
                <v:fill on="f" focussize="0,0"/>
                <v:stroke color="#000000" joinstyle="round"/>
                <v:imagedata o:title=""/>
                <o:lock v:ext="edit" aspectratio="f"/>
              </v:line>
            </w:pict>
          </mc:Fallback>
        </mc:AlternateContent>
      </w:r>
    </w:p>
    <w:p>
      <w:pPr>
        <w:rPr>
          <w:rFonts w:hint="eastAsia"/>
          <w:color w:val="auto"/>
        </w:rPr>
      </w:pPr>
      <w:r>
        <w:rPr>
          <w:color w:val="auto"/>
        </w:rPr>
        <mc:AlternateContent>
          <mc:Choice Requires="wps">
            <w:drawing>
              <wp:anchor distT="0" distB="0" distL="114300" distR="114300" simplePos="0" relativeHeight="251698176" behindDoc="0" locked="0" layoutInCell="1" allowOverlap="1">
                <wp:simplePos x="0" y="0"/>
                <wp:positionH relativeFrom="column">
                  <wp:posOffset>1795780</wp:posOffset>
                </wp:positionH>
                <wp:positionV relativeFrom="paragraph">
                  <wp:posOffset>78105</wp:posOffset>
                </wp:positionV>
                <wp:extent cx="635" cy="614680"/>
                <wp:effectExtent l="71120" t="0" r="80645" b="13970"/>
                <wp:wrapNone/>
                <wp:docPr id="54" name="直接连接符 54"/>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1.4pt;margin-top:6.15pt;height:48.4pt;width:0.05pt;z-index:251698176;mso-width-relative:page;mso-height-relative:page;" filled="f" stroked="t" coordsize="21600,21600" o:gfxdata="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&#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OV7ydoAAAAKAQAADwAAAAAAAAABACAAAAAiAAAA&#10;ZHJzL2Rvd25yZXYueG1sUEsBAhQAFAAAAAgAh07iQMAIUT8FAgAA8gMAAA4AAAAAAAAAAQAgAAAA&#10;KQEAAGRycy9lMm9Eb2MueG1sUEsFBgAAAAAGAAYAWQEAAKAFAAAAAA==&#10;">
                <v:fill on="f" focussize="0,0"/>
                <v:stroke weight="3.75pt" color="#000000" linestyle="thickThin" joinstyle="round" endarrow="block"/>
                <v:imagedata o:title=""/>
                <o:lock v:ext="edit" aspectratio="f"/>
              </v:line>
            </w:pict>
          </mc:Fallback>
        </mc:AlternateContent>
      </w:r>
    </w:p>
    <w:p>
      <w:pPr>
        <w:rPr>
          <w:rFonts w:hint="eastAsia"/>
          <w:color w:val="auto"/>
        </w:rPr>
      </w:pPr>
    </w:p>
    <w:p>
      <w:pPr>
        <w:rPr>
          <w:rFonts w:hint="eastAsia"/>
          <w:color w:val="auto"/>
        </w:rPr>
      </w:pPr>
      <w:r>
        <w:rPr>
          <w:color w:val="auto"/>
        </w:rPr>
        <mc:AlternateContent>
          <mc:Choice Requires="wps">
            <w:drawing>
              <wp:anchor distT="0" distB="0" distL="114300" distR="114300" simplePos="0" relativeHeight="251685888" behindDoc="0" locked="0" layoutInCell="1" allowOverlap="1">
                <wp:simplePos x="0" y="0"/>
                <wp:positionH relativeFrom="column">
                  <wp:posOffset>1069340</wp:posOffset>
                </wp:positionH>
                <wp:positionV relativeFrom="paragraph">
                  <wp:posOffset>130175</wp:posOffset>
                </wp:positionV>
                <wp:extent cx="2226310" cy="508000"/>
                <wp:effectExtent l="4445" t="5080" r="17145" b="20320"/>
                <wp:wrapNone/>
                <wp:docPr id="55" name="圆角矩形 55"/>
                <wp:cNvGraphicFramePr/>
                <a:graphic xmlns:a="http://schemas.openxmlformats.org/drawingml/2006/main">
                  <a:graphicData uri="http://schemas.microsoft.com/office/word/2010/wordprocessingShape">
                    <wps:wsp>
                      <wps:cNvSpPr/>
                      <wps:spPr>
                        <a:xfrm>
                          <a:off x="0" y="0"/>
                          <a:ext cx="2226310" cy="508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szCs w:val="21"/>
                              </w:rPr>
                            </w:pPr>
                            <w:r>
                              <w:rPr>
                                <w:rFonts w:hint="eastAsia"/>
                                <w:b/>
                                <w:szCs w:val="21"/>
                                <w:lang w:eastAsia="zh-CN"/>
                              </w:rPr>
                              <w:t>环保局政务大厅窗口</w:t>
                            </w:r>
                          </w:p>
                        </w:txbxContent>
                      </wps:txbx>
                      <wps:bodyPr lIns="91440" tIns="82800" rIns="91440" bIns="45720" upright="1"/>
                    </wps:wsp>
                  </a:graphicData>
                </a:graphic>
              </wp:anchor>
            </w:drawing>
          </mc:Choice>
          <mc:Fallback>
            <w:pict>
              <v:roundrect id="_x0000_s1026" o:spid="_x0000_s1026" o:spt="2" style="position:absolute;left:0pt;margin-left:84.2pt;margin-top:10.25pt;height:40pt;width:175.3pt;z-index:251685888;mso-width-relative:page;mso-height-relative:page;" fillcolor="#FFFFFF" filled="t" stroked="t" coordsize="21600,21600" arcsize="0.166666666666667" o:gfxdata="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CwQW2AAAAAoBAAAPAAAAAAAAAAEAIAAAACIA&#10;AABkcnMvZG93bnJldi54bWxQSwECFAAUAAAACACHTuJAaO4ZXUICAACMBAAADgAAAAAAAAABACAA&#10;AAAnAQAAZHJzL2Uyb0RvYy54bWxQSwUGAAAAAAYABgBZAQAA2wUAAAAA&#10;">
                <v:fill on="t" focussize="0,0"/>
                <v:stroke color="#000000" joinstyle="round"/>
                <v:imagedata o:title=""/>
                <o:lock v:ext="edit" aspectratio="f"/>
                <v:textbox inset="2.54mm,2.3mm,2.54mm,1.27mm">
                  <w:txbxContent>
                    <w:p>
                      <w:pPr>
                        <w:jc w:val="center"/>
                        <w:rPr>
                          <w:rFonts w:hint="eastAsia"/>
                          <w:b/>
                          <w:szCs w:val="21"/>
                        </w:rPr>
                      </w:pPr>
                      <w:r>
                        <w:rPr>
                          <w:rFonts w:hint="eastAsia"/>
                          <w:b/>
                          <w:szCs w:val="21"/>
                          <w:lang w:eastAsia="zh-CN"/>
                        </w:rPr>
                        <w:t>环保局政务大厅窗口</w:t>
                      </w:r>
                    </w:p>
                  </w:txbxContent>
                </v:textbox>
              </v:roundrect>
            </w:pict>
          </mc:Fallback>
        </mc:AlternateContent>
      </w:r>
    </w:p>
    <w:p>
      <w:pPr>
        <w:rPr>
          <w:rFonts w:hint="eastAsia"/>
          <w:color w:val="auto"/>
        </w:rPr>
      </w:pPr>
    </w:p>
    <w:p>
      <w:pPr>
        <w:rPr>
          <w:rFonts w:hint="eastAsia"/>
          <w:color w:val="auto"/>
        </w:rPr>
      </w:pPr>
      <w:r>
        <w:rPr>
          <w:rFonts w:hint="eastAsia"/>
          <w:color w:val="auto"/>
        </w:rPr>
        <mc:AlternateContent>
          <mc:Choice Requires="wps">
            <w:drawing>
              <wp:anchor distT="0" distB="0" distL="114300" distR="114300" simplePos="0" relativeHeight="251699200" behindDoc="0" locked="0" layoutInCell="1" allowOverlap="1">
                <wp:simplePos x="0" y="0"/>
                <wp:positionH relativeFrom="column">
                  <wp:posOffset>1813560</wp:posOffset>
                </wp:positionH>
                <wp:positionV relativeFrom="paragraph">
                  <wp:posOffset>38100</wp:posOffset>
                </wp:positionV>
                <wp:extent cx="17145" cy="591185"/>
                <wp:effectExtent l="67310" t="635" r="67945" b="17780"/>
                <wp:wrapNone/>
                <wp:docPr id="52" name="直接连接符 52"/>
                <wp:cNvGraphicFramePr/>
                <a:graphic xmlns:a="http://schemas.openxmlformats.org/drawingml/2006/main">
                  <a:graphicData uri="http://schemas.microsoft.com/office/word/2010/wordprocessingShape">
                    <wps:wsp>
                      <wps:cNvCnPr/>
                      <wps:spPr>
                        <a:xfrm flipH="1">
                          <a:off x="0" y="0"/>
                          <a:ext cx="17145" cy="591185"/>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42.8pt;margin-top:3pt;height:46.55pt;width:1.35pt;z-index:251699200;mso-width-relative:page;mso-height-relative:page;" filled="f" stroked="t" coordsize="21600,21600" o:gfxdata="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xunw9UAAAAIAQAADwAAAAAAAAABACAAAAAi&#10;AAAAZHJzL2Rvd25yZXYueG1sUEsBAhQAFAAAAAgAh07iQELb47oNAgAA/gMAAA4AAAAAAAAAAQAg&#10;AAAAJAEAAGRycy9lMm9Eb2MueG1sUEsFBgAAAAAGAAYAWQEAAKMFAAAAAA==&#10;">
                <v:fill on="f" focussize="0,0"/>
                <v:stroke weight="3.75pt" color="#000000" linestyle="thickThin" joinstyle="round" endarrow="block"/>
                <v:imagedata o:title=""/>
                <o:lock v:ext="edit" aspectratio="f"/>
              </v:line>
            </w:pict>
          </mc:Fallback>
        </mc:AlternateContent>
      </w:r>
    </w:p>
    <w:p>
      <w:pPr>
        <w:rPr>
          <w:rFonts w:hint="eastAsia"/>
          <w:color w:val="auto"/>
        </w:rPr>
      </w:pPr>
      <w:r>
        <w:rPr>
          <w:color w:val="auto"/>
        </w:rPr>
        <mc:AlternateContent>
          <mc:Choice Requires="wps">
            <w:drawing>
              <wp:anchor distT="0" distB="0" distL="114300" distR="114300" simplePos="0" relativeHeight="251688960" behindDoc="0" locked="0" layoutInCell="1" allowOverlap="1">
                <wp:simplePos x="0" y="0"/>
                <wp:positionH relativeFrom="column">
                  <wp:posOffset>970280</wp:posOffset>
                </wp:positionH>
                <wp:positionV relativeFrom="paragraph">
                  <wp:posOffset>153670</wp:posOffset>
                </wp:positionV>
                <wp:extent cx="3831590" cy="612140"/>
                <wp:effectExtent l="4445" t="4445" r="12065" b="12065"/>
                <wp:wrapNone/>
                <wp:docPr id="53" name="圆角矩形 53"/>
                <wp:cNvGraphicFramePr/>
                <a:graphic xmlns:a="http://schemas.openxmlformats.org/drawingml/2006/main">
                  <a:graphicData uri="http://schemas.microsoft.com/office/word/2010/wordprocessingShape">
                    <wps:wsp>
                      <wps:cNvSpPr/>
                      <wps:spPr>
                        <a:xfrm>
                          <a:off x="0" y="0"/>
                          <a:ext cx="3831590" cy="6121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szCs w:val="21"/>
                              </w:rPr>
                            </w:pPr>
                            <w:r>
                              <w:rPr>
                                <w:rFonts w:hint="eastAsia"/>
                                <w:b/>
                                <w:szCs w:val="21"/>
                                <w:lang w:eastAsia="zh-CN"/>
                              </w:rPr>
                              <w:t>环保部门相关科室进行受理并出具批文</w:t>
                            </w:r>
                          </w:p>
                          <w:p>
                            <w:pPr>
                              <w:rPr>
                                <w:rFonts w:hint="eastAsia"/>
                                <w:lang w:eastAsia="zh-CN"/>
                              </w:rPr>
                            </w:pPr>
                          </w:p>
                        </w:txbxContent>
                      </wps:txbx>
                      <wps:bodyPr lIns="91440" tIns="82800" rIns="91440" bIns="45720" upright="1"/>
                    </wps:wsp>
                  </a:graphicData>
                </a:graphic>
              </wp:anchor>
            </w:drawing>
          </mc:Choice>
          <mc:Fallback>
            <w:pict>
              <v:roundrect id="_x0000_s1026" o:spid="_x0000_s1026" o:spt="2" style="position:absolute;left:0pt;margin-left:76.4pt;margin-top:12.1pt;height:48.2pt;width:301.7pt;z-index:251688960;mso-width-relative:page;mso-height-relative:page;" fillcolor="#FFFFFF" filled="t" stroked="t" coordsize="21600,21600" arcsize="0.166666666666667" o:gfxdata="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BzEn7YAAAACgEAAA8AAAAAAAAAAQAgAAAAIgAA&#10;AGRycy9kb3ducmV2LnhtbFBLAQIUABQAAAAIAIdO4kD53GeoQQIAAIwEAAAOAAAAAAAAAAEAIAAA&#10;ACcBAABkcnMvZTJvRG9jLnhtbFBLBQYAAAAABgAGAFkBAADaBQAAAAA=&#10;">
                <v:fill on="t" focussize="0,0"/>
                <v:stroke color="#000000" joinstyle="round"/>
                <v:imagedata o:title=""/>
                <o:lock v:ext="edit" aspectratio="f"/>
                <v:textbox inset="2.54mm,2.3mm,2.54mm,1.27mm">
                  <w:txbxContent>
                    <w:p>
                      <w:pPr>
                        <w:jc w:val="center"/>
                        <w:rPr>
                          <w:rFonts w:hint="eastAsia"/>
                          <w:b/>
                          <w:szCs w:val="21"/>
                        </w:rPr>
                      </w:pPr>
                      <w:r>
                        <w:rPr>
                          <w:rFonts w:hint="eastAsia"/>
                          <w:b/>
                          <w:szCs w:val="21"/>
                          <w:lang w:eastAsia="zh-CN"/>
                        </w:rPr>
                        <w:t>环保部门相关科室进行受理并出具批文</w:t>
                      </w:r>
                    </w:p>
                    <w:p>
                      <w:pPr>
                        <w:rPr>
                          <w:rFonts w:hint="eastAsia"/>
                          <w:lang w:eastAsia="zh-CN"/>
                        </w:rPr>
                      </w:pPr>
                    </w:p>
                  </w:txbxContent>
                </v:textbox>
              </v:roundrect>
            </w:pict>
          </mc:Fallback>
        </mc:AlternateContent>
      </w:r>
    </w:p>
    <w:p>
      <w:pPr>
        <w:rPr>
          <w:rFonts w:hint="eastAsia"/>
          <w:color w:val="auto"/>
        </w:rPr>
      </w:pPr>
    </w:p>
    <w:p>
      <w:pPr>
        <w:rPr>
          <w:rFonts w:hint="eastAsia"/>
          <w:color w:val="auto"/>
        </w:rPr>
      </w:pPr>
      <w:r>
        <w:rPr>
          <w:rFonts w:hint="eastAsia"/>
          <w:color w:val="auto"/>
        </w:rPr>
        <mc:AlternateContent>
          <mc:Choice Requires="wps">
            <w:drawing>
              <wp:anchor distT="0" distB="0" distL="114300" distR="114300" simplePos="0" relativeHeight="251700224" behindDoc="0" locked="0" layoutInCell="1" allowOverlap="1">
                <wp:simplePos x="0" y="0"/>
                <wp:positionH relativeFrom="column">
                  <wp:posOffset>1844675</wp:posOffset>
                </wp:positionH>
                <wp:positionV relativeFrom="paragraph">
                  <wp:posOffset>11430</wp:posOffset>
                </wp:positionV>
                <wp:extent cx="6985" cy="694055"/>
                <wp:effectExtent l="69850" t="0" r="75565" b="10795"/>
                <wp:wrapNone/>
                <wp:docPr id="66" name="直接连接符 66"/>
                <wp:cNvGraphicFramePr/>
                <a:graphic xmlns:a="http://schemas.openxmlformats.org/drawingml/2006/main">
                  <a:graphicData uri="http://schemas.microsoft.com/office/word/2010/wordprocessingShape">
                    <wps:wsp>
                      <wps:cNvCnPr/>
                      <wps:spPr>
                        <a:xfrm flipH="1">
                          <a:off x="0" y="0"/>
                          <a:ext cx="6985" cy="694055"/>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45.25pt;margin-top:0.9pt;height:54.65pt;width:0.55pt;z-index:251700224;mso-width-relative:page;mso-height-relative:page;" filled="f" stroked="t" coordsize="21600,21600" o:gfxdata="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&#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3tqENMAAAAJAQAADwAAAAAAAAABACAAAAAiAAAA&#10;ZHJzL2Rvd25yZXYueG1sUEsBAhQAFAAAAAgAh07iQFR8vf4MAgAA/QMAAA4AAAAAAAAAAQAgAAAA&#10;IgEAAGRycy9lMm9Eb2MueG1sUEsFBgAAAAAGAAYAWQEAAKAFAAAAAA==&#10;">
                <v:fill on="f" focussize="0,0"/>
                <v:stroke weight="3.75pt" color="#000000" linestyle="thickThin" joinstyle="round" endarrow="block"/>
                <v:imagedata o:title=""/>
                <o:lock v:ext="edit" aspectratio="f"/>
              </v:line>
            </w:pict>
          </mc:Fallback>
        </mc:AlternateContent>
      </w:r>
    </w:p>
    <w:p>
      <w:pPr>
        <w:rPr>
          <w:rFonts w:hint="eastAsia"/>
          <w:color w:val="auto"/>
        </w:rPr>
      </w:pPr>
    </w:p>
    <w:p>
      <w:pPr>
        <w:rPr>
          <w:rFonts w:hint="eastAsia"/>
          <w:color w:val="auto"/>
        </w:rPr>
      </w:pPr>
      <w:r>
        <w:rPr>
          <w:color w:val="auto"/>
        </w:rPr>
        <mc:AlternateContent>
          <mc:Choice Requires="wps">
            <w:drawing>
              <wp:anchor distT="0" distB="0" distL="114300" distR="114300" simplePos="0" relativeHeight="251701248" behindDoc="0" locked="0" layoutInCell="1" allowOverlap="1">
                <wp:simplePos x="0" y="0"/>
                <wp:positionH relativeFrom="column">
                  <wp:posOffset>899160</wp:posOffset>
                </wp:positionH>
                <wp:positionV relativeFrom="paragraph">
                  <wp:posOffset>90170</wp:posOffset>
                </wp:positionV>
                <wp:extent cx="2924810" cy="686435"/>
                <wp:effectExtent l="4445" t="4445" r="23495" b="13970"/>
                <wp:wrapNone/>
                <wp:docPr id="65" name="圆角矩形 65"/>
                <wp:cNvGraphicFramePr/>
                <a:graphic xmlns:a="http://schemas.openxmlformats.org/drawingml/2006/main">
                  <a:graphicData uri="http://schemas.microsoft.com/office/word/2010/wordprocessingShape">
                    <wps:wsp>
                      <wps:cNvSpPr/>
                      <wps:spPr>
                        <a:xfrm>
                          <a:off x="0" y="0"/>
                          <a:ext cx="2924810" cy="6864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szCs w:val="21"/>
                              </w:rPr>
                            </w:pPr>
                            <w:r>
                              <w:rPr>
                                <w:rFonts w:hint="eastAsia"/>
                                <w:b/>
                                <w:szCs w:val="21"/>
                                <w:lang w:eastAsia="zh-CN"/>
                              </w:rPr>
                              <w:t>由新区项目局转给项目单位</w:t>
                            </w:r>
                          </w:p>
                          <w:p>
                            <w:pPr>
                              <w:rPr>
                                <w:rFonts w:hint="eastAsia"/>
                                <w:lang w:eastAsia="zh-CN"/>
                              </w:rPr>
                            </w:pPr>
                          </w:p>
                        </w:txbxContent>
                      </wps:txbx>
                      <wps:bodyPr lIns="91440" tIns="82800" rIns="91440" bIns="45720" upright="1"/>
                    </wps:wsp>
                  </a:graphicData>
                </a:graphic>
              </wp:anchor>
            </w:drawing>
          </mc:Choice>
          <mc:Fallback>
            <w:pict>
              <v:roundrect id="_x0000_s1026" o:spid="_x0000_s1026" o:spt="2" style="position:absolute;left:0pt;margin-left:70.8pt;margin-top:7.1pt;height:54.05pt;width:230.3pt;z-index:251701248;mso-width-relative:page;mso-height-relative:page;" fillcolor="#FFFFFF" filled="t" stroked="t" coordsize="21600,21600" arcsize="0.166666666666667" o:gfxdata="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evRH1gAAAAoBAAAPAAAAAAAAAAEAIAAAACIAAABk&#10;cnMvZG93bnJldi54bWxQSwECFAAUAAAACACHTuJAXNr5OEECAACMBAAADgAAAAAAAAABACAAAAAl&#10;AQAAZHJzL2Uyb0RvYy54bWxQSwUGAAAAAAYABgBZAQAA2AUAAAAA&#10;">
                <v:fill on="t" focussize="0,0"/>
                <v:stroke color="#000000" joinstyle="round"/>
                <v:imagedata o:title=""/>
                <o:lock v:ext="edit" aspectratio="f"/>
                <v:textbox inset="2.54mm,2.3mm,2.54mm,1.27mm">
                  <w:txbxContent>
                    <w:p>
                      <w:pPr>
                        <w:jc w:val="center"/>
                        <w:rPr>
                          <w:rFonts w:hint="eastAsia"/>
                          <w:b/>
                          <w:szCs w:val="21"/>
                        </w:rPr>
                      </w:pPr>
                      <w:r>
                        <w:rPr>
                          <w:rFonts w:hint="eastAsia"/>
                          <w:b/>
                          <w:szCs w:val="21"/>
                          <w:lang w:eastAsia="zh-CN"/>
                        </w:rPr>
                        <w:t>由新区项目局转给项目单位</w:t>
                      </w:r>
                    </w:p>
                    <w:p>
                      <w:pPr>
                        <w:rPr>
                          <w:rFonts w:hint="eastAsia"/>
                          <w:lang w:eastAsia="zh-CN"/>
                        </w:rPr>
                      </w:pPr>
                    </w:p>
                  </w:txbxContent>
                </v:textbox>
              </v:roundrect>
            </w:pict>
          </mc:Fallback>
        </mc:AlternateContent>
      </w:r>
    </w:p>
    <w:p>
      <w:pPr>
        <w:rPr>
          <w:rFonts w:hint="eastAsia"/>
          <w:color w:val="auto"/>
        </w:rPr>
      </w:pPr>
    </w:p>
    <w:p>
      <w:pPr>
        <w:bidi w:val="0"/>
        <w:rPr>
          <w:rFonts w:hint="eastAsia"/>
          <w:b/>
          <w:bCs/>
          <w:color w:val="auto"/>
        </w:rPr>
      </w:pPr>
      <w:r>
        <w:rPr>
          <w:rFonts w:hint="eastAsia"/>
          <w:color w:val="auto"/>
        </w:rPr>
        <w:t xml:space="preserve">　　　 </w:t>
      </w:r>
      <w:r>
        <w:rPr>
          <w:rFonts w:hint="eastAsia"/>
          <w:b/>
          <w:bCs/>
          <w:color w:val="auto"/>
        </w:rPr>
        <w:t>固定资产投资项目节能评估和审查</w:t>
      </w:r>
      <w:bookmarkStart w:id="362" w:name="_Toc28377"/>
      <w:r>
        <w:rPr>
          <w:rFonts w:hint="eastAsia"/>
          <w:b/>
          <w:bCs/>
          <w:color w:val="auto"/>
          <w:lang w:eastAsia="zh-CN"/>
        </w:rPr>
        <w:t>转报流程</w:t>
      </w:r>
      <w:bookmarkEnd w:id="362"/>
    </w:p>
    <w:p>
      <w:pPr>
        <w:jc w:val="center"/>
        <w:rPr>
          <w:rFonts w:hint="eastAsia" w:ascii="宋体" w:hAnsi="宋体" w:eastAsia="宋体" w:cs="宋体"/>
          <w:b/>
          <w:color w:val="auto"/>
          <w:sz w:val="44"/>
          <w:szCs w:val="44"/>
          <w:lang w:eastAsia="zh-CN"/>
        </w:rPr>
      </w:pPr>
    </w:p>
    <w:p>
      <w:pPr>
        <w:rPr>
          <w:rFonts w:hint="eastAsia" w:ascii="楷体_GB2312" w:eastAsia="楷体_GB2312"/>
          <w:b/>
          <w:color w:val="auto"/>
          <w:sz w:val="32"/>
          <w:szCs w:val="32"/>
        </w:rPr>
      </w:pPr>
    </w:p>
    <w:p>
      <w:pPr>
        <w:rPr>
          <w:rFonts w:hint="eastAsia" w:ascii="楷体_GB2312" w:eastAsia="楷体_GB2312"/>
          <w:b/>
          <w:color w:val="auto"/>
          <w:sz w:val="32"/>
          <w:szCs w:val="32"/>
        </w:rPr>
      </w:pPr>
      <w:r>
        <w:rPr>
          <w:rFonts w:hint="eastAsia"/>
          <w:color w:val="auto"/>
        </w:rPr>
        <mc:AlternateContent>
          <mc:Choice Requires="wps">
            <w:drawing>
              <wp:anchor distT="0" distB="0" distL="114300" distR="114300" simplePos="0" relativeHeight="251709440" behindDoc="0" locked="0" layoutInCell="1" allowOverlap="1">
                <wp:simplePos x="0" y="0"/>
                <wp:positionH relativeFrom="column">
                  <wp:posOffset>3017520</wp:posOffset>
                </wp:positionH>
                <wp:positionV relativeFrom="paragraph">
                  <wp:posOffset>165100</wp:posOffset>
                </wp:positionV>
                <wp:extent cx="2887980" cy="3729990"/>
                <wp:effectExtent l="4445" t="5080" r="22225" b="17780"/>
                <wp:wrapNone/>
                <wp:docPr id="83" name="圆角矩形 83"/>
                <wp:cNvGraphicFramePr/>
                <a:graphic xmlns:a="http://schemas.openxmlformats.org/drawingml/2006/main">
                  <a:graphicData uri="http://schemas.microsoft.com/office/word/2010/wordprocessingShape">
                    <wps:wsp>
                      <wps:cNvSpPr/>
                      <wps:spPr>
                        <a:xfrm>
                          <a:off x="0" y="0"/>
                          <a:ext cx="2887980" cy="37299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rPr>
                                <w:rFonts w:hint="eastAsia" w:ascii="仿宋_GB2312" w:hAnsi="仿宋_GB2312" w:eastAsia="仿宋_GB2312" w:cs="仿宋_GB2312"/>
                                <w:szCs w:val="21"/>
                              </w:rPr>
                            </w:pPr>
                            <w:r>
                              <w:rPr>
                                <w:rFonts w:hint="eastAsia" w:ascii="仿宋_GB2312" w:hAnsi="仿宋_GB2312" w:eastAsia="仿宋_GB2312" w:cs="仿宋_GB2312"/>
                                <w:szCs w:val="21"/>
                              </w:rPr>
                              <w:t>1、项目可行性研究报告</w:t>
                            </w:r>
                          </w:p>
                          <w:p>
                            <w:pPr>
                              <w:rPr>
                                <w:rFonts w:hint="eastAsia" w:ascii="仿宋_GB2312" w:hAnsi="仿宋_GB2312" w:eastAsia="仿宋_GB2312" w:cs="仿宋_GB2312"/>
                                <w:szCs w:val="21"/>
                              </w:rPr>
                            </w:pPr>
                            <w:r>
                              <w:rPr>
                                <w:rFonts w:hint="eastAsia" w:ascii="仿宋_GB2312" w:hAnsi="仿宋_GB2312" w:eastAsia="仿宋_GB2312" w:cs="仿宋_GB2312"/>
                                <w:szCs w:val="21"/>
                              </w:rPr>
                              <w:t>2、报送节能登记表或节能评估文件（节能评估报告表或节能评估报告书）的请示</w:t>
                            </w:r>
                          </w:p>
                          <w:p>
                            <w:pPr>
                              <w:rPr>
                                <w:rFonts w:hint="eastAsia" w:ascii="仿宋_GB2312" w:hAnsi="仿宋_GB2312" w:eastAsia="仿宋_GB2312" w:cs="仿宋_GB2312"/>
                                <w:sz w:val="24"/>
                                <w:szCs w:val="24"/>
                              </w:rPr>
                            </w:pPr>
                            <w:r>
                              <w:rPr>
                                <w:rFonts w:hint="eastAsia" w:ascii="仿宋_GB2312" w:hAnsi="仿宋_GB2312" w:eastAsia="仿宋_GB2312" w:cs="仿宋_GB2312"/>
                                <w:szCs w:val="21"/>
                              </w:rPr>
                              <w:t>3、按照规定委托有能力的机构编制节能评估文件，或项目建设单位自行填写节能登记表。</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p>
                        </w:txbxContent>
                      </wps:txbx>
                      <wps:bodyPr upright="1"/>
                    </wps:wsp>
                  </a:graphicData>
                </a:graphic>
              </wp:anchor>
            </w:drawing>
          </mc:Choice>
          <mc:Fallback>
            <w:pict>
              <v:roundrect id="_x0000_s1026" o:spid="_x0000_s1026" o:spt="2" style="position:absolute;left:0pt;margin-left:237.6pt;margin-top:13pt;height:293.7pt;width:227.4pt;z-index:251709440;mso-width-relative:page;mso-height-relative:page;" fillcolor="#FFFFFF" filled="t" stroked="t" coordsize="21600,21600" arcsize="0.166666666666667" o:gfxdata="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2Vo+1wAAAAoBAAAPAAAAAAAAAAEAIAAAACIAAABkcnMvZG93bnJldi54bWxQSwECFAAUAAAACACH&#10;TuJA/bFggCUCAABZBAAADgAAAAAAAAABACAAAAAmAQAAZHJzL2Uyb0RvYy54bWxQSwUGAAAAAAYA&#10;BgBZAQAAvQUAAAAA&#10;">
                <v:fill on="t" focussize="0,0"/>
                <v:stroke color="#000000"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rPr>
                          <w:rFonts w:hint="eastAsia" w:ascii="仿宋_GB2312" w:hAnsi="仿宋_GB2312" w:eastAsia="仿宋_GB2312" w:cs="仿宋_GB2312"/>
                          <w:szCs w:val="21"/>
                        </w:rPr>
                      </w:pPr>
                      <w:r>
                        <w:rPr>
                          <w:rFonts w:hint="eastAsia" w:ascii="仿宋_GB2312" w:hAnsi="仿宋_GB2312" w:eastAsia="仿宋_GB2312" w:cs="仿宋_GB2312"/>
                          <w:szCs w:val="21"/>
                        </w:rPr>
                        <w:t>1、项目可行性研究报告</w:t>
                      </w:r>
                    </w:p>
                    <w:p>
                      <w:pPr>
                        <w:rPr>
                          <w:rFonts w:hint="eastAsia" w:ascii="仿宋_GB2312" w:hAnsi="仿宋_GB2312" w:eastAsia="仿宋_GB2312" w:cs="仿宋_GB2312"/>
                          <w:szCs w:val="21"/>
                        </w:rPr>
                      </w:pPr>
                      <w:r>
                        <w:rPr>
                          <w:rFonts w:hint="eastAsia" w:ascii="仿宋_GB2312" w:hAnsi="仿宋_GB2312" w:eastAsia="仿宋_GB2312" w:cs="仿宋_GB2312"/>
                          <w:szCs w:val="21"/>
                        </w:rPr>
                        <w:t>2、报送节能登记表或节能评估文件（节能评估报告表或节能评估报告书）的请示</w:t>
                      </w:r>
                    </w:p>
                    <w:p>
                      <w:pPr>
                        <w:rPr>
                          <w:rFonts w:hint="eastAsia" w:ascii="仿宋_GB2312" w:hAnsi="仿宋_GB2312" w:eastAsia="仿宋_GB2312" w:cs="仿宋_GB2312"/>
                          <w:sz w:val="24"/>
                          <w:szCs w:val="24"/>
                        </w:rPr>
                      </w:pPr>
                      <w:r>
                        <w:rPr>
                          <w:rFonts w:hint="eastAsia" w:ascii="仿宋_GB2312" w:hAnsi="仿宋_GB2312" w:eastAsia="仿宋_GB2312" w:cs="仿宋_GB2312"/>
                          <w:szCs w:val="21"/>
                        </w:rPr>
                        <w:t>3、按照规定委托有能力的机构编制节能评估文件，或项目建设单位自行填写节能登记表。</w:t>
                      </w:r>
                    </w:p>
                    <w:p>
                      <w:pPr>
                        <w:keepNext w:val="0"/>
                        <w:keepLines w:val="0"/>
                        <w:pageBreakBefore w:val="0"/>
                        <w:widowControl/>
                        <w:kinsoku/>
                        <w:wordWrap/>
                        <w:overflowPunct/>
                        <w:topLinePunct w:val="0"/>
                        <w:autoSpaceDE/>
                        <w:autoSpaceDN/>
                        <w:bidi w:val="0"/>
                        <w:adjustRightInd/>
                        <w:snapToGrid/>
                        <w:spacing w:line="300" w:lineRule="exact"/>
                        <w:ind w:firstLine="640" w:firstLineChars="200"/>
                        <w:jc w:val="left"/>
                        <w:textAlignment w:val="auto"/>
                        <w:rPr>
                          <w:rFonts w:hint="eastAsia" w:ascii="仿宋_GB2312" w:eastAsia="仿宋_GB2312"/>
                          <w:szCs w:val="32"/>
                        </w:rPr>
                      </w:pPr>
                    </w:p>
                  </w:txbxContent>
                </v:textbox>
              </v:roundrect>
            </w:pict>
          </mc:Fallback>
        </mc:AlternateContent>
      </w:r>
    </w:p>
    <w:p>
      <w:pPr>
        <w:rPr>
          <w:rFonts w:hint="eastAsia"/>
          <w:color w:val="auto"/>
        </w:rPr>
      </w:pPr>
    </w:p>
    <w:p>
      <w:pPr>
        <w:rPr>
          <w:color w:val="auto"/>
        </w:rPr>
      </w:pPr>
      <w:r>
        <w:rPr>
          <w:color w:val="auto"/>
        </w:rPr>
        <mc:AlternateContent>
          <mc:Choice Requires="wps">
            <w:drawing>
              <wp:anchor distT="0" distB="0" distL="114300" distR="114300" simplePos="0" relativeHeight="251704320" behindDoc="0" locked="0" layoutInCell="1" allowOverlap="1">
                <wp:simplePos x="0" y="0"/>
                <wp:positionH relativeFrom="column">
                  <wp:posOffset>1132205</wp:posOffset>
                </wp:positionH>
                <wp:positionV relativeFrom="paragraph">
                  <wp:posOffset>3175</wp:posOffset>
                </wp:positionV>
                <wp:extent cx="1319530" cy="611505"/>
                <wp:effectExtent l="5080" t="4445" r="8890" b="12700"/>
                <wp:wrapNone/>
                <wp:docPr id="76" name="圆角矩形 76"/>
                <wp:cNvGraphicFramePr/>
                <a:graphic xmlns:a="http://schemas.openxmlformats.org/drawingml/2006/main">
                  <a:graphicData uri="http://schemas.microsoft.com/office/word/2010/wordprocessingShape">
                    <wps:wsp>
                      <wps:cNvSpPr/>
                      <wps:spPr>
                        <a:xfrm>
                          <a:off x="0" y="0"/>
                          <a:ext cx="1319530" cy="611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b/>
                                <w:szCs w:val="21"/>
                                <w:lang w:eastAsia="zh-CN"/>
                              </w:rPr>
                            </w:pPr>
                            <w:r>
                              <w:rPr>
                                <w:rFonts w:hint="eastAsia"/>
                                <w:b/>
                                <w:szCs w:val="21"/>
                                <w:lang w:eastAsia="zh-CN"/>
                              </w:rPr>
                              <w:t>项目单位</w:t>
                            </w:r>
                          </w:p>
                        </w:txbxContent>
                      </wps:txbx>
                      <wps:bodyPr lIns="91440" tIns="82800" rIns="91440" bIns="45720" upright="1"/>
                    </wps:wsp>
                  </a:graphicData>
                </a:graphic>
              </wp:anchor>
            </w:drawing>
          </mc:Choice>
          <mc:Fallback>
            <w:pict>
              <v:roundrect id="_x0000_s1026" o:spid="_x0000_s1026" o:spt="2" style="position:absolute;left:0pt;margin-left:89.15pt;margin-top:0.25pt;height:48.15pt;width:103.9pt;z-index:251704320;mso-width-relative:page;mso-height-relative:page;" fillcolor="#FFFFFF" filled="t" stroked="t" coordsize="21600,21600" arcsize="0.166666666666667" o:gfxdata="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3lF0t1gAAAAcBAAAPAAAAAAAAAAEAIAAAACIAAABk&#10;cnMvZG93bnJldi54bWxQSwECFAAUAAAACACHTuJAWP6nEEECAACMBAAADgAAAAAAAAABACAAAAAl&#10;AQAAZHJzL2Uyb0RvYy54bWxQSwUGAAAAAAYABgBZAQAA2AUAAAAA&#10;">
                <v:fill on="t" focussize="0,0"/>
                <v:stroke color="#000000" joinstyle="round"/>
                <v:imagedata o:title=""/>
                <o:lock v:ext="edit" aspectratio="f"/>
                <v:textbox inset="2.54mm,2.3mm,2.54mm,1.27mm">
                  <w:txbxContent>
                    <w:p>
                      <w:pPr>
                        <w:jc w:val="center"/>
                        <w:rPr>
                          <w:rFonts w:hint="eastAsia" w:eastAsia="宋体"/>
                          <w:b/>
                          <w:szCs w:val="21"/>
                          <w:lang w:eastAsia="zh-CN"/>
                        </w:rPr>
                      </w:pPr>
                      <w:r>
                        <w:rPr>
                          <w:rFonts w:hint="eastAsia"/>
                          <w:b/>
                          <w:szCs w:val="21"/>
                          <w:lang w:eastAsia="zh-CN"/>
                        </w:rPr>
                        <w:t>项目单位</w:t>
                      </w:r>
                    </w:p>
                  </w:txbxContent>
                </v:textbox>
              </v:roundrect>
            </w:pict>
          </mc:Fallback>
        </mc:AlternateContent>
      </w:r>
    </w:p>
    <w:p>
      <w:pPr>
        <w:rPr>
          <w:rFonts w:hint="eastAsia"/>
          <w:color w:val="auto"/>
        </w:rPr>
      </w:pPr>
      <w:r>
        <w:rPr>
          <w:color w:val="auto"/>
        </w:rPr>
        <mc:AlternateContent>
          <mc:Choice Requires="wps">
            <w:drawing>
              <wp:anchor distT="0" distB="0" distL="114300" distR="114300" simplePos="0" relativeHeight="251710464" behindDoc="0" locked="0" layoutInCell="1" allowOverlap="1">
                <wp:simplePos x="0" y="0"/>
                <wp:positionH relativeFrom="column">
                  <wp:posOffset>377190</wp:posOffset>
                </wp:positionH>
                <wp:positionV relativeFrom="paragraph">
                  <wp:posOffset>15875</wp:posOffset>
                </wp:positionV>
                <wp:extent cx="635" cy="201295"/>
                <wp:effectExtent l="4445" t="0" r="13970" b="8255"/>
                <wp:wrapNone/>
                <wp:docPr id="78" name="直接连接符 78"/>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7pt;margin-top:1.25pt;height:15.85pt;width:0.05pt;z-index:251710464;mso-width-relative:page;mso-height-relative:page;" filled="f" stroked="t" coordsize="21600,21600" o:gfxdata="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luBO1QAAAAYBAAAPAAAAAAAAAAEAIAAAACIAAABkcnMvZG93bnJldi54bWxQSwECFAAU&#10;AAAACACHTuJArkfGSfQBAADnAwAADgAAAAAAAAABACAAAAAkAQAAZHJzL2Uyb0RvYy54bWxQSwUG&#10;AAAAAAYABgBZAQAAigU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707392" behindDoc="0" locked="0" layoutInCell="1" allowOverlap="1">
                <wp:simplePos x="0" y="0"/>
                <wp:positionH relativeFrom="column">
                  <wp:posOffset>377190</wp:posOffset>
                </wp:positionH>
                <wp:positionV relativeFrom="paragraph">
                  <wp:posOffset>15875</wp:posOffset>
                </wp:positionV>
                <wp:extent cx="754380" cy="0"/>
                <wp:effectExtent l="0" t="38100" r="7620" b="38100"/>
                <wp:wrapNone/>
                <wp:docPr id="79" name="直接连接符 79"/>
                <wp:cNvGraphicFramePr/>
                <a:graphic xmlns:a="http://schemas.openxmlformats.org/drawingml/2006/main">
                  <a:graphicData uri="http://schemas.microsoft.com/office/word/2010/wordprocessingShape">
                    <wps:wsp>
                      <wps:cNvCnPr/>
                      <wps:spPr>
                        <a:xfrm>
                          <a:off x="0" y="0"/>
                          <a:ext cx="7543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7pt;margin-top:1.25pt;height:0pt;width:59.4pt;z-index:251707392;mso-width-relative:page;mso-height-relative:page;" filled="f" stroked="t" coordsize="21600,21600" o:gfxdata="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KxHu9UAAAAGAQAADwAAAAAAAAABACAAAAAiAAAAZHJzL2Rvd25yZXYu&#10;eG1sUEsBAhQAFAAAAAgAh07iQAwkNDb+AQAA6QMAAA4AAAAAAAAAAQAgAAAAJAEAAGRycy9lMm9E&#10;b2MueG1sUEsFBgAAAAAGAAYAWQEAAJQFA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713536" behindDoc="0" locked="0" layoutInCell="1" allowOverlap="1">
                <wp:simplePos x="0" y="0"/>
                <wp:positionH relativeFrom="column">
                  <wp:posOffset>2451735</wp:posOffset>
                </wp:positionH>
                <wp:positionV relativeFrom="paragraph">
                  <wp:posOffset>62230</wp:posOffset>
                </wp:positionV>
                <wp:extent cx="565785" cy="0"/>
                <wp:effectExtent l="0" t="38100" r="5715" b="38100"/>
                <wp:wrapNone/>
                <wp:docPr id="75" name="直接连接符 75"/>
                <wp:cNvGraphicFramePr/>
                <a:graphic xmlns:a="http://schemas.openxmlformats.org/drawingml/2006/main">
                  <a:graphicData uri="http://schemas.microsoft.com/office/word/2010/wordprocessingShape">
                    <wps:wsp>
                      <wps:cNvCnPr/>
                      <wps:spPr>
                        <a:xfrm>
                          <a:off x="0" y="0"/>
                          <a:ext cx="5657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05pt;margin-top:4.9pt;height:0pt;width:44.55pt;z-index:251713536;mso-width-relative:page;mso-height-relative:page;" filled="f" stroked="t" coordsize="21600,21600" o:gfxdata="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NAhn1wAAAAcBAAAPAAAAAAAAAAEAIAAAACIAAABkcnMvZG93bnJldi54&#10;bWxQSwECFAAUAAAACACHTuJAQ3CqGfsBAADpAwAADgAAAAAAAAABACAAAAAmAQAAZHJzL2Uyb0Rv&#10;Yy54bWxQSwUGAAAAAAYABgBZAQAAkwUAAAAA&#10;">
                <v:fill on="f" focussize="0,0"/>
                <v:stroke color="#000000" joinstyle="round" endarrow="block"/>
                <v:imagedata o:title=""/>
                <o:lock v:ext="edit" aspectratio="f"/>
              </v:line>
            </w:pict>
          </mc:Fallback>
        </mc:AlternateContent>
      </w:r>
    </w:p>
    <w:p>
      <w:pPr>
        <w:rPr>
          <w:rFonts w:hint="eastAsia"/>
          <w:color w:val="auto"/>
        </w:rPr>
      </w:pPr>
      <w:r>
        <w:rPr>
          <w:rFonts w:hint="eastAsia"/>
          <w:color w:val="auto"/>
        </w:rPr>
        <mc:AlternateContent>
          <mc:Choice Requires="wps">
            <w:drawing>
              <wp:anchor distT="0" distB="0" distL="114300" distR="114300" simplePos="0" relativeHeight="251708416" behindDoc="0" locked="0" layoutInCell="1" allowOverlap="1">
                <wp:simplePos x="0" y="0"/>
                <wp:positionH relativeFrom="column">
                  <wp:posOffset>-154940</wp:posOffset>
                </wp:positionH>
                <wp:positionV relativeFrom="paragraph">
                  <wp:posOffset>34925</wp:posOffset>
                </wp:positionV>
                <wp:extent cx="1257300" cy="561340"/>
                <wp:effectExtent l="4445" t="4445" r="14605" b="5715"/>
                <wp:wrapNone/>
                <wp:docPr id="77" name="圆角矩形 77"/>
                <wp:cNvGraphicFramePr/>
                <a:graphic xmlns:a="http://schemas.openxmlformats.org/drawingml/2006/main">
                  <a:graphicData uri="http://schemas.microsoft.com/office/word/2010/wordprocessingShape">
                    <wps:wsp>
                      <wps:cNvSpPr/>
                      <wps:spPr>
                        <a:xfrm flipV="1">
                          <a:off x="0" y="0"/>
                          <a:ext cx="1257300" cy="561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sz w:val="18"/>
                                <w:szCs w:val="18"/>
                              </w:rPr>
                            </w:pPr>
                            <w:r>
                              <w:rPr>
                                <w:rFonts w:hint="eastAsia"/>
                                <w:sz w:val="18"/>
                                <w:szCs w:val="18"/>
                              </w:rPr>
                              <w:t>不予受理或补充材料（一次性告知）</w:t>
                            </w:r>
                          </w:p>
                        </w:txbxContent>
                      </wps:txbx>
                      <wps:bodyPr upright="1"/>
                    </wps:wsp>
                  </a:graphicData>
                </a:graphic>
              </wp:anchor>
            </w:drawing>
          </mc:Choice>
          <mc:Fallback>
            <w:pict>
              <v:roundrect id="_x0000_s1026" o:spid="_x0000_s1026" o:spt="2" style="position:absolute;left:0pt;flip:y;margin-left:-12.2pt;margin-top:2.75pt;height:44.2pt;width:99pt;z-index:251708416;mso-width-relative:page;mso-height-relative:page;" fillcolor="#FFFFFF" filled="t" stroked="t" coordsize="21600,21600" arcsize="0.166666666666667" o:gfxdata="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owXz2AAAAAgBAAAPAAAAAAAAAAEAIAAAACIAAABkcnMvZG93bnJldi54bWxQSwEC&#10;FAAUAAAACACHTuJA7GGWnS0CAABiBAAADgAAAAAAAAABACAAAAAnAQAAZHJzL2Uyb0RvYy54bWxQ&#10;SwUGAAAAAAYABgBZAQAAxgUAAAAA&#10;">
                <v:fill on="t" focussize="0,0"/>
                <v:stroke color="#000000" joinstyle="round"/>
                <v:imagedata o:title=""/>
                <o:lock v:ext="edit" aspectratio="f"/>
                <v:textbox>
                  <w:txbxContent>
                    <w:p>
                      <w:pPr>
                        <w:rPr>
                          <w:rFonts w:hint="eastAsia"/>
                          <w:sz w:val="18"/>
                          <w:szCs w:val="18"/>
                        </w:rPr>
                      </w:pPr>
                      <w:r>
                        <w:rPr>
                          <w:rFonts w:hint="eastAsia"/>
                          <w:sz w:val="18"/>
                          <w:szCs w:val="18"/>
                        </w:rPr>
                        <w:t>不予受理或补充材料（一次性告知）</w:t>
                      </w:r>
                    </w:p>
                  </w:txbxContent>
                </v:textbox>
              </v:roundrect>
            </w:pict>
          </mc:Fallback>
        </mc:AlternateContent>
      </w:r>
      <w:r>
        <w:rPr>
          <w:color w:val="auto"/>
        </w:rPr>
        <mc:AlternateContent>
          <mc:Choice Requires="wps">
            <w:drawing>
              <wp:anchor distT="0" distB="0" distL="114300" distR="114300" simplePos="0" relativeHeight="251706368" behindDoc="0" locked="0" layoutInCell="1" allowOverlap="1">
                <wp:simplePos x="0" y="0"/>
                <wp:positionH relativeFrom="column">
                  <wp:posOffset>1795780</wp:posOffset>
                </wp:positionH>
                <wp:positionV relativeFrom="paragraph">
                  <wp:posOffset>65405</wp:posOffset>
                </wp:positionV>
                <wp:extent cx="635" cy="614680"/>
                <wp:effectExtent l="71120" t="0" r="80645" b="13970"/>
                <wp:wrapNone/>
                <wp:docPr id="81" name="直接连接符 81"/>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1.4pt;margin-top:5.15pt;height:48.4pt;width:0.05pt;z-index:251706368;mso-width-relative:page;mso-height-relative:page;" filled="f" stroked="t" coordsize="21600,21600" o:gfxdata="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U+MQ2gAAAAoBAAAPAAAAAAAAAAEAIAAAACIAAABk&#10;cnMvZG93bnJldi54bWxQSwECFAAUAAAACACHTuJA62GMXgQCAADyAwAADgAAAAAAAAABACAAAAAp&#10;AQAAZHJzL2Uyb0RvYy54bWxQSwUGAAAAAAYABgBZAQAAnwUAAAAA&#10;">
                <v:fill on="f" focussize="0,0"/>
                <v:stroke weight="3.75pt" color="#000000" linestyle="thickThin" joinstyle="round" endarrow="block"/>
                <v:imagedata o:title=""/>
                <o:lock v:ext="edit" aspectratio="f"/>
              </v:line>
            </w:pict>
          </mc:Fallback>
        </mc:AlternateContent>
      </w:r>
    </w:p>
    <w:p>
      <w:pPr>
        <w:rPr>
          <w:rFonts w:hint="eastAsia"/>
          <w:color w:val="auto"/>
        </w:rPr>
      </w:pPr>
      <w:r>
        <w:rPr>
          <w:color w:val="auto"/>
        </w:rPr>
        <mc:AlternateContent>
          <mc:Choice Requires="wps">
            <w:drawing>
              <wp:anchor distT="0" distB="0" distL="114300" distR="114300" simplePos="0" relativeHeight="251703296" behindDoc="0" locked="0" layoutInCell="1" allowOverlap="1">
                <wp:simplePos x="0" y="0"/>
                <wp:positionH relativeFrom="column">
                  <wp:posOffset>1160780</wp:posOffset>
                </wp:positionH>
                <wp:positionV relativeFrom="paragraph">
                  <wp:posOffset>300990</wp:posOffset>
                </wp:positionV>
                <wp:extent cx="1449070" cy="401955"/>
                <wp:effectExtent l="4445" t="4445" r="13335" b="12700"/>
                <wp:wrapNone/>
                <wp:docPr id="80" name="圆角矩形 80"/>
                <wp:cNvGraphicFramePr/>
                <a:graphic xmlns:a="http://schemas.openxmlformats.org/drawingml/2006/main">
                  <a:graphicData uri="http://schemas.microsoft.com/office/word/2010/wordprocessingShape">
                    <wps:wsp>
                      <wps:cNvSpPr/>
                      <wps:spPr>
                        <a:xfrm>
                          <a:off x="0" y="0"/>
                          <a:ext cx="1449070" cy="4019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新区项</w:t>
                            </w:r>
                            <w:r>
                              <w:rPr>
                                <w:rFonts w:hint="eastAsia" w:ascii="仿宋_GB2312" w:hAnsi="仿宋_GB2312" w:eastAsia="仿宋_GB2312" w:cs="仿宋_GB2312"/>
                                <w:b/>
                                <w:bCs/>
                                <w:sz w:val="24"/>
                                <w:szCs w:val="24"/>
                                <w:lang w:eastAsia="zh-CN"/>
                              </w:rPr>
                              <w:t>目局</w:t>
                            </w:r>
                          </w:p>
                          <w:p>
                            <w:pPr>
                              <w:rPr>
                                <w:rFonts w:hint="eastAsia"/>
                                <w:sz w:val="18"/>
                                <w:szCs w:val="18"/>
                              </w:rPr>
                            </w:pPr>
                          </w:p>
                        </w:txbxContent>
                      </wps:txbx>
                      <wps:bodyPr lIns="91440" tIns="82800" rIns="91440" bIns="45720" upright="1"/>
                    </wps:wsp>
                  </a:graphicData>
                </a:graphic>
              </wp:anchor>
            </w:drawing>
          </mc:Choice>
          <mc:Fallback>
            <w:pict>
              <v:roundrect id="_x0000_s1026" o:spid="_x0000_s1026" o:spt="2" style="position:absolute;left:0pt;margin-left:91.4pt;margin-top:23.7pt;height:31.65pt;width:114.1pt;z-index:251703296;mso-width-relative:page;mso-height-relative:page;" fillcolor="#FFFFFF" filled="t" stroked="t" coordsize="21600,21600" arcsize="0.166666666666667" o:gfxdata="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UB467YAAAACgEAAA8AAAAAAAAAAQAgAAAAIgAAAGRy&#10;cy9kb3ducmV2LnhtbFBLAQIUABQAAAAIAIdO4kAo7DUiPgIAAIwEAAAOAAAAAAAAAAEAIAAAACcB&#10;AABkcnMvZTJvRG9jLnhtbFBLBQYAAAAABgAGAFkBAADXBQAAAAA=&#10;">
                <v:fill on="t" focussize="0,0"/>
                <v:stroke color="#000000" joinstyle="round"/>
                <v:imagedata o:title=""/>
                <o:lock v:ext="edit" aspectratio="f"/>
                <v:textbox inset="2.54mm,2.3mm,2.54mm,1.27mm">
                  <w:txbxContent>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新区项</w:t>
                      </w:r>
                      <w:r>
                        <w:rPr>
                          <w:rFonts w:hint="eastAsia" w:ascii="仿宋_GB2312" w:hAnsi="仿宋_GB2312" w:eastAsia="仿宋_GB2312" w:cs="仿宋_GB2312"/>
                          <w:b/>
                          <w:bCs/>
                          <w:sz w:val="24"/>
                          <w:szCs w:val="24"/>
                          <w:lang w:eastAsia="zh-CN"/>
                        </w:rPr>
                        <w:t>目局</w:t>
                      </w:r>
                    </w:p>
                    <w:p>
                      <w:pPr>
                        <w:rPr>
                          <w:rFonts w:hint="eastAsia"/>
                          <w:sz w:val="18"/>
                          <w:szCs w:val="18"/>
                        </w:rPr>
                      </w:pPr>
                    </w:p>
                  </w:txbxContent>
                </v:textbox>
              </v:roundrect>
            </w:pict>
          </mc:Fallback>
        </mc:AlternateContent>
      </w:r>
      <w:r>
        <w:rPr>
          <w:rFonts w:hint="eastAsia"/>
          <w:color w:val="auto"/>
        </w:rPr>
        <mc:AlternateContent>
          <mc:Choice Requires="wps">
            <w:drawing>
              <wp:anchor distT="0" distB="0" distL="114300" distR="114300" simplePos="0" relativeHeight="251711488" behindDoc="0" locked="0" layoutInCell="1" allowOverlap="1">
                <wp:simplePos x="0" y="0"/>
                <wp:positionH relativeFrom="column">
                  <wp:posOffset>377190</wp:posOffset>
                </wp:positionH>
                <wp:positionV relativeFrom="paragraph">
                  <wp:posOffset>186055</wp:posOffset>
                </wp:positionV>
                <wp:extent cx="635" cy="316865"/>
                <wp:effectExtent l="0" t="0" r="0" b="0"/>
                <wp:wrapNone/>
                <wp:docPr id="82" name="直接连接符 82"/>
                <wp:cNvGraphicFramePr/>
                <a:graphic xmlns:a="http://schemas.openxmlformats.org/drawingml/2006/main">
                  <a:graphicData uri="http://schemas.microsoft.com/office/word/2010/wordprocessingShape">
                    <wps:wsp>
                      <wps:cNvCnPr/>
                      <wps:spPr>
                        <a:xfrm flipH="1">
                          <a:off x="0" y="0"/>
                          <a:ext cx="635" cy="3168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7pt;margin-top:14.65pt;height:24.95pt;width:0.05pt;z-index:251711488;mso-width-relative:page;mso-height-relative:page;" filled="f" stroked="t" coordsize="21600,21600" o:gfxdata="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WW/odUAAAAHAQAADwAAAAAAAAABACAAAAAiAAAAZHJzL2Rvd25yZXYu&#10;eG1sUEsBAhQAFAAAAAgAh07iQHEN1u3+AQAA8QMAAA4AAAAAAAAAAQAgAAAAJAEAAGRycy9lMm9E&#10;b2MueG1sUEsFBgAAAAAGAAYAWQEAAJQFAAAAAA==&#10;">
                <v:fill on="f" focussize="0,0"/>
                <v:stroke color="#000000" joinstyle="round"/>
                <v:imagedata o:title=""/>
                <o:lock v:ext="edit" aspectratio="f"/>
              </v:line>
            </w:pict>
          </mc:Fallback>
        </mc:AlternateContent>
      </w:r>
    </w:p>
    <w:p>
      <w:pPr>
        <w:rPr>
          <w:rFonts w:hint="eastAsia"/>
          <w:color w:val="auto"/>
        </w:rPr>
      </w:pPr>
      <w:r>
        <w:rPr>
          <w:rFonts w:hint="eastAsia"/>
          <w:color w:val="auto"/>
        </w:rPr>
        <mc:AlternateContent>
          <mc:Choice Requires="wps">
            <w:drawing>
              <wp:anchor distT="0" distB="0" distL="114300" distR="114300" simplePos="0" relativeHeight="251712512" behindDoc="0" locked="0" layoutInCell="1" allowOverlap="1">
                <wp:simplePos x="0" y="0"/>
                <wp:positionH relativeFrom="column">
                  <wp:posOffset>377190</wp:posOffset>
                </wp:positionH>
                <wp:positionV relativeFrom="paragraph">
                  <wp:posOffset>102870</wp:posOffset>
                </wp:positionV>
                <wp:extent cx="754380" cy="0"/>
                <wp:effectExtent l="0" t="0" r="0" b="0"/>
                <wp:wrapNone/>
                <wp:docPr id="72" name="直接连接符 72"/>
                <wp:cNvGraphicFramePr/>
                <a:graphic xmlns:a="http://schemas.openxmlformats.org/drawingml/2006/main">
                  <a:graphicData uri="http://schemas.microsoft.com/office/word/2010/wordprocessingShape">
                    <wps:wsp>
                      <wps:cNvCnPr/>
                      <wps:spPr>
                        <a:xfrm flipH="1">
                          <a:off x="0" y="0"/>
                          <a:ext cx="7543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7pt;margin-top:8.1pt;height:0pt;width:59.4pt;z-index:251712512;mso-width-relative:page;mso-height-relative:page;" filled="f" stroked="t" coordsize="21600,21600" o:gfxdata="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36up1QAAAAgBAAAPAAAAAAAAAAEAIAAAACIAAABkcnMvZG93bnJldi54&#10;bWxQSwECFAAUAAAACACHTuJA1Qqtnf0BAADvAwAADgAAAAAAAAABACAAAAAkAQAAZHJzL2Uyb0Rv&#10;Yy54bWxQSwUGAAAAAAYABgBZAQAAkwUAAAAA&#10;">
                <v:fill on="f" focussize="0,0"/>
                <v:stroke color="#000000" joinstyle="round"/>
                <v:imagedata o:title=""/>
                <o:lock v:ext="edit" aspectratio="f"/>
              </v:line>
            </w:pict>
          </mc:Fallback>
        </mc:AlternateContent>
      </w:r>
    </w:p>
    <w:p>
      <w:pPr>
        <w:rPr>
          <w:rFonts w:hint="eastAsia"/>
          <w:color w:val="auto"/>
        </w:rPr>
      </w:pPr>
      <w:r>
        <w:rPr>
          <w:color w:val="auto"/>
        </w:rPr>
        <mc:AlternateContent>
          <mc:Choice Requires="wps">
            <w:drawing>
              <wp:anchor distT="0" distB="0" distL="114300" distR="114300" simplePos="0" relativeHeight="251714560" behindDoc="0" locked="0" layoutInCell="1" allowOverlap="1">
                <wp:simplePos x="0" y="0"/>
                <wp:positionH relativeFrom="column">
                  <wp:posOffset>1805305</wp:posOffset>
                </wp:positionH>
                <wp:positionV relativeFrom="paragraph">
                  <wp:posOffset>125730</wp:posOffset>
                </wp:positionV>
                <wp:extent cx="635" cy="614680"/>
                <wp:effectExtent l="71120" t="0" r="80645" b="13970"/>
                <wp:wrapNone/>
                <wp:docPr id="73" name="直接连接符 73"/>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2.15pt;margin-top:9.9pt;height:48.4pt;width:0.05pt;z-index:251714560;mso-width-relative:page;mso-height-relative:page;" filled="f" stroked="t" coordsize="21600,21600" o:gfxdata="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rQLf9oAAAAKAQAADwAAAAAAAAABACAAAAAiAAAA&#10;ZHJzL2Rvd25yZXYueG1sUEsBAhQAFAAAAAgAh07iQCTEVeAFAgAA8gMAAA4AAAAAAAAAAQAgAAAA&#10;KQEAAGRycy9lMm9Eb2MueG1sUEsFBgAAAAAGAAYAWQEAAKAFAAAAAA==&#10;">
                <v:fill on="f" focussize="0,0"/>
                <v:stroke weight="3.75pt" color="#000000" linestyle="thickThin" joinstyle="round" endarrow="block"/>
                <v:imagedata o:title=""/>
                <o:lock v:ext="edit" aspectratio="f"/>
              </v:line>
            </w:pict>
          </mc:Fallback>
        </mc:AlternateContent>
      </w:r>
    </w:p>
    <w:p>
      <w:pPr>
        <w:rPr>
          <w:rFonts w:hint="eastAsia"/>
          <w:color w:val="auto"/>
        </w:rPr>
      </w:pPr>
    </w:p>
    <w:p>
      <w:pPr>
        <w:rPr>
          <w:rFonts w:hint="eastAsia"/>
          <w:color w:val="auto"/>
        </w:rPr>
      </w:pPr>
      <w:r>
        <w:rPr>
          <w:color w:val="auto"/>
        </w:rPr>
        <mc:AlternateContent>
          <mc:Choice Requires="wps">
            <w:drawing>
              <wp:anchor distT="0" distB="0" distL="114300" distR="114300" simplePos="0" relativeHeight="251702272" behindDoc="0" locked="0" layoutInCell="1" allowOverlap="1">
                <wp:simplePos x="0" y="0"/>
                <wp:positionH relativeFrom="column">
                  <wp:posOffset>1050290</wp:posOffset>
                </wp:positionH>
                <wp:positionV relativeFrom="paragraph">
                  <wp:posOffset>196850</wp:posOffset>
                </wp:positionV>
                <wp:extent cx="2188845" cy="565785"/>
                <wp:effectExtent l="4445" t="4445" r="16510" b="20320"/>
                <wp:wrapNone/>
                <wp:docPr id="74" name="圆角矩形 74"/>
                <wp:cNvGraphicFramePr/>
                <a:graphic xmlns:a="http://schemas.openxmlformats.org/drawingml/2006/main">
                  <a:graphicData uri="http://schemas.microsoft.com/office/word/2010/wordprocessingShape">
                    <wps:wsp>
                      <wps:cNvSpPr/>
                      <wps:spPr>
                        <a:xfrm>
                          <a:off x="0" y="0"/>
                          <a:ext cx="2188845" cy="5657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szCs w:val="21"/>
                              </w:rPr>
                            </w:pPr>
                            <w:r>
                              <w:rPr>
                                <w:rFonts w:hint="eastAsia"/>
                                <w:b/>
                                <w:szCs w:val="21"/>
                                <w:lang w:eastAsia="zh-CN"/>
                              </w:rPr>
                              <w:t>发改委政务大厅窗口</w:t>
                            </w:r>
                          </w:p>
                        </w:txbxContent>
                      </wps:txbx>
                      <wps:bodyPr lIns="91440" tIns="82800" rIns="91440" bIns="45720" upright="1"/>
                    </wps:wsp>
                  </a:graphicData>
                </a:graphic>
              </wp:anchor>
            </w:drawing>
          </mc:Choice>
          <mc:Fallback>
            <w:pict>
              <v:roundrect id="_x0000_s1026" o:spid="_x0000_s1026" o:spt="2" style="position:absolute;left:0pt;margin-left:82.7pt;margin-top:15.5pt;height:44.55pt;width:172.35pt;z-index:251702272;mso-width-relative:page;mso-height-relative:page;" fillcolor="#FFFFFF" filled="t" stroked="t" coordsize="21600,21600" arcsize="0.166666666666667" o:gfxdata="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7clTp1wAAAAoBAAAPAAAAAAAAAAEAIAAAACIAAABk&#10;cnMvZG93bnJldi54bWxQSwECFAAUAAAACACHTuJAuW0PTEACAACMBAAADgAAAAAAAAABACAAAAAm&#10;AQAAZHJzL2Uyb0RvYy54bWxQSwUGAAAAAAYABgBZAQAA2AUAAAAA&#10;">
                <v:fill on="t" focussize="0,0"/>
                <v:stroke color="#000000" joinstyle="round"/>
                <v:imagedata o:title=""/>
                <o:lock v:ext="edit" aspectratio="f"/>
                <v:textbox inset="2.54mm,2.3mm,2.54mm,1.27mm">
                  <w:txbxContent>
                    <w:p>
                      <w:pPr>
                        <w:jc w:val="center"/>
                        <w:rPr>
                          <w:rFonts w:hint="eastAsia"/>
                          <w:b/>
                          <w:szCs w:val="21"/>
                        </w:rPr>
                      </w:pPr>
                      <w:r>
                        <w:rPr>
                          <w:rFonts w:hint="eastAsia"/>
                          <w:b/>
                          <w:szCs w:val="21"/>
                          <w:lang w:eastAsia="zh-CN"/>
                        </w:rPr>
                        <w:t>发改委政务大厅窗口</w:t>
                      </w:r>
                    </w:p>
                  </w:txbxContent>
                </v:textbox>
              </v:roundrect>
            </w:pict>
          </mc:Fallback>
        </mc:AlternateContent>
      </w:r>
    </w:p>
    <w:p>
      <w:pPr>
        <w:rPr>
          <w:rFonts w:hint="eastAsia"/>
          <w:color w:val="auto"/>
        </w:rPr>
      </w:pPr>
    </w:p>
    <w:p>
      <w:pPr>
        <w:rPr>
          <w:rFonts w:hint="eastAsia"/>
          <w:color w:val="auto"/>
        </w:rPr>
      </w:pPr>
      <w:r>
        <w:rPr>
          <w:rFonts w:hint="eastAsia"/>
          <w:color w:val="auto"/>
        </w:rPr>
        <mc:AlternateContent>
          <mc:Choice Requires="wps">
            <w:drawing>
              <wp:anchor distT="0" distB="0" distL="114300" distR="114300" simplePos="0" relativeHeight="251715584" behindDoc="0" locked="0" layoutInCell="1" allowOverlap="1">
                <wp:simplePos x="0" y="0"/>
                <wp:positionH relativeFrom="column">
                  <wp:posOffset>1792605</wp:posOffset>
                </wp:positionH>
                <wp:positionV relativeFrom="paragraph">
                  <wp:posOffset>38100</wp:posOffset>
                </wp:positionV>
                <wp:extent cx="20955" cy="581660"/>
                <wp:effectExtent l="55880" t="635" r="75565" b="8255"/>
                <wp:wrapNone/>
                <wp:docPr id="68" name="直接连接符 68"/>
                <wp:cNvGraphicFramePr/>
                <a:graphic xmlns:a="http://schemas.openxmlformats.org/drawingml/2006/main">
                  <a:graphicData uri="http://schemas.microsoft.com/office/word/2010/wordprocessingShape">
                    <wps:wsp>
                      <wps:cNvCnPr/>
                      <wps:spPr>
                        <a:xfrm>
                          <a:off x="0" y="0"/>
                          <a:ext cx="20955" cy="581660"/>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1.15pt;margin-top:3pt;height:45.8pt;width:1.65pt;z-index:251715584;mso-width-relative:page;mso-height-relative:page;" filled="f" stroked="t" coordsize="21600,21600" o:gfxdata="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J2yjaAAAACAEAAA8AAAAAAAAAAQAgAAAAIgAA&#10;AGRycy9kb3ducmV2LnhtbFBLAQIUABQAAAAIAIdO4kCx8WM1BgIAAPQDAAAOAAAAAAAAAAEAIAAA&#10;ACkBAABkcnMvZTJvRG9jLnhtbFBLBQYAAAAABgAGAFkBAAChBQAAAAA=&#10;">
                <v:fill on="f" focussize="0,0"/>
                <v:stroke weight="3.75pt" color="#000000" linestyle="thickThin" joinstyle="round" endarrow="block"/>
                <v:imagedata o:title=""/>
                <o:lock v:ext="edit" aspectratio="f"/>
              </v:line>
            </w:pict>
          </mc:Fallback>
        </mc:AlternateContent>
      </w:r>
    </w:p>
    <w:p>
      <w:pPr>
        <w:rPr>
          <w:rFonts w:hint="eastAsia"/>
          <w:color w:val="auto"/>
        </w:rPr>
      </w:pPr>
      <w:r>
        <w:rPr>
          <w:color w:val="auto"/>
        </w:rPr>
        <mc:AlternateContent>
          <mc:Choice Requires="wps">
            <w:drawing>
              <wp:anchor distT="0" distB="0" distL="114300" distR="114300" simplePos="0" relativeHeight="251705344" behindDoc="0" locked="0" layoutInCell="1" allowOverlap="1">
                <wp:simplePos x="0" y="0"/>
                <wp:positionH relativeFrom="column">
                  <wp:posOffset>817880</wp:posOffset>
                </wp:positionH>
                <wp:positionV relativeFrom="paragraph">
                  <wp:posOffset>172720</wp:posOffset>
                </wp:positionV>
                <wp:extent cx="2364105" cy="916940"/>
                <wp:effectExtent l="4445" t="4445" r="12700" b="12065"/>
                <wp:wrapNone/>
                <wp:docPr id="70" name="圆角矩形 70"/>
                <wp:cNvGraphicFramePr/>
                <a:graphic xmlns:a="http://schemas.openxmlformats.org/drawingml/2006/main">
                  <a:graphicData uri="http://schemas.microsoft.com/office/word/2010/wordprocessingShape">
                    <wps:wsp>
                      <wps:cNvSpPr/>
                      <wps:spPr>
                        <a:xfrm>
                          <a:off x="0" y="0"/>
                          <a:ext cx="2364105" cy="9169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szCs w:val="21"/>
                              </w:rPr>
                            </w:pPr>
                            <w:r>
                              <w:rPr>
                                <w:rFonts w:hint="eastAsia"/>
                                <w:b/>
                                <w:szCs w:val="21"/>
                                <w:lang w:eastAsia="zh-CN"/>
                              </w:rPr>
                              <w:t>发改委相关科室进行受理并出具批文</w:t>
                            </w:r>
                          </w:p>
                          <w:p>
                            <w:pPr>
                              <w:rPr>
                                <w:rFonts w:hint="eastAsia"/>
                                <w:lang w:eastAsia="zh-CN"/>
                              </w:rPr>
                            </w:pPr>
                          </w:p>
                        </w:txbxContent>
                      </wps:txbx>
                      <wps:bodyPr lIns="91440" tIns="82800" rIns="91440" bIns="45720" upright="1"/>
                    </wps:wsp>
                  </a:graphicData>
                </a:graphic>
              </wp:anchor>
            </w:drawing>
          </mc:Choice>
          <mc:Fallback>
            <w:pict>
              <v:roundrect id="_x0000_s1026" o:spid="_x0000_s1026" o:spt="2" style="position:absolute;left:0pt;margin-left:64.4pt;margin-top:13.6pt;height:72.2pt;width:186.15pt;z-index:251705344;mso-width-relative:page;mso-height-relative:page;" fillcolor="#FFFFFF" filled="t" stroked="t" coordsize="21600,21600" arcsize="0.166666666666667" o:gfxdata="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KuCYnXAAAACgEAAA8AAAAAAAAAAQAgAAAAIgAAAGRy&#10;cy9kb3ducmV2LnhtbFBLAQIUABQAAAAIAIdO4kCimKr6PwIAAIwEAAAOAAAAAAAAAAEAIAAAACYB&#10;AABkcnMvZTJvRG9jLnhtbFBLBQYAAAAABgAGAFkBAADXBQAAAAA=&#10;">
                <v:fill on="t" focussize="0,0"/>
                <v:stroke color="#000000" joinstyle="round"/>
                <v:imagedata o:title=""/>
                <o:lock v:ext="edit" aspectratio="f"/>
                <v:textbox inset="2.54mm,2.3mm,2.54mm,1.27mm">
                  <w:txbxContent>
                    <w:p>
                      <w:pPr>
                        <w:jc w:val="center"/>
                        <w:rPr>
                          <w:rFonts w:hint="eastAsia"/>
                          <w:b/>
                          <w:szCs w:val="21"/>
                        </w:rPr>
                      </w:pPr>
                      <w:r>
                        <w:rPr>
                          <w:rFonts w:hint="eastAsia"/>
                          <w:b/>
                          <w:szCs w:val="21"/>
                          <w:lang w:eastAsia="zh-CN"/>
                        </w:rPr>
                        <w:t>发改委相关科室进行受理并出具批文</w:t>
                      </w:r>
                    </w:p>
                    <w:p>
                      <w:pPr>
                        <w:rPr>
                          <w:rFonts w:hint="eastAsia"/>
                          <w:lang w:eastAsia="zh-CN"/>
                        </w:rPr>
                      </w:pPr>
                    </w:p>
                  </w:txbxContent>
                </v:textbox>
              </v:roundrect>
            </w:pict>
          </mc:Fallback>
        </mc:AlternateContent>
      </w:r>
    </w:p>
    <w:p>
      <w:pPr>
        <w:rPr>
          <w:rFonts w:hint="eastAsia"/>
          <w:color w:val="auto"/>
        </w:rPr>
      </w:pPr>
    </w:p>
    <w:p>
      <w:pPr>
        <w:rPr>
          <w:rFonts w:hint="eastAsia"/>
          <w:color w:val="auto"/>
        </w:rPr>
      </w:pPr>
    </w:p>
    <w:p>
      <w:pPr>
        <w:rPr>
          <w:rFonts w:hint="eastAsia"/>
          <w:color w:val="auto"/>
        </w:rPr>
      </w:pPr>
      <w:r>
        <w:rPr>
          <w:rFonts w:hint="eastAsia"/>
          <w:color w:val="auto"/>
        </w:rPr>
        <mc:AlternateContent>
          <mc:Choice Requires="wps">
            <w:drawing>
              <wp:anchor distT="0" distB="0" distL="114300" distR="114300" simplePos="0" relativeHeight="251716608" behindDoc="0" locked="0" layoutInCell="1" allowOverlap="1">
                <wp:simplePos x="0" y="0"/>
                <wp:positionH relativeFrom="column">
                  <wp:posOffset>1844675</wp:posOffset>
                </wp:positionH>
                <wp:positionV relativeFrom="paragraph">
                  <wp:posOffset>11430</wp:posOffset>
                </wp:positionV>
                <wp:extent cx="6985" cy="694055"/>
                <wp:effectExtent l="69850" t="0" r="75565" b="10795"/>
                <wp:wrapNone/>
                <wp:docPr id="69" name="直接连接符 69"/>
                <wp:cNvGraphicFramePr/>
                <a:graphic xmlns:a="http://schemas.openxmlformats.org/drawingml/2006/main">
                  <a:graphicData uri="http://schemas.microsoft.com/office/word/2010/wordprocessingShape">
                    <wps:wsp>
                      <wps:cNvCnPr/>
                      <wps:spPr>
                        <a:xfrm flipH="1">
                          <a:off x="0" y="0"/>
                          <a:ext cx="6985" cy="694055"/>
                        </a:xfrm>
                        <a:prstGeom prst="line">
                          <a:avLst/>
                        </a:prstGeom>
                        <a:ln w="47625" cap="flat" cmpd="thickThin">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45.25pt;margin-top:0.9pt;height:54.65pt;width:0.55pt;z-index:251716608;mso-width-relative:page;mso-height-relative:page;" filled="f" stroked="t" coordsize="21600,21600" o:gfxdata="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3tqENMAAAAJAQAADwAAAAAAAAABACAAAAAiAAAA&#10;ZHJzL2Rvd25yZXYueG1sUEsBAhQAFAAAAAgAh07iQPAruNwMAgAA/QMAAA4AAAAAAAAAAQAgAAAA&#10;IgEAAGRycy9lMm9Eb2MueG1sUEsFBgAAAAAGAAYAWQEAAKAFAAAAAA==&#10;">
                <v:fill on="f" focussize="0,0"/>
                <v:stroke weight="3.75pt" color="#000000" linestyle="thickThin" joinstyle="round" endarrow="block"/>
                <v:imagedata o:title=""/>
                <o:lock v:ext="edit" aspectratio="f"/>
              </v:line>
            </w:pict>
          </mc:Fallback>
        </mc:AlternateContent>
      </w:r>
    </w:p>
    <w:p>
      <w:pPr>
        <w:rPr>
          <w:rFonts w:hint="eastAsia"/>
          <w:color w:val="auto"/>
        </w:rPr>
      </w:pPr>
    </w:p>
    <w:p>
      <w:pPr>
        <w:rPr>
          <w:rFonts w:hint="eastAsia"/>
          <w:color w:val="auto"/>
        </w:rPr>
      </w:pPr>
      <w:r>
        <w:rPr>
          <w:color w:val="auto"/>
        </w:rPr>
        <mc:AlternateContent>
          <mc:Choice Requires="wps">
            <w:drawing>
              <wp:anchor distT="0" distB="0" distL="114300" distR="114300" simplePos="0" relativeHeight="251717632" behindDoc="0" locked="0" layoutInCell="1" allowOverlap="1">
                <wp:simplePos x="0" y="0"/>
                <wp:positionH relativeFrom="column">
                  <wp:posOffset>899160</wp:posOffset>
                </wp:positionH>
                <wp:positionV relativeFrom="paragraph">
                  <wp:posOffset>90170</wp:posOffset>
                </wp:positionV>
                <wp:extent cx="2716530" cy="686435"/>
                <wp:effectExtent l="4445" t="4445" r="22225" b="13970"/>
                <wp:wrapNone/>
                <wp:docPr id="71" name="圆角矩形 71"/>
                <wp:cNvGraphicFramePr/>
                <a:graphic xmlns:a="http://schemas.openxmlformats.org/drawingml/2006/main">
                  <a:graphicData uri="http://schemas.microsoft.com/office/word/2010/wordprocessingShape">
                    <wps:wsp>
                      <wps:cNvSpPr/>
                      <wps:spPr>
                        <a:xfrm>
                          <a:off x="0" y="0"/>
                          <a:ext cx="2716530" cy="6864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b/>
                                <w:szCs w:val="21"/>
                              </w:rPr>
                            </w:pPr>
                            <w:r>
                              <w:rPr>
                                <w:rFonts w:hint="eastAsia"/>
                                <w:b/>
                                <w:szCs w:val="21"/>
                                <w:lang w:eastAsia="zh-CN"/>
                              </w:rPr>
                              <w:t>由新区项目局转给项目单位</w:t>
                            </w:r>
                          </w:p>
                          <w:p>
                            <w:pPr>
                              <w:rPr>
                                <w:rFonts w:hint="eastAsia"/>
                                <w:lang w:eastAsia="zh-CN"/>
                              </w:rPr>
                            </w:pPr>
                          </w:p>
                        </w:txbxContent>
                      </wps:txbx>
                      <wps:bodyPr lIns="91440" tIns="82800" rIns="91440" bIns="45720" upright="1"/>
                    </wps:wsp>
                  </a:graphicData>
                </a:graphic>
              </wp:anchor>
            </w:drawing>
          </mc:Choice>
          <mc:Fallback>
            <w:pict>
              <v:roundrect id="_x0000_s1026" o:spid="_x0000_s1026" o:spt="2" style="position:absolute;left:0pt;margin-left:70.8pt;margin-top:7.1pt;height:54.05pt;width:213.9pt;z-index:251717632;mso-width-relative:page;mso-height-relative:page;" fillcolor="#FFFFFF" filled="t" stroked="t" coordsize="21600,21600" arcsize="0.166666666666667" o:gfxdata="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up9tPYAAAACgEAAA8AAAAAAAAAAQAgAAAAIgAA&#10;AGRycy9kb3ducmV2LnhtbFBLAQIUABQAAAAIAIdO4kBUl6y4QQIAAIwEAAAOAAAAAAAAAAEAIAAA&#10;ACcBAABkcnMvZTJvRG9jLnhtbFBLBQYAAAAABgAGAFkBAADaBQAAAAA=&#10;">
                <v:fill on="t" focussize="0,0"/>
                <v:stroke color="#000000" joinstyle="round"/>
                <v:imagedata o:title=""/>
                <o:lock v:ext="edit" aspectratio="f"/>
                <v:textbox inset="2.54mm,2.3mm,2.54mm,1.27mm">
                  <w:txbxContent>
                    <w:p>
                      <w:pPr>
                        <w:jc w:val="center"/>
                        <w:rPr>
                          <w:rFonts w:hint="eastAsia"/>
                          <w:b/>
                          <w:szCs w:val="21"/>
                        </w:rPr>
                      </w:pPr>
                      <w:r>
                        <w:rPr>
                          <w:rFonts w:hint="eastAsia"/>
                          <w:b/>
                          <w:szCs w:val="21"/>
                          <w:lang w:eastAsia="zh-CN"/>
                        </w:rPr>
                        <w:t>由新区项目局转给项目单位</w:t>
                      </w:r>
                    </w:p>
                    <w:p>
                      <w:pPr>
                        <w:rPr>
                          <w:rFonts w:hint="eastAsia"/>
                          <w:lang w:eastAsia="zh-CN"/>
                        </w:rPr>
                      </w:pPr>
                    </w:p>
                  </w:txbxContent>
                </v:textbox>
              </v:roundrect>
            </w:pict>
          </mc:Fallback>
        </mc:AlternateContent>
      </w:r>
    </w:p>
    <w:p>
      <w:pPr>
        <w:rPr>
          <w:rFonts w:hint="eastAsia"/>
          <w:color w:val="auto"/>
        </w:rPr>
      </w:pPr>
    </w:p>
    <w:p>
      <w:pPr>
        <w:pStyle w:val="2"/>
        <w:bidi w:val="0"/>
        <w:rPr>
          <w:rFonts w:hint="default" w:ascii="Times New Roman" w:hAnsi="Times New Roman" w:eastAsia="仿宋" w:cs="Times New Roman"/>
          <w:color w:val="auto"/>
          <w:sz w:val="32"/>
          <w:szCs w:val="32"/>
        </w:rPr>
      </w:pPr>
      <w:bookmarkStart w:id="363" w:name="_Toc19565"/>
      <w:r>
        <w:rPr>
          <w:rFonts w:hint="eastAsia"/>
          <w:color w:val="auto"/>
          <w:lang w:val="en-US" w:eastAsia="zh-CN"/>
        </w:rPr>
        <w:t>17、</w:t>
      </w:r>
      <w:r>
        <w:rPr>
          <w:rFonts w:hint="default"/>
          <w:color w:val="auto"/>
        </w:rPr>
        <w:t>建设工程安全</w:t>
      </w:r>
      <w:r>
        <w:rPr>
          <w:rFonts w:hint="eastAsia"/>
          <w:color w:val="auto"/>
          <w:lang w:eastAsia="zh-CN"/>
        </w:rPr>
        <w:t>生产</w:t>
      </w:r>
      <w:r>
        <w:rPr>
          <w:rFonts w:hint="default"/>
          <w:color w:val="auto"/>
        </w:rPr>
        <w:t>检查工作制度</w:t>
      </w:r>
      <w:bookmarkEnd w:id="3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为确保建设工程施工安全，</w:t>
      </w:r>
      <w:r>
        <w:rPr>
          <w:rFonts w:hint="eastAsia" w:ascii="仿宋" w:hAnsi="仿宋" w:eastAsia="仿宋" w:cs="仿宋"/>
          <w:color w:val="auto"/>
          <w:sz w:val="32"/>
          <w:szCs w:val="32"/>
        </w:rPr>
        <w:t>根据</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建设工程安全</w:t>
      </w:r>
      <w:r>
        <w:rPr>
          <w:rFonts w:hint="eastAsia" w:ascii="仿宋" w:hAnsi="仿宋" w:eastAsia="仿宋" w:cs="仿宋"/>
          <w:color w:val="auto"/>
          <w:sz w:val="32"/>
          <w:szCs w:val="32"/>
          <w:lang w:eastAsia="zh-CN"/>
        </w:rPr>
        <w:t>生产管理条例》和《中华人民共和国行政处罚法》等法律法规，结合工作实际，制定本安全检查制度。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黑体" w:hAnsi="黑体" w:eastAsia="黑体" w:cs="黑体"/>
          <w:color w:val="auto"/>
          <w:sz w:val="32"/>
          <w:szCs w:val="32"/>
          <w:lang w:eastAsia="zh-CN"/>
        </w:rPr>
        <w:t>一、</w:t>
      </w:r>
      <w:r>
        <w:rPr>
          <w:rFonts w:hint="eastAsia" w:ascii="黑体" w:hAnsi="黑体" w:eastAsia="黑体" w:cs="黑体"/>
          <w:color w:val="auto"/>
          <w:sz w:val="32"/>
          <w:szCs w:val="32"/>
        </w:rPr>
        <w:t>带队检查</w:t>
      </w:r>
      <w:r>
        <w:rPr>
          <w:rFonts w:hint="eastAsia" w:ascii="黑体" w:hAnsi="黑体" w:eastAsia="黑体" w:cs="黑体"/>
          <w:color w:val="auto"/>
          <w:sz w:val="32"/>
          <w:szCs w:val="32"/>
          <w:lang w:eastAsia="zh-CN"/>
        </w:rPr>
        <w:t>工作人员</w:t>
      </w:r>
      <w:r>
        <w:rPr>
          <w:rFonts w:hint="eastAsia" w:ascii="黑体" w:hAnsi="黑体" w:eastAsia="黑体" w:cs="黑体"/>
          <w:color w:val="auto"/>
          <w:sz w:val="32"/>
          <w:szCs w:val="32"/>
        </w:rPr>
        <w:t>范围</w:t>
      </w:r>
      <w:r>
        <w:rPr>
          <w:rFonts w:hint="eastAsia" w:ascii="黑体" w:hAnsi="黑体" w:eastAsia="黑体" w:cs="黑体"/>
          <w:color w:val="auto"/>
          <w:sz w:val="32"/>
          <w:szCs w:val="32"/>
        </w:rPr>
        <w:br w:type="textWrapping"/>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局领导及相关工作人员。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黑体" w:hAnsi="黑体" w:eastAsia="黑体" w:cs="黑体"/>
          <w:color w:val="auto"/>
          <w:sz w:val="32"/>
          <w:szCs w:val="32"/>
          <w:lang w:eastAsia="zh-CN"/>
        </w:rPr>
        <w:t>二、</w:t>
      </w:r>
      <w:r>
        <w:rPr>
          <w:rFonts w:hint="eastAsia" w:ascii="黑体" w:hAnsi="黑体" w:eastAsia="黑体" w:cs="黑体"/>
          <w:color w:val="auto"/>
          <w:sz w:val="32"/>
          <w:szCs w:val="32"/>
        </w:rPr>
        <w:t>工作频次</w:t>
      </w:r>
      <w:r>
        <w:rPr>
          <w:rFonts w:hint="eastAsia" w:ascii="黑体" w:hAnsi="黑体" w:eastAsia="黑体" w:cs="黑体"/>
          <w:color w:val="auto"/>
          <w:sz w:val="32"/>
          <w:szCs w:val="32"/>
        </w:rPr>
        <w:br w:type="textWrapping"/>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按上级主管部门要求执行。</w:t>
      </w:r>
      <w:r>
        <w:rPr>
          <w:rFonts w:hint="eastAsia" w:ascii="仿宋" w:hAnsi="仿宋" w:eastAsia="仿宋" w:cs="仿宋"/>
          <w:color w:val="auto"/>
          <w:sz w:val="32"/>
          <w:szCs w:val="32"/>
        </w:rPr>
        <w:br w:type="textWrapping"/>
      </w:r>
      <w:r>
        <w:rPr>
          <w:rFonts w:hint="eastAsia" w:ascii="仿宋" w:hAnsi="仿宋" w:eastAsia="仿宋" w:cs="仿宋"/>
          <w:color w:val="auto"/>
          <w:sz w:val="32"/>
          <w:szCs w:val="32"/>
          <w:lang w:val="en-US" w:eastAsia="zh-CN"/>
        </w:rPr>
        <w:t xml:space="preserve">    </w:t>
      </w:r>
      <w:r>
        <w:rPr>
          <w:rFonts w:hint="eastAsia" w:ascii="黑体" w:hAnsi="黑体" w:eastAsia="黑体" w:cs="黑体"/>
          <w:b w:val="0"/>
          <w:bCs w:val="0"/>
          <w:color w:val="auto"/>
          <w:sz w:val="32"/>
          <w:szCs w:val="32"/>
        </w:rPr>
        <w:t>三、主要内容 </w:t>
      </w:r>
      <w:r>
        <w:rPr>
          <w:rFonts w:hint="eastAsia" w:ascii="黑体" w:hAnsi="黑体" w:eastAsia="黑体" w:cs="黑体"/>
          <w:b w:val="0"/>
          <w:bCs w:val="0"/>
          <w:color w:val="auto"/>
          <w:sz w:val="32"/>
          <w:szCs w:val="32"/>
        </w:rPr>
        <w:br w:type="textWrapping"/>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1、对新区范围内建设工程安全生产监管职责的履行情况。</w:t>
      </w:r>
      <w:r>
        <w:rPr>
          <w:rFonts w:hint="eastAsia" w:ascii="仿宋" w:hAnsi="仿宋" w:eastAsia="仿宋" w:cs="仿宋"/>
          <w:color w:val="auto"/>
          <w:sz w:val="32"/>
          <w:szCs w:val="32"/>
          <w:lang w:eastAsia="zh-CN"/>
        </w:rPr>
        <w:br w:type="textWrapping"/>
      </w:r>
      <w:r>
        <w:rPr>
          <w:rFonts w:hint="eastAsia" w:ascii="仿宋" w:hAnsi="仿宋" w:eastAsia="仿宋" w:cs="仿宋"/>
          <w:color w:val="auto"/>
          <w:sz w:val="32"/>
          <w:szCs w:val="32"/>
          <w:lang w:val="en-US" w:eastAsia="zh-CN"/>
        </w:rPr>
        <w:t xml:space="preserve">    2</w:t>
      </w:r>
      <w:r>
        <w:rPr>
          <w:rFonts w:hint="eastAsia" w:ascii="仿宋" w:hAnsi="仿宋" w:eastAsia="仿宋" w:cs="仿宋"/>
          <w:color w:val="auto"/>
          <w:sz w:val="32"/>
          <w:szCs w:val="32"/>
          <w:lang w:eastAsia="zh-CN"/>
        </w:rPr>
        <w:t>、安全生产法律法规、安全生产工作会议等决策部署的贯彻落实情况。</w:t>
      </w:r>
      <w:r>
        <w:rPr>
          <w:rFonts w:hint="eastAsia" w:ascii="仿宋" w:hAnsi="仿宋" w:eastAsia="仿宋" w:cs="仿宋"/>
          <w:color w:val="auto"/>
          <w:sz w:val="32"/>
          <w:szCs w:val="32"/>
          <w:lang w:eastAsia="zh-CN"/>
        </w:rPr>
        <w:br w:type="textWrapping"/>
      </w:r>
      <w:r>
        <w:rPr>
          <w:rFonts w:hint="eastAsia" w:ascii="仿宋" w:hAnsi="仿宋" w:eastAsia="仿宋" w:cs="仿宋"/>
          <w:color w:val="auto"/>
          <w:sz w:val="32"/>
          <w:szCs w:val="32"/>
          <w:lang w:val="en-US" w:eastAsia="zh-CN"/>
        </w:rPr>
        <w:t xml:space="preserve">    3、</w:t>
      </w:r>
      <w:r>
        <w:rPr>
          <w:rFonts w:hint="eastAsia" w:ascii="仿宋" w:hAnsi="仿宋" w:eastAsia="仿宋" w:cs="仿宋"/>
          <w:color w:val="auto"/>
          <w:sz w:val="32"/>
          <w:szCs w:val="32"/>
          <w:lang w:eastAsia="zh-CN"/>
        </w:rPr>
        <w:t>安全生产行政检查、隐患治理、重点部位安全生产专项整治开展情况。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安全生产投入、监督管理队伍、安全生产长效机制的建立及运行情况。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建筑施工、供水、燃气、公共设施、关键部位的监管情况。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黑体" w:hAnsi="黑体" w:eastAsia="黑体" w:cs="黑体"/>
          <w:color w:val="auto"/>
          <w:sz w:val="32"/>
          <w:szCs w:val="32"/>
        </w:rPr>
        <w:t>四、工作要求</w:t>
      </w:r>
      <w:r>
        <w:rPr>
          <w:rFonts w:hint="eastAsia" w:ascii="黑体" w:hAnsi="黑体" w:eastAsia="黑体" w:cs="黑体"/>
          <w:color w:val="auto"/>
          <w:sz w:val="32"/>
          <w:szCs w:val="32"/>
        </w:rPr>
        <w:br w:type="textWrapping"/>
      </w:r>
      <w:r>
        <w:rPr>
          <w:rFonts w:hint="eastAsia" w:ascii="仿宋" w:hAnsi="仿宋" w:eastAsia="仿宋" w:cs="仿宋"/>
          <w:color w:val="auto"/>
          <w:sz w:val="32"/>
          <w:szCs w:val="32"/>
          <w:lang w:val="en-US" w:eastAsia="zh-CN"/>
        </w:rPr>
        <w:t xml:space="preserve">    1、规范检查方式。必须依法依规及上级部门要求进行相关安全生产检查，检查人员2名以上。</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2、严格检查程序。检查做到有方案、有重点、有记录、有总结、有措施、有跟踪。对检查发现的问题和隐患及重大事故隐患要督促严格按照整改措施、责任、资金、时限和预案的要求进行整改，并制定专人跟踪督促整改到位。</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3、强化检查责任。坚持“谁检查、谁负责”、“谁督办、谁负责”。对安全生产检查走过场、搞形式的，要通报批评，发生事故的要倒查责任。现场检查时，不得有倾向性地选择特定企业；不得降低检查标准；不得瞒报漏报检查情况，确保公正。</w:t>
      </w:r>
      <w:r>
        <w:rPr>
          <w:rFonts w:hint="eastAsia" w:ascii="仿宋" w:hAnsi="仿宋" w:eastAsia="仿宋" w:cs="仿宋"/>
          <w:color w:val="auto"/>
          <w:sz w:val="32"/>
          <w:szCs w:val="32"/>
          <w:lang w:val="en-US" w:eastAsia="zh-CN"/>
        </w:rPr>
        <w:br w:type="textWrapping"/>
      </w:r>
      <w:r>
        <w:rPr>
          <w:rFonts w:hint="eastAsia" w:ascii="仿宋" w:hAnsi="仿宋" w:eastAsia="仿宋" w:cs="仿宋"/>
          <w:color w:val="auto"/>
          <w:sz w:val="32"/>
          <w:szCs w:val="32"/>
          <w:lang w:val="en-US" w:eastAsia="zh-CN"/>
        </w:rPr>
        <w:t xml:space="preserve">    4、检查情况报送。对检查建设工程名称、现场数量、内容要完整、详实进行准确记录；排查隐患情况要详细具体，现场整改和限期整改的隐患数据要准确，能现场整改的要立即整改，不能现场整改的，要上报市住建局进行相关处理；隐患整改和复查要明确责任人，检查及整改落实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eastAsia="zh-CN"/>
        </w:rPr>
      </w:pPr>
    </w:p>
    <w:p>
      <w:pPr>
        <w:bidi w:val="0"/>
        <w:ind w:firstLine="320" w:firstLineChars="100"/>
        <w:rPr>
          <w:rFonts w:hint="eastAsia"/>
          <w:color w:val="auto"/>
          <w:lang w:val="en-US" w:eastAsia="zh-CN"/>
        </w:rPr>
      </w:pPr>
    </w:p>
    <w:p>
      <w:pPr>
        <w:bidi w:val="0"/>
        <w:ind w:firstLine="321" w:firstLineChars="100"/>
        <w:jc w:val="center"/>
        <w:rPr>
          <w:rFonts w:hint="eastAsia"/>
          <w:b/>
          <w:bCs/>
          <w:color w:val="auto"/>
          <w:lang w:val="en-US" w:eastAsia="zh-CN"/>
        </w:rPr>
      </w:pPr>
      <w:r>
        <w:rPr>
          <w:rFonts w:hint="eastAsia"/>
          <w:b/>
          <w:bCs/>
          <w:color w:val="auto"/>
          <w:lang w:val="en-US" w:eastAsia="zh-CN"/>
        </w:rPr>
        <w:t>白城市生态新区建设局行政权力运行流程图</w:t>
      </w:r>
    </w:p>
    <w:p>
      <w:pPr>
        <w:bidi w:val="0"/>
        <w:jc w:val="center"/>
        <w:rPr>
          <w:rFonts w:hint="eastAsia"/>
          <w:b/>
          <w:bCs/>
          <w:color w:val="auto"/>
          <w:szCs w:val="36"/>
          <w:lang w:val="en-US" w:eastAsia="zh-CN"/>
        </w:rPr>
      </w:pPr>
      <w:r>
        <w:rPr>
          <w:rFonts w:hint="eastAsia"/>
          <w:b/>
          <w:bCs/>
          <w:color w:val="auto"/>
          <w:lang w:val="en-US" w:eastAsia="zh-CN"/>
        </w:rPr>
        <w:t>建设工程安全生产检查</w:t>
      </w:r>
    </w:p>
    <w:p>
      <w:pPr>
        <w:jc w:val="center"/>
        <w:rPr>
          <w:rFonts w:hint="eastAsia"/>
          <w:b/>
          <w:bCs/>
          <w:color w:val="auto"/>
          <w:sz w:val="36"/>
          <w:szCs w:val="36"/>
          <w:lang w:val="en-US" w:eastAsia="zh-CN"/>
        </w:rPr>
      </w:pPr>
      <w:r>
        <w:rPr>
          <w:color w:val="auto"/>
          <w:sz w:val="36"/>
        </w:rPr>
        <mc:AlternateContent>
          <mc:Choice Requires="wps">
            <w:drawing>
              <wp:anchor distT="0" distB="0" distL="114300" distR="114300" simplePos="0" relativeHeight="251718656" behindDoc="0" locked="0" layoutInCell="1" allowOverlap="1">
                <wp:simplePos x="0" y="0"/>
                <wp:positionH relativeFrom="column">
                  <wp:posOffset>1288415</wp:posOffset>
                </wp:positionH>
                <wp:positionV relativeFrom="paragraph">
                  <wp:posOffset>367030</wp:posOffset>
                </wp:positionV>
                <wp:extent cx="1592580" cy="556260"/>
                <wp:effectExtent l="6350" t="6350" r="20320" b="8890"/>
                <wp:wrapNone/>
                <wp:docPr id="104" name="圆角矩形 104"/>
                <wp:cNvGraphicFramePr/>
                <a:graphic xmlns:a="http://schemas.openxmlformats.org/drawingml/2006/main">
                  <a:graphicData uri="http://schemas.microsoft.com/office/word/2010/wordprocessingShape">
                    <wps:wsp>
                      <wps:cNvSpPr/>
                      <wps:spPr>
                        <a:xfrm>
                          <a:off x="2431415" y="2083435"/>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建筑工程安全生产施工检查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28.9pt;height:43.8pt;width:125.4pt;z-index:251718656;v-text-anchor:middle;mso-width-relative:page;mso-height-relative:page;" fillcolor="#FFFFFF [3201]" filled="t" stroked="t" coordsize="21600,21600" arcsize="0.166666666666667" o:gfxdata="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L&#10;P2j91wAAAAoBAAAPAAAAAAAAAAEAIAAAACIAAABkcnMvZG93bnJldi54bWxQSwECFAAUAAAACACH&#10;TuJA/5HypZcCAAAaBQAADgAAAAAAAAABACAAAAAmAQAAZHJzL2Uyb0RvYy54bWxQSwUGAAAAAAYA&#10;BgBZAQAALwY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建筑工程安全生产施工检查</w:t>
                      </w:r>
                    </w:p>
                  </w:txbxContent>
                </v:textbox>
              </v:roundrect>
            </w:pict>
          </mc:Fallback>
        </mc:AlternateContent>
      </w:r>
      <w:r>
        <w:rPr>
          <w:color w:val="auto"/>
          <w:sz w:val="36"/>
        </w:rPr>
        <mc:AlternateContent>
          <mc:Choice Requires="wps">
            <w:drawing>
              <wp:anchor distT="0" distB="0" distL="114300" distR="114300" simplePos="0" relativeHeight="251721728" behindDoc="0" locked="0" layoutInCell="1" allowOverlap="1">
                <wp:simplePos x="0" y="0"/>
                <wp:positionH relativeFrom="column">
                  <wp:posOffset>3573780</wp:posOffset>
                </wp:positionH>
                <wp:positionV relativeFrom="paragraph">
                  <wp:posOffset>1001395</wp:posOffset>
                </wp:positionV>
                <wp:extent cx="2298700" cy="1697355"/>
                <wp:effectExtent l="6350" t="6350" r="19050" b="10795"/>
                <wp:wrapNone/>
                <wp:docPr id="84" name="圆角矩形 84"/>
                <wp:cNvGraphicFramePr/>
                <a:graphic xmlns:a="http://schemas.openxmlformats.org/drawingml/2006/main">
                  <a:graphicData uri="http://schemas.microsoft.com/office/word/2010/wordprocessingShape">
                    <wps:wsp>
                      <wps:cNvSpPr/>
                      <wps:spPr>
                        <a:xfrm>
                          <a:off x="0" y="0"/>
                          <a:ext cx="2298700" cy="16973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val="en-US" w:eastAsia="zh-CN"/>
                              </w:rPr>
                            </w:pPr>
                            <w:r>
                              <w:rPr>
                                <w:rFonts w:hint="eastAsia" w:ascii="Times New Roman" w:hAnsi="Times New Roman"/>
                                <w:sz w:val="22"/>
                                <w:szCs w:val="20"/>
                                <w:lang w:val="en-US" w:eastAsia="zh-CN"/>
                              </w:rPr>
                              <w:t>《中华人民共和国建筑法》</w:t>
                            </w:r>
                          </w:p>
                          <w:p>
                            <w:pPr>
                              <w:jc w:val="center"/>
                              <w:rPr>
                                <w:rFonts w:hint="eastAsia" w:ascii="Times New Roman" w:hAnsi="Times New Roman"/>
                                <w:sz w:val="22"/>
                                <w:szCs w:val="20"/>
                                <w:lang w:val="en-US" w:eastAsia="zh-CN"/>
                              </w:rPr>
                            </w:pPr>
                            <w:r>
                              <w:rPr>
                                <w:rFonts w:hint="eastAsia" w:ascii="Times New Roman" w:hAnsi="Times New Roman"/>
                                <w:sz w:val="22"/>
                                <w:szCs w:val="20"/>
                                <w:lang w:val="en-US" w:eastAsia="zh-CN"/>
                              </w:rPr>
                              <w:t>《建设工程安全生产管理条例》</w:t>
                            </w:r>
                          </w:p>
                          <w:p>
                            <w:pPr>
                              <w:jc w:val="center"/>
                              <w:rPr>
                                <w:rFonts w:hint="eastAsia" w:ascii="Times New Roman" w:hAnsi="Times New Roman"/>
                                <w:sz w:val="22"/>
                                <w:szCs w:val="20"/>
                                <w:lang w:eastAsia="zh-CN"/>
                              </w:rPr>
                            </w:pPr>
                            <w:r>
                              <w:rPr>
                                <w:rFonts w:hint="eastAsia" w:ascii="Times New Roman" w:hAnsi="Times New Roman"/>
                                <w:sz w:val="22"/>
                                <w:szCs w:val="20"/>
                                <w:lang w:val="en-US" w:eastAsia="zh-CN"/>
                              </w:rPr>
                              <w:t>《中华人民共和国安</w:t>
                            </w:r>
                            <w:r>
                              <w:rPr>
                                <w:rFonts w:hint="eastAsia" w:ascii="Times New Roman" w:hAnsi="Times New Roman"/>
                                <w:sz w:val="22"/>
                                <w:szCs w:val="20"/>
                                <w:lang w:eastAsia="zh-CN"/>
                              </w:rPr>
                              <w:t>全生产法》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1.4pt;margin-top:78.85pt;height:133.65pt;width:181pt;z-index:251721728;v-text-anchor:middle;mso-width-relative:page;mso-height-relative:page;" fillcolor="#FFFFFF [3201]" filled="t" stroked="t" coordsize="21600,21600" arcsize="0.166666666666667" o:gfxdata="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67/xNgAAAALAQAADwAAAAAA&#10;AAABACAAAAAiAAAAZHJzL2Rvd25yZXYueG1sUEsBAhQAFAAAAAgAh07iQAqZ+xqFAgAADQUAAA4A&#10;AAAAAAAAAQAgAAAAJwEAAGRycy9lMm9Eb2MueG1sUEsFBgAAAAAGAAYAWQEAAB4GA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val="en-US" w:eastAsia="zh-CN"/>
                        </w:rPr>
                      </w:pPr>
                      <w:r>
                        <w:rPr>
                          <w:rFonts w:hint="eastAsia" w:ascii="Times New Roman" w:hAnsi="Times New Roman"/>
                          <w:sz w:val="22"/>
                          <w:szCs w:val="20"/>
                          <w:lang w:val="en-US" w:eastAsia="zh-CN"/>
                        </w:rPr>
                        <w:t>《中华人民共和国建筑法》</w:t>
                      </w:r>
                    </w:p>
                    <w:p>
                      <w:pPr>
                        <w:jc w:val="center"/>
                        <w:rPr>
                          <w:rFonts w:hint="eastAsia" w:ascii="Times New Roman" w:hAnsi="Times New Roman"/>
                          <w:sz w:val="22"/>
                          <w:szCs w:val="20"/>
                          <w:lang w:val="en-US" w:eastAsia="zh-CN"/>
                        </w:rPr>
                      </w:pPr>
                      <w:r>
                        <w:rPr>
                          <w:rFonts w:hint="eastAsia" w:ascii="Times New Roman" w:hAnsi="Times New Roman"/>
                          <w:sz w:val="22"/>
                          <w:szCs w:val="20"/>
                          <w:lang w:val="en-US" w:eastAsia="zh-CN"/>
                        </w:rPr>
                        <w:t>《建设工程安全生产管理条例》</w:t>
                      </w:r>
                    </w:p>
                    <w:p>
                      <w:pPr>
                        <w:jc w:val="center"/>
                        <w:rPr>
                          <w:rFonts w:hint="eastAsia" w:ascii="Times New Roman" w:hAnsi="Times New Roman"/>
                          <w:sz w:val="22"/>
                          <w:szCs w:val="20"/>
                          <w:lang w:eastAsia="zh-CN"/>
                        </w:rPr>
                      </w:pPr>
                      <w:r>
                        <w:rPr>
                          <w:rFonts w:hint="eastAsia" w:ascii="Times New Roman" w:hAnsi="Times New Roman"/>
                          <w:sz w:val="22"/>
                          <w:szCs w:val="20"/>
                          <w:lang w:val="en-US" w:eastAsia="zh-CN"/>
                        </w:rPr>
                        <w:t>《中华人民共和国安</w:t>
                      </w:r>
                      <w:r>
                        <w:rPr>
                          <w:rFonts w:hint="eastAsia" w:ascii="Times New Roman" w:hAnsi="Times New Roman"/>
                          <w:sz w:val="22"/>
                          <w:szCs w:val="20"/>
                          <w:lang w:eastAsia="zh-CN"/>
                        </w:rPr>
                        <w:t>全生产法》</w:t>
                      </w:r>
                    </w:p>
                  </w:txbxContent>
                </v:textbox>
              </v:roundrect>
            </w:pict>
          </mc:Fallback>
        </mc:AlternateContent>
      </w:r>
      <w:r>
        <w:rPr>
          <w:color w:val="auto"/>
          <w:sz w:val="36"/>
        </w:rPr>
        <mc:AlternateContent>
          <mc:Choice Requires="wps">
            <w:drawing>
              <wp:anchor distT="0" distB="0" distL="114300" distR="114300" simplePos="0" relativeHeight="251739136" behindDoc="0" locked="0" layoutInCell="1" allowOverlap="1">
                <wp:simplePos x="0" y="0"/>
                <wp:positionH relativeFrom="column">
                  <wp:posOffset>-45085</wp:posOffset>
                </wp:positionH>
                <wp:positionV relativeFrom="paragraph">
                  <wp:posOffset>6884035</wp:posOffset>
                </wp:positionV>
                <wp:extent cx="2118360" cy="556260"/>
                <wp:effectExtent l="0" t="0" r="15240" b="15240"/>
                <wp:wrapNone/>
                <wp:docPr id="85" name="圆角矩形 85"/>
                <wp:cNvGraphicFramePr/>
                <a:graphic xmlns:a="http://schemas.openxmlformats.org/drawingml/2006/main">
                  <a:graphicData uri="http://schemas.microsoft.com/office/word/2010/wordprocessingShape">
                    <wps:wsp>
                      <wps:cNvSpPr/>
                      <wps:spPr>
                        <a:xfrm>
                          <a:off x="0" y="0"/>
                          <a:ext cx="2118360" cy="55626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ascii="Times New Roman" w:hAnsi="Times New Roman"/>
                                <w:sz w:val="22"/>
                                <w:szCs w:val="20"/>
                                <w:lang w:eastAsia="zh-CN"/>
                              </w:rPr>
                              <w:t>（承诺时限：</w:t>
                            </w:r>
                            <w:r>
                              <w:rPr>
                                <w:rFonts w:hint="eastAsia" w:ascii="Times New Roman" w:hAnsi="Times New Roman"/>
                                <w:sz w:val="22"/>
                                <w:szCs w:val="20"/>
                                <w:lang w:val="en-US" w:eastAsia="zh-CN"/>
                              </w:rPr>
                              <w:t>3个工作日</w:t>
                            </w:r>
                            <w:r>
                              <w:rPr>
                                <w:rFonts w:hint="eastAsia" w:ascii="Times New Roman" w:hAnsi="Times New Roman"/>
                                <w:sz w:val="22"/>
                                <w:szCs w:val="2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5pt;margin-top:542.05pt;height:43.8pt;width:166.8pt;z-index:251739136;v-text-anchor:middle;mso-width-relative:page;mso-height-relative:page;" fillcolor="#FFFFFF [3201]" filled="t" stroked="f" coordsize="21600,21600" arcsize="0.166666666666667" o:gfxdata="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D9/3ZAAAADAEAAA8AAAAAAAAA&#10;AQAgAAAAIgAAAGRycy9kb3ducmV2LnhtbFBLAQIUABQAAAAIAIdO4kBDZwUdggIAAOMEAAAOAAAA&#10;AAAAAAEAIAAAACgBAABkcnMvZTJvRG9jLnhtbFBLBQYAAAAABgAGAFkBAAAcBgAAAAA=&#10;">
                <v:fill on="t" focussize="0,0"/>
                <v:stroke on="f" weight="1pt" miterlimit="8" joinstyle="miter"/>
                <v:imagedata o:title=""/>
                <o:lock v:ext="edit" aspectratio="f"/>
                <v:textbox>
                  <w:txbxContent>
                    <w:p>
                      <w:pPr>
                        <w:jc w:val="center"/>
                        <w:rPr>
                          <w:rFonts w:hint="eastAsia" w:eastAsiaTheme="minorEastAsia"/>
                          <w:lang w:eastAsia="zh-CN"/>
                        </w:rPr>
                      </w:pPr>
                      <w:r>
                        <w:rPr>
                          <w:rFonts w:hint="eastAsia" w:ascii="Times New Roman" w:hAnsi="Times New Roman"/>
                          <w:sz w:val="22"/>
                          <w:szCs w:val="20"/>
                          <w:lang w:eastAsia="zh-CN"/>
                        </w:rPr>
                        <w:t>（承诺时限：</w:t>
                      </w:r>
                      <w:r>
                        <w:rPr>
                          <w:rFonts w:hint="eastAsia" w:ascii="Times New Roman" w:hAnsi="Times New Roman"/>
                          <w:sz w:val="22"/>
                          <w:szCs w:val="20"/>
                          <w:lang w:val="en-US" w:eastAsia="zh-CN"/>
                        </w:rPr>
                        <w:t>3个工作日</w:t>
                      </w:r>
                      <w:r>
                        <w:rPr>
                          <w:rFonts w:hint="eastAsia" w:ascii="Times New Roman" w:hAnsi="Times New Roman"/>
                          <w:sz w:val="22"/>
                          <w:szCs w:val="20"/>
                          <w:lang w:eastAsia="zh-CN"/>
                        </w:rPr>
                        <w:t>）</w:t>
                      </w:r>
                    </w:p>
                  </w:txbxContent>
                </v:textbox>
              </v:roundrect>
            </w:pict>
          </mc:Fallback>
        </mc:AlternateContent>
      </w:r>
      <w:r>
        <w:rPr>
          <w:color w:val="auto"/>
          <w:sz w:val="36"/>
        </w:rPr>
        <mc:AlternateContent>
          <mc:Choice Requires="wps">
            <w:drawing>
              <wp:anchor distT="0" distB="0" distL="114300" distR="114300" simplePos="0" relativeHeight="251738112" behindDoc="0" locked="0" layoutInCell="1" allowOverlap="1">
                <wp:simplePos x="0" y="0"/>
                <wp:positionH relativeFrom="column">
                  <wp:posOffset>-67945</wp:posOffset>
                </wp:positionH>
                <wp:positionV relativeFrom="paragraph">
                  <wp:posOffset>5506720</wp:posOffset>
                </wp:positionV>
                <wp:extent cx="1310640" cy="7620"/>
                <wp:effectExtent l="0" t="48895" r="3810" b="57785"/>
                <wp:wrapNone/>
                <wp:docPr id="86" name="直接箭头连接符 86"/>
                <wp:cNvGraphicFramePr/>
                <a:graphic xmlns:a="http://schemas.openxmlformats.org/drawingml/2006/main">
                  <a:graphicData uri="http://schemas.microsoft.com/office/word/2010/wordprocessingShape">
                    <wps:wsp>
                      <wps:cNvCnPr/>
                      <wps:spPr>
                        <a:xfrm flipV="1">
                          <a:off x="1075055" y="7213600"/>
                          <a:ext cx="1310640" cy="76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35pt;margin-top:433.6pt;height:0.6pt;width:103.2pt;z-index:251738112;mso-width-relative:page;mso-height-relative:page;" filled="f" stroked="t" coordsize="21600,21600" o:gfxdata="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XgKsdkAAAALAQAADwAAAAAAAAABACAAAAAiAAAAZHJzL2Rvd25yZXYueG1sUEsBAhQAFAAAAAgA&#10;h07iQD1kAyckAgAACwQAAA4AAAAAAAAAAQAgAAAAKAEAAGRycy9lMm9Eb2MueG1sUEsFBgAAAAAG&#10;AAYAWQEAAL4FAAAAAA==&#10;">
                <v:fill on="f" focussize="0,0"/>
                <v:stroke weight="0.5pt" color="#000000 [3200]" miterlimit="8" joinstyle="miter" endarrow="open"/>
                <v:imagedata o:title=""/>
                <o:lock v:ext="edit" aspectratio="f"/>
              </v:shape>
            </w:pict>
          </mc:Fallback>
        </mc:AlternateContent>
      </w:r>
      <w:r>
        <w:rPr>
          <w:color w:val="auto"/>
          <w:sz w:val="36"/>
        </w:rPr>
        <mc:AlternateContent>
          <mc:Choice Requires="wps">
            <w:drawing>
              <wp:anchor distT="0" distB="0" distL="114300" distR="114300" simplePos="0" relativeHeight="251737088" behindDoc="0" locked="0" layoutInCell="1" allowOverlap="1">
                <wp:simplePos x="0" y="0"/>
                <wp:positionH relativeFrom="column">
                  <wp:posOffset>-67310</wp:posOffset>
                </wp:positionH>
                <wp:positionV relativeFrom="paragraph">
                  <wp:posOffset>4796790</wp:posOffset>
                </wp:positionV>
                <wp:extent cx="6985" cy="755650"/>
                <wp:effectExtent l="4445" t="0" r="7620" b="6350"/>
                <wp:wrapNone/>
                <wp:docPr id="87" name="直接连接符 87"/>
                <wp:cNvGraphicFramePr/>
                <a:graphic xmlns:a="http://schemas.openxmlformats.org/drawingml/2006/main">
                  <a:graphicData uri="http://schemas.microsoft.com/office/word/2010/wordprocessingShape">
                    <wps:wsp>
                      <wps:cNvCnPr>
                        <a:stCxn id="90" idx="2"/>
                      </wps:cNvCnPr>
                      <wps:spPr>
                        <a:xfrm>
                          <a:off x="1075690" y="6503670"/>
                          <a:ext cx="6985" cy="755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pt;margin-top:377.7pt;height:59.5pt;width:0.55pt;z-index:251737088;mso-width-relative:page;mso-height-relative:page;" filled="f" stroked="t" coordsize="21600,21600" o:gfxdata="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m6xC9gAAAAKAQAADwAAAAAAAAABACAAAAAiAAAAZHJzL2Rv&#10;d25yZXYueG1sUEsBAhQAFAAAAAgAh07iQC16iwIBAgAA6AMAAA4AAAAAAAAAAQAgAAAAJwEAAGRy&#10;cy9lMm9Eb2MueG1sUEsFBgAAAAAGAAYAWQEAAJoFAAAAAA==&#10;">
                <v:fill on="f" focussize="0,0"/>
                <v:stroke weight="0.5pt" color="#000000 [3200]" miterlimit="8" joinstyle="miter"/>
                <v:imagedata o:title=""/>
                <o:lock v:ext="edit" aspectratio="f"/>
              </v:line>
            </w:pict>
          </mc:Fallback>
        </mc:AlternateContent>
      </w:r>
      <w:r>
        <w:rPr>
          <w:color w:val="auto"/>
          <w:sz w:val="36"/>
        </w:rPr>
        <mc:AlternateContent>
          <mc:Choice Requires="wps">
            <w:drawing>
              <wp:anchor distT="0" distB="0" distL="114300" distR="114300" simplePos="0" relativeHeight="251736064" behindDoc="0" locked="0" layoutInCell="1" allowOverlap="1">
                <wp:simplePos x="0" y="0"/>
                <wp:positionH relativeFrom="column">
                  <wp:posOffset>-60325</wp:posOffset>
                </wp:positionH>
                <wp:positionV relativeFrom="paragraph">
                  <wp:posOffset>3279775</wp:posOffset>
                </wp:positionV>
                <wp:extent cx="1318260" cy="0"/>
                <wp:effectExtent l="0" t="0" r="0" b="0"/>
                <wp:wrapNone/>
                <wp:docPr id="88" name="直接连接符 88"/>
                <wp:cNvGraphicFramePr/>
                <a:graphic xmlns:a="http://schemas.openxmlformats.org/drawingml/2006/main">
                  <a:graphicData uri="http://schemas.microsoft.com/office/word/2010/wordprocessingShape">
                    <wps:wsp>
                      <wps:cNvCnPr/>
                      <wps:spPr>
                        <a:xfrm>
                          <a:off x="1082675" y="4986655"/>
                          <a:ext cx="1318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5pt;margin-top:258.25pt;height:0pt;width:103.8pt;z-index:251736064;mso-width-relative:page;mso-height-relative:page;" filled="f" stroked="t" coordsize="21600,21600" o:gfxdata="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CNLP9YAAAAKAQAADwAAAAAAAAABACAAAAAiAAAAZHJzL2Rvd25yZXYueG1sUEsBAhQAFAAA&#10;AAgAh07iQC5R7RHxAQAAvwMAAA4AAAAAAAAAAQAgAAAAJQEAAGRycy9lMm9Eb2MueG1sUEsFBgAA&#10;AAAGAAYAWQEAAIgFAAAAAA==&#10;">
                <v:fill on="f" focussize="0,0"/>
                <v:stroke weight="0.5pt" color="#000000 [3200]" miterlimit="8" joinstyle="miter"/>
                <v:imagedata o:title=""/>
                <o:lock v:ext="edit" aspectratio="f"/>
              </v:line>
            </w:pict>
          </mc:Fallback>
        </mc:AlternateContent>
      </w:r>
      <w:r>
        <w:rPr>
          <w:color w:val="auto"/>
          <w:sz w:val="36"/>
        </w:rPr>
        <mc:AlternateContent>
          <mc:Choice Requires="wps">
            <w:drawing>
              <wp:anchor distT="0" distB="0" distL="114300" distR="114300" simplePos="0" relativeHeight="251735040" behindDoc="0" locked="0" layoutInCell="1" allowOverlap="1">
                <wp:simplePos x="0" y="0"/>
                <wp:positionH relativeFrom="column">
                  <wp:posOffset>-67945</wp:posOffset>
                </wp:positionH>
                <wp:positionV relativeFrom="paragraph">
                  <wp:posOffset>3241675</wp:posOffset>
                </wp:positionV>
                <wp:extent cx="635" cy="518160"/>
                <wp:effectExtent l="4445" t="0" r="13970" b="15240"/>
                <wp:wrapNone/>
                <wp:docPr id="89" name="直接连接符 89"/>
                <wp:cNvGraphicFramePr/>
                <a:graphic xmlns:a="http://schemas.openxmlformats.org/drawingml/2006/main">
                  <a:graphicData uri="http://schemas.microsoft.com/office/word/2010/wordprocessingShape">
                    <wps:wsp>
                      <wps:cNvCnPr>
                        <a:endCxn id="90" idx="0"/>
                      </wps:cNvCnPr>
                      <wps:spPr>
                        <a:xfrm>
                          <a:off x="1075055" y="4948555"/>
                          <a:ext cx="635" cy="51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5pt;margin-top:255.25pt;height:40.8pt;width:0.05pt;z-index:251735040;mso-width-relative:page;mso-height-relative:page;" filled="f" stroked="t" coordsize="21600,21600" o:gfxdata="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QK6S2QAAAAsBAAAPAAAAAAAAAAEAIAAAACIA&#10;AABkcnMvZG93bnJldi54bWxQSwECFAAUAAAACACHTuJAyipnNggCAADoAwAADgAAAAAAAAABACAA&#10;AAAoAQAAZHJzL2Uyb0RvYy54bWxQSwUGAAAAAAYABgBZAQAAogUAAAAA&#10;">
                <v:fill on="f" focussize="0,0"/>
                <v:stroke weight="0.5pt" color="#5B9BD5 [3204]" miterlimit="8" joinstyle="miter"/>
                <v:imagedata o:title=""/>
                <o:lock v:ext="edit" aspectratio="f"/>
              </v:line>
            </w:pict>
          </mc:Fallback>
        </mc:AlternateContent>
      </w:r>
      <w:r>
        <w:rPr>
          <w:color w:val="auto"/>
          <w:sz w:val="36"/>
        </w:rPr>
        <mc:AlternateContent>
          <mc:Choice Requires="wps">
            <w:drawing>
              <wp:anchor distT="0" distB="0" distL="114300" distR="114300" simplePos="0" relativeHeight="251724800" behindDoc="0" locked="0" layoutInCell="1" allowOverlap="1">
                <wp:simplePos x="0" y="0"/>
                <wp:positionH relativeFrom="column">
                  <wp:posOffset>-586105</wp:posOffset>
                </wp:positionH>
                <wp:positionV relativeFrom="paragraph">
                  <wp:posOffset>3759835</wp:posOffset>
                </wp:positionV>
                <wp:extent cx="1037590" cy="1036955"/>
                <wp:effectExtent l="6350" t="6350" r="22860" b="23495"/>
                <wp:wrapNone/>
                <wp:docPr id="90" name="圆角矩形 90"/>
                <wp:cNvGraphicFramePr/>
                <a:graphic xmlns:a="http://schemas.openxmlformats.org/drawingml/2006/main">
                  <a:graphicData uri="http://schemas.microsoft.com/office/word/2010/wordprocessingShape">
                    <wps:wsp>
                      <wps:cNvSpPr/>
                      <wps:spPr>
                        <a:xfrm>
                          <a:off x="0" y="0"/>
                          <a:ext cx="1037590" cy="10369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对建设领域企业安全生产检查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15pt;margin-top:296.05pt;height:81.65pt;width:81.7pt;z-index:251724800;v-text-anchor:middle;mso-width-relative:page;mso-height-relative:page;" fillcolor="#FFFFFF [3201]" filled="t" stroked="t" coordsize="21600,21600" arcsize="0.166666666666667" o:gfxdata="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4tM722AAAAAoBAAAPAAAAAAAA&#10;AAEAIAAAACIAAABkcnMvZG93bnJldi54bWxQSwECFAAUAAAACACHTuJA6Uc6j4QCAAANBQAADgAA&#10;AAAAAAABACAAAAAnAQAAZHJzL2Uyb0RvYy54bWxQSwUGAAAAAAYABgBZAQAAHQY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对建设领域企业安全生产检查</w:t>
                      </w:r>
                    </w:p>
                  </w:txbxContent>
                </v:textbox>
              </v:roundrect>
            </w:pict>
          </mc:Fallback>
        </mc:AlternateContent>
      </w:r>
      <w:r>
        <w:rPr>
          <w:color w:val="auto"/>
          <w:sz w:val="36"/>
        </w:rPr>
        <mc:AlternateContent>
          <mc:Choice Requires="wps">
            <w:drawing>
              <wp:anchor distT="0" distB="0" distL="114300" distR="114300" simplePos="0" relativeHeight="251734016" behindDoc="0" locked="0" layoutInCell="1" allowOverlap="1">
                <wp:simplePos x="0" y="0"/>
                <wp:positionH relativeFrom="column">
                  <wp:posOffset>8255</wp:posOffset>
                </wp:positionH>
                <wp:positionV relativeFrom="paragraph">
                  <wp:posOffset>618490</wp:posOffset>
                </wp:positionV>
                <wp:extent cx="4445" cy="360045"/>
                <wp:effectExtent l="4445" t="0" r="10160" b="1905"/>
                <wp:wrapNone/>
                <wp:docPr id="91" name="直接连接符 91"/>
                <wp:cNvGraphicFramePr/>
                <a:graphic xmlns:a="http://schemas.openxmlformats.org/drawingml/2006/main">
                  <a:graphicData uri="http://schemas.microsoft.com/office/word/2010/wordprocessingShape">
                    <wps:wsp>
                      <wps:cNvCnPr>
                        <a:endCxn id="94" idx="0"/>
                      </wps:cNvCnPr>
                      <wps:spPr>
                        <a:xfrm>
                          <a:off x="1151255" y="2325370"/>
                          <a:ext cx="4445" cy="360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65pt;margin-top:48.7pt;height:28.35pt;width:0.35pt;z-index:251734016;mso-width-relative:page;mso-height-relative:page;" filled="f" stroked="t" coordsize="21600,21600" o:gfxdata="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AEcktQAAAAGAQAADwAAAAAAAAABACAAAAAiAAAAZHJzL2Rvd25y&#10;ZXYueG1sUEsBAhQAFAAAAAgAh07iQF2AnE4CAgAA6QMAAA4AAAAAAAAAAQAgAAAAIwEAAGRycy9l&#10;Mm9Eb2MueG1sUEsFBgAAAAAGAAYAWQEAAJcFAAAAAA==&#10;">
                <v:fill on="f" focussize="0,0"/>
                <v:stroke weight="0.5pt" color="#000000 [3200]" miterlimit="8" joinstyle="miter"/>
                <v:imagedata o:title=""/>
                <o:lock v:ext="edit" aspectratio="f"/>
              </v:line>
            </w:pict>
          </mc:Fallback>
        </mc:AlternateContent>
      </w:r>
      <w:r>
        <w:rPr>
          <w:color w:val="auto"/>
          <w:sz w:val="36"/>
        </w:rPr>
        <mc:AlternateContent>
          <mc:Choice Requires="wps">
            <w:drawing>
              <wp:anchor distT="0" distB="0" distL="114300" distR="114300" simplePos="0" relativeHeight="251732992" behindDoc="0" locked="0" layoutInCell="1" allowOverlap="1">
                <wp:simplePos x="0" y="0"/>
                <wp:positionH relativeFrom="column">
                  <wp:posOffset>-14605</wp:posOffset>
                </wp:positionH>
                <wp:positionV relativeFrom="paragraph">
                  <wp:posOffset>618490</wp:posOffset>
                </wp:positionV>
                <wp:extent cx="1249680" cy="0"/>
                <wp:effectExtent l="0" t="48895" r="7620" b="65405"/>
                <wp:wrapNone/>
                <wp:docPr id="92" name="直接箭头连接符 92"/>
                <wp:cNvGraphicFramePr/>
                <a:graphic xmlns:a="http://schemas.openxmlformats.org/drawingml/2006/main">
                  <a:graphicData uri="http://schemas.microsoft.com/office/word/2010/wordprocessingShape">
                    <wps:wsp>
                      <wps:cNvCnPr/>
                      <wps:spPr>
                        <a:xfrm>
                          <a:off x="0" y="0"/>
                          <a:ext cx="124968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pt;margin-top:48.7pt;height:0pt;width:98.4pt;z-index:251732992;mso-width-relative:page;mso-height-relative:page;" filled="f" stroked="t" coordsize="21600,21600" o:gfxdata="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AjW91wAAAAgBAAAPAAAAAAAAAAEAIAAA&#10;ACIAAABkcnMvZG93bnJldi54bWxQSwECFAAUAAAACACHTuJAq5E9mg0CAADyAwAADgAAAAAAAAAB&#10;ACAAAAAmAQAAZHJzL2Uyb0RvYy54bWxQSwUGAAAAAAYABgBZAQAApQUAAAAA&#10;">
                <v:fill on="f" focussize="0,0"/>
                <v:stroke weight="0.5pt" color="#000000 [3200]" miterlimit="8" joinstyle="miter" endarrow="open"/>
                <v:imagedata o:title=""/>
                <o:lock v:ext="edit" aspectratio="f"/>
              </v:shape>
            </w:pict>
          </mc:Fallback>
        </mc:AlternateContent>
      </w:r>
      <w:r>
        <w:rPr>
          <w:color w:val="auto"/>
          <w:sz w:val="36"/>
        </w:rPr>
        <mc:AlternateContent>
          <mc:Choice Requires="wps">
            <w:drawing>
              <wp:anchor distT="0" distB="0" distL="114300" distR="114300" simplePos="0" relativeHeight="251731968" behindDoc="0" locked="0" layoutInCell="1" allowOverlap="1">
                <wp:simplePos x="0" y="0"/>
                <wp:positionH relativeFrom="column">
                  <wp:posOffset>747395</wp:posOffset>
                </wp:positionH>
                <wp:positionV relativeFrom="paragraph">
                  <wp:posOffset>1746250</wp:posOffset>
                </wp:positionV>
                <wp:extent cx="464820" cy="0"/>
                <wp:effectExtent l="0" t="48895" r="11430" b="65405"/>
                <wp:wrapNone/>
                <wp:docPr id="93" name="直接箭头连接符 93"/>
                <wp:cNvGraphicFramePr/>
                <a:graphic xmlns:a="http://schemas.openxmlformats.org/drawingml/2006/main">
                  <a:graphicData uri="http://schemas.microsoft.com/office/word/2010/wordprocessingShape">
                    <wps:wsp>
                      <wps:cNvCnPr/>
                      <wps:spPr>
                        <a:xfrm>
                          <a:off x="0" y="0"/>
                          <a:ext cx="46482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8.85pt;margin-top:137.5pt;height:0pt;width:36.6pt;z-index:251731968;mso-width-relative:page;mso-height-relative:page;" filled="f" stroked="t" coordsize="21600,21600" o:gfxdata="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xJjCdgAAAALAQAADwAAAAAAAAABACAA&#10;AAAiAAAAZHJzL2Rvd25yZXYueG1sUEsBAhQAFAAAAAgAh07iQJAPQ1UNAgAA8QMAAA4AAAAAAAAA&#10;AQAgAAAAJwEAAGRycy9lMm9Eb2MueG1sUEsFBgAAAAAGAAYAWQEAAKYFAAAAAA==&#10;">
                <v:fill on="f" focussize="0,0"/>
                <v:stroke weight="0.5pt" color="#000000 [3200]" miterlimit="8" joinstyle="miter" endarrow="open"/>
                <v:imagedata o:title=""/>
                <o:lock v:ext="edit" aspectratio="f"/>
              </v:shape>
            </w:pict>
          </mc:Fallback>
        </mc:AlternateContent>
      </w:r>
      <w:r>
        <w:rPr>
          <w:color w:val="auto"/>
          <w:sz w:val="36"/>
        </w:rPr>
        <mc:AlternateContent>
          <mc:Choice Requires="wps">
            <w:drawing>
              <wp:anchor distT="0" distB="0" distL="114300" distR="114300" simplePos="0" relativeHeight="251720704" behindDoc="0" locked="0" layoutInCell="1" allowOverlap="1">
                <wp:simplePos x="0" y="0"/>
                <wp:positionH relativeFrom="column">
                  <wp:posOffset>-548005</wp:posOffset>
                </wp:positionH>
                <wp:positionV relativeFrom="paragraph">
                  <wp:posOffset>978535</wp:posOffset>
                </wp:positionV>
                <wp:extent cx="1120775" cy="1310005"/>
                <wp:effectExtent l="6350" t="6350" r="15875" b="17145"/>
                <wp:wrapNone/>
                <wp:docPr id="94" name="圆角矩形 94"/>
                <wp:cNvGraphicFramePr/>
                <a:graphic xmlns:a="http://schemas.openxmlformats.org/drawingml/2006/main">
                  <a:graphicData uri="http://schemas.microsoft.com/office/word/2010/wordprocessingShape">
                    <wps:wsp>
                      <wps:cNvSpPr/>
                      <wps:spPr>
                        <a:xfrm>
                          <a:off x="0" y="0"/>
                          <a:ext cx="1120775" cy="1310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依据相关法律法规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3.15pt;margin-top:77.05pt;height:103.15pt;width:88.25pt;z-index:251720704;v-text-anchor:middle;mso-width-relative:page;mso-height-relative:page;" fillcolor="#FFFFFF [3201]" filled="t" stroked="t" coordsize="21600,21600" arcsize="0.166666666666667" o:gfxdata="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bNft7YAAAACgEAAA8A&#10;AAAAAAAAAQAgAAAAIgAAAGRycy9kb3ducmV2LnhtbFBLAQIUABQAAAAIAIdO4kDRw8RMiQIAAA0F&#10;AAAOAAAAAAAAAAEAIAAAACcBAABkcnMvZTJvRG9jLnhtbFBLBQYAAAAABgAGAFkBAAAiBg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依据相关法律法规</w:t>
                      </w:r>
                    </w:p>
                  </w:txbxContent>
                </v:textbox>
              </v:roundrect>
            </w:pict>
          </mc:Fallback>
        </mc:AlternateContent>
      </w:r>
      <w:r>
        <w:rPr>
          <w:color w:val="auto"/>
          <w:sz w:val="36"/>
        </w:rPr>
        <mc:AlternateContent>
          <mc:Choice Requires="wps">
            <w:drawing>
              <wp:anchor distT="0" distB="0" distL="114300" distR="114300" simplePos="0" relativeHeight="251730944" behindDoc="0" locked="0" layoutInCell="1" allowOverlap="1">
                <wp:simplePos x="0" y="0"/>
                <wp:positionH relativeFrom="column">
                  <wp:posOffset>3033395</wp:posOffset>
                </wp:positionH>
                <wp:positionV relativeFrom="paragraph">
                  <wp:posOffset>1769110</wp:posOffset>
                </wp:positionV>
                <wp:extent cx="464820" cy="0"/>
                <wp:effectExtent l="0" t="48895" r="11430" b="65405"/>
                <wp:wrapNone/>
                <wp:docPr id="95" name="直接箭头连接符 95"/>
                <wp:cNvGraphicFramePr/>
                <a:graphic xmlns:a="http://schemas.openxmlformats.org/drawingml/2006/main">
                  <a:graphicData uri="http://schemas.microsoft.com/office/word/2010/wordprocessingShape">
                    <wps:wsp>
                      <wps:cNvCnPr/>
                      <wps:spPr>
                        <a:xfrm>
                          <a:off x="4176395" y="3475990"/>
                          <a:ext cx="46482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8.85pt;margin-top:139.3pt;height:0pt;width:36.6pt;z-index:251730944;mso-width-relative:page;mso-height-relative:page;" filled="f" stroked="t" coordsize="21600,21600" o:gfxdata="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RBX2QAAAAsB&#10;AAAPAAAAAAAAAAEAIAAAACIAAABkcnMvZG93bnJldi54bWxQSwECFAAUAAAACACHTuJAvSO47hoC&#10;AAD9AwAADgAAAAAAAAABACAAAAAoAQAAZHJzL2Uyb0RvYy54bWxQSwUGAAAAAAYABgBZAQAAtAUA&#10;AAAA&#10;">
                <v:fill on="f" focussize="0,0"/>
                <v:stroke weight="0.5pt" color="#000000 [3200]" miterlimit="8" joinstyle="miter" endarrow="open"/>
                <v:imagedata o:title=""/>
                <o:lock v:ext="edit" aspectratio="f"/>
              </v:shape>
            </w:pict>
          </mc:Fallback>
        </mc:AlternateContent>
      </w:r>
      <w:r>
        <w:rPr>
          <w:color w:val="auto"/>
          <w:sz w:val="36"/>
        </w:rPr>
        <mc:AlternateContent>
          <mc:Choice Requires="wps">
            <w:drawing>
              <wp:anchor distT="0" distB="0" distL="114300" distR="114300" simplePos="0" relativeHeight="251729920" behindDoc="0" locked="0" layoutInCell="1" allowOverlap="1">
                <wp:simplePos x="0" y="0"/>
                <wp:positionH relativeFrom="column">
                  <wp:posOffset>1989455</wp:posOffset>
                </wp:positionH>
                <wp:positionV relativeFrom="paragraph">
                  <wp:posOffset>4756150</wp:posOffset>
                </wp:positionV>
                <wp:extent cx="75565" cy="358140"/>
                <wp:effectExtent l="15240" t="6350" r="23495" b="16510"/>
                <wp:wrapNone/>
                <wp:docPr id="96" name="下箭头 96"/>
                <wp:cNvGraphicFramePr/>
                <a:graphic xmlns:a="http://schemas.openxmlformats.org/drawingml/2006/main">
                  <a:graphicData uri="http://schemas.microsoft.com/office/word/2010/wordprocessingShape">
                    <wps:wsp>
                      <wps:cNvSpPr/>
                      <wps:spPr>
                        <a:xfrm>
                          <a:off x="0" y="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6.65pt;margin-top:374.5pt;height:28.2pt;width:5.95pt;z-index:251729920;v-text-anchor:middle;mso-width-relative:page;mso-height-relative:page;" fillcolor="#FFFFFF [3201]" filled="t" stroked="t" coordsize="21600,21600" o:gfxdata="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cdCf2QAAAAsBAAAPAAAAAAAAAAEAIAAAACIA&#10;AABkcnMvZG93bnJldi54bWxQSwECFAAUAAAACACHTuJABHdG9noCAAD8BAAADgAAAAAAAAABACAA&#10;AAAoAQAAZHJzL2Uyb0RvYy54bWxQSwUGAAAAAAYABgBZAQAAFAYAAAAA&#10;" adj="19322,5400">
                <v:fill on="t" focussize="0,0"/>
                <v:stroke weight="1pt" color="#000000 [3213]" miterlimit="8" joinstyle="miter"/>
                <v:imagedata o:title=""/>
                <o:lock v:ext="edit" aspectratio="f"/>
              </v:shape>
            </w:pict>
          </mc:Fallback>
        </mc:AlternateContent>
      </w:r>
      <w:r>
        <w:rPr>
          <w:color w:val="auto"/>
          <w:sz w:val="36"/>
        </w:rPr>
        <mc:AlternateContent>
          <mc:Choice Requires="wps">
            <w:drawing>
              <wp:anchor distT="0" distB="0" distL="114300" distR="114300" simplePos="0" relativeHeight="251728896" behindDoc="0" locked="0" layoutInCell="1" allowOverlap="1">
                <wp:simplePos x="0" y="0"/>
                <wp:positionH relativeFrom="column">
                  <wp:posOffset>2004695</wp:posOffset>
                </wp:positionH>
                <wp:positionV relativeFrom="paragraph">
                  <wp:posOffset>3575050</wp:posOffset>
                </wp:positionV>
                <wp:extent cx="75565" cy="358140"/>
                <wp:effectExtent l="15240" t="6350" r="23495" b="16510"/>
                <wp:wrapNone/>
                <wp:docPr id="97" name="下箭头 97"/>
                <wp:cNvGraphicFramePr/>
                <a:graphic xmlns:a="http://schemas.openxmlformats.org/drawingml/2006/main">
                  <a:graphicData uri="http://schemas.microsoft.com/office/word/2010/wordprocessingShape">
                    <wps:wsp>
                      <wps:cNvSpPr/>
                      <wps:spPr>
                        <a:xfrm>
                          <a:off x="0" y="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7.85pt;margin-top:281.5pt;height:28.2pt;width:5.95pt;z-index:251728896;v-text-anchor:middle;mso-width-relative:page;mso-height-relative:page;" fillcolor="#FFFFFF [3201]" filled="t" stroked="t" coordsize="21600,21600" o:gfxdata="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Tko0/2QAAAAsBAAAPAAAAAAAAAAEAIAAAACIA&#10;AABkcnMvZG93bnJldi54bWxQSwECFAAUAAAACACHTuJAlQFsfHoCAAD8BAAADgAAAAAAAAABACAA&#10;AAAoAQAAZHJzL2Uyb0RvYy54bWxQSwUGAAAAAAYABgBZAQAAFAYAAAAA&#10;" adj="19322,5400">
                <v:fill on="t" focussize="0,0"/>
                <v:stroke weight="1pt" color="#000000 [3213]" miterlimit="8" joinstyle="miter"/>
                <v:imagedata o:title=""/>
                <o:lock v:ext="edit" aspectratio="f"/>
              </v:shape>
            </w:pict>
          </mc:Fallback>
        </mc:AlternateContent>
      </w:r>
      <w:r>
        <w:rPr>
          <w:color w:val="auto"/>
          <w:sz w:val="36"/>
        </w:rPr>
        <mc:AlternateContent>
          <mc:Choice Requires="wps">
            <w:drawing>
              <wp:anchor distT="0" distB="0" distL="114300" distR="114300" simplePos="0" relativeHeight="251727872" behindDoc="0" locked="0" layoutInCell="1" allowOverlap="1">
                <wp:simplePos x="0" y="0"/>
                <wp:positionH relativeFrom="column">
                  <wp:posOffset>2027555</wp:posOffset>
                </wp:positionH>
                <wp:positionV relativeFrom="paragraph">
                  <wp:posOffset>2218690</wp:posOffset>
                </wp:positionV>
                <wp:extent cx="75565" cy="358140"/>
                <wp:effectExtent l="15240" t="6350" r="23495" b="16510"/>
                <wp:wrapNone/>
                <wp:docPr id="98" name="下箭头 98"/>
                <wp:cNvGraphicFramePr/>
                <a:graphic xmlns:a="http://schemas.openxmlformats.org/drawingml/2006/main">
                  <a:graphicData uri="http://schemas.microsoft.com/office/word/2010/wordprocessingShape">
                    <wps:wsp>
                      <wps:cNvSpPr/>
                      <wps:spPr>
                        <a:xfrm>
                          <a:off x="0" y="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9.65pt;margin-top:174.7pt;height:28.2pt;width:5.95pt;z-index:251727872;v-text-anchor:middle;mso-width-relative:page;mso-height-relative:page;" fillcolor="#FFFFFF [3201]" filled="t" stroked="t" coordsize="21600,21600" o:gfxdata="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4Af9g2QAAAAsBAAAPAAAAAAAAAAEAIAAAACIA&#10;AABkcnMvZG93bnJldi54bWxQSwECFAAUAAAACACHTuJA7u0s9noCAAD8BAAADgAAAAAAAAABACAA&#10;AAAoAQAAZHJzL2Uyb0RvYy54bWxQSwUGAAAAAAYABgBZAQAAFAYAAAAA&#10;" adj="19322,5400">
                <v:fill on="t" focussize="0,0"/>
                <v:stroke weight="1pt" color="#000000 [3213]" miterlimit="8" joinstyle="miter"/>
                <v:imagedata o:title=""/>
                <o:lock v:ext="edit" aspectratio="f"/>
              </v:shape>
            </w:pict>
          </mc:Fallback>
        </mc:AlternateContent>
      </w:r>
      <w:r>
        <w:rPr>
          <w:color w:val="auto"/>
          <w:sz w:val="36"/>
        </w:rPr>
        <mc:AlternateContent>
          <mc:Choice Requires="wps">
            <w:drawing>
              <wp:anchor distT="0" distB="0" distL="114300" distR="114300" simplePos="0" relativeHeight="251726848" behindDoc="0" locked="0" layoutInCell="1" allowOverlap="1">
                <wp:simplePos x="0" y="0"/>
                <wp:positionH relativeFrom="column">
                  <wp:posOffset>2065655</wp:posOffset>
                </wp:positionH>
                <wp:positionV relativeFrom="paragraph">
                  <wp:posOffset>984250</wp:posOffset>
                </wp:positionV>
                <wp:extent cx="75565" cy="358140"/>
                <wp:effectExtent l="15240" t="6350" r="23495" b="16510"/>
                <wp:wrapNone/>
                <wp:docPr id="99" name="下箭头 99"/>
                <wp:cNvGraphicFramePr/>
                <a:graphic xmlns:a="http://schemas.openxmlformats.org/drawingml/2006/main">
                  <a:graphicData uri="http://schemas.microsoft.com/office/word/2010/wordprocessingShape">
                    <wps:wsp>
                      <wps:cNvSpPr/>
                      <wps:spPr>
                        <a:xfrm>
                          <a:off x="3208655" y="269113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62.65pt;margin-top:77.5pt;height:28.2pt;width:5.95pt;z-index:251726848;v-text-anchor:middle;mso-width-relative:page;mso-height-relative:page;" fillcolor="#FFFFFF [3201]" filled="t" stroked="t" coordsize="21600,21600" o:gfxdata="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7CDz7XAAAACwEAAA8AAAAA&#10;AAAAAQAgAAAAIgAAAGRycy9kb3ducmV2LnhtbFBLAQIUABQAAAAIAIdO4kBYN9dphwIAAAgFAAAO&#10;AAAAAAAAAAEAIAAAACYBAABkcnMvZTJvRG9jLnhtbFBLBQYAAAAABgAGAFkBAAAfBgAAAAA=&#10;" adj="19322,5400">
                <v:fill on="t" focussize="0,0"/>
                <v:stroke weight="1pt" color="#000000 [3213]" miterlimit="8" joinstyle="miter"/>
                <v:imagedata o:title=""/>
                <o:lock v:ext="edit" aspectratio="f"/>
              </v:shape>
            </w:pict>
          </mc:Fallback>
        </mc:AlternateContent>
      </w:r>
      <w:r>
        <w:rPr>
          <w:color w:val="auto"/>
          <w:sz w:val="36"/>
        </w:rPr>
        <mc:AlternateContent>
          <mc:Choice Requires="wps">
            <w:drawing>
              <wp:anchor distT="0" distB="0" distL="114300" distR="114300" simplePos="0" relativeHeight="251723776" behindDoc="0" locked="0" layoutInCell="1" allowOverlap="1">
                <wp:simplePos x="0" y="0"/>
                <wp:positionH relativeFrom="column">
                  <wp:posOffset>1250315</wp:posOffset>
                </wp:positionH>
                <wp:positionV relativeFrom="paragraph">
                  <wp:posOffset>4102735</wp:posOffset>
                </wp:positionV>
                <wp:extent cx="1592580" cy="556260"/>
                <wp:effectExtent l="6350" t="6350" r="20320" b="8890"/>
                <wp:wrapNone/>
                <wp:docPr id="100" name="圆角矩形 100"/>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ascii="Times New Roman" w:hAnsi="Times New Roman"/>
                                <w:sz w:val="22"/>
                                <w:szCs w:val="20"/>
                                <w:lang w:eastAsia="zh-CN"/>
                              </w:rPr>
                              <w:t>有违法、违规现象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8.45pt;margin-top:323.05pt;height:43.8pt;width:125.4pt;z-index:251723776;v-text-anchor:middle;mso-width-relative:page;mso-height-relative:page;" fillcolor="#FFFFFF [3201]" filled="t" stroked="t" coordsize="21600,21600" arcsize="0.166666666666667" o:gfxdata="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1TpRkdgAAAALAQAADwAA&#10;AAAAAAABACAAAAAiAAAAZHJzL2Rvd25yZXYueG1sUEsBAhQAFAAAAAgAh07iQAUH17WIAgAADgUA&#10;AA4AAAAAAAAAAQAgAAAAJwEAAGRycy9lMm9Eb2MueG1sUEsFBgAAAAAGAAYAWQEAACEGA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ascii="Times New Roman" w:hAnsi="Times New Roman"/>
                          <w:sz w:val="22"/>
                          <w:szCs w:val="20"/>
                          <w:lang w:eastAsia="zh-CN"/>
                        </w:rPr>
                        <w:t>有违法、违规现象</w:t>
                      </w:r>
                    </w:p>
                  </w:txbxContent>
                </v:textbox>
              </v:roundrect>
            </w:pict>
          </mc:Fallback>
        </mc:AlternateContent>
      </w:r>
      <w:r>
        <w:rPr>
          <w:color w:val="auto"/>
          <w:sz w:val="36"/>
        </w:rPr>
        <mc:AlternateContent>
          <mc:Choice Requires="wps">
            <w:drawing>
              <wp:anchor distT="0" distB="0" distL="114300" distR="114300" simplePos="0" relativeHeight="251725824" behindDoc="0" locked="0" layoutInCell="1" allowOverlap="1">
                <wp:simplePos x="0" y="0"/>
                <wp:positionH relativeFrom="column">
                  <wp:posOffset>1318895</wp:posOffset>
                </wp:positionH>
                <wp:positionV relativeFrom="paragraph">
                  <wp:posOffset>5192395</wp:posOffset>
                </wp:positionV>
                <wp:extent cx="1592580" cy="556260"/>
                <wp:effectExtent l="6350" t="6350" r="20320" b="8890"/>
                <wp:wrapNone/>
                <wp:docPr id="101" name="圆角矩形 101"/>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上报市住建局进行相关处理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85pt;margin-top:408.85pt;height:43.8pt;width:125.4pt;z-index:251725824;v-text-anchor:middle;mso-width-relative:page;mso-height-relative:page;" fillcolor="#FFFFFF [3201]" filled="t" stroked="t" coordsize="21600,21600" arcsize="0.166666666666667" o:gfxdata="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L5eLdgAAAALAQAADwAA&#10;AAAAAAABACAAAAAiAAAAZHJzL2Rvd25yZXYueG1sUEsBAhQAFAAAAAgAh07iQPdCK42IAgAADgUA&#10;AA4AAAAAAAAAAQAgAAAAJwEAAGRycy9lMm9Eb2MueG1sUEsFBgAAAAAGAAYAWQEAACEGA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上报市住建局进行相关处理</w:t>
                      </w:r>
                    </w:p>
                  </w:txbxContent>
                </v:textbox>
              </v:roundrect>
            </w:pict>
          </mc:Fallback>
        </mc:AlternateContent>
      </w:r>
      <w:r>
        <w:rPr>
          <w:color w:val="auto"/>
          <w:sz w:val="36"/>
        </w:rPr>
        <mc:AlternateContent>
          <mc:Choice Requires="wps">
            <w:drawing>
              <wp:anchor distT="0" distB="0" distL="114300" distR="114300" simplePos="0" relativeHeight="251722752" behindDoc="0" locked="0" layoutInCell="1" allowOverlap="1">
                <wp:simplePos x="0" y="0"/>
                <wp:positionH relativeFrom="column">
                  <wp:posOffset>1288415</wp:posOffset>
                </wp:positionH>
                <wp:positionV relativeFrom="paragraph">
                  <wp:posOffset>2906395</wp:posOffset>
                </wp:positionV>
                <wp:extent cx="1592580" cy="556260"/>
                <wp:effectExtent l="6350" t="6350" r="20320" b="8890"/>
                <wp:wrapNone/>
                <wp:docPr id="102" name="圆角矩形 102"/>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检查内容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228.85pt;height:43.8pt;width:125.4pt;z-index:251722752;v-text-anchor:middle;mso-width-relative:page;mso-height-relative:page;" fillcolor="#FFFFFF [3201]" filled="t" stroked="t" coordsize="21600,21600" arcsize="0.166666666666667" o:gfxdata="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se2x3YAAAACwEAAA8A&#10;AAAAAAAAAQAgAAAAIgAAAGRycy9kb3ducmV2LnhtbFBLAQIUABQAAAAIAIdO4kDhjC/EiQIAAA4F&#10;AAAOAAAAAAAAAAEAIAAAACcBAABkcnMvZTJvRG9jLnhtbFBLBQYAAAAABgAGAFkBAAAiBg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检查内容</w:t>
                      </w:r>
                    </w:p>
                  </w:txbxContent>
                </v:textbox>
              </v:roundrect>
            </w:pict>
          </mc:Fallback>
        </mc:AlternateContent>
      </w:r>
      <w:r>
        <w:rPr>
          <w:color w:val="auto"/>
          <w:sz w:val="36"/>
        </w:rPr>
        <mc:AlternateContent>
          <mc:Choice Requires="wps">
            <w:drawing>
              <wp:anchor distT="0" distB="0" distL="114300" distR="114300" simplePos="0" relativeHeight="251719680" behindDoc="0" locked="0" layoutInCell="1" allowOverlap="1">
                <wp:simplePos x="0" y="0"/>
                <wp:positionH relativeFrom="column">
                  <wp:posOffset>1288415</wp:posOffset>
                </wp:positionH>
                <wp:positionV relativeFrom="paragraph">
                  <wp:posOffset>1473835</wp:posOffset>
                </wp:positionV>
                <wp:extent cx="1592580" cy="556260"/>
                <wp:effectExtent l="6350" t="6350" r="20320" b="8890"/>
                <wp:wrapNone/>
                <wp:docPr id="103" name="圆角矩形 103"/>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建筑工程安全生产施工现场检查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116.05pt;height:43.8pt;width:125.4pt;z-index:251719680;v-text-anchor:middle;mso-width-relative:page;mso-height-relative:page;" fillcolor="#FFFFFF [3201]" filled="t" stroked="t" coordsize="21600,21600" arcsize="0.166666666666667" o:gfxdata="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Z05OT2QAAAAsBAAAP&#10;AAAAAAAAAAEAIAAAACIAAABkcnMvZG93bnJldi54bWxQSwECFAAUAAAACACHTuJAE8nT/IkCAAAO&#10;BQAADgAAAAAAAAABACAAAAAoAQAAZHJzL2Uyb0RvYy54bWxQSwUGAAAAAAYABgBZAQAAIwYAAAAA&#10;">
                <v:fill on="t" focussize="0,0"/>
                <v:stroke weight="1pt" color="#000000 [3213]" miterlimit="8" joinstyle="miter"/>
                <v:imagedata o:title=""/>
                <o:lock v:ext="edit" aspectratio="f"/>
                <v:textbox>
                  <w:txbxContent>
                    <w:p>
                      <w:pPr>
                        <w:jc w:val="center"/>
                        <w:rPr>
                          <w:rFonts w:hint="eastAsia" w:ascii="Times New Roman" w:hAnsi="Times New Roman"/>
                          <w:sz w:val="22"/>
                          <w:szCs w:val="20"/>
                          <w:lang w:eastAsia="zh-CN"/>
                        </w:rPr>
                      </w:pPr>
                      <w:r>
                        <w:rPr>
                          <w:rFonts w:hint="eastAsia" w:ascii="Times New Roman" w:hAnsi="Times New Roman"/>
                          <w:sz w:val="22"/>
                          <w:szCs w:val="20"/>
                          <w:lang w:eastAsia="zh-CN"/>
                        </w:rPr>
                        <w:t>建筑工程安全生产施工现场检查</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lang w:val="en-US" w:eastAsia="zh-CN"/>
        </w:rPr>
      </w:pPr>
    </w:p>
    <w:p>
      <w:pPr>
        <w:spacing w:line="600" w:lineRule="exact"/>
        <w:jc w:val="both"/>
        <w:outlineLvl w:val="9"/>
        <w:rPr>
          <w:rFonts w:hint="eastAsia" w:ascii="方正小标宋简体" w:eastAsia="方正小标宋简体"/>
          <w:color w:val="auto"/>
          <w:sz w:val="44"/>
          <w:szCs w:val="44"/>
          <w:lang w:eastAsia="zh-CN"/>
        </w:rPr>
      </w:pPr>
    </w:p>
    <w:p>
      <w:pPr>
        <w:pStyle w:val="2"/>
        <w:bidi w:val="0"/>
        <w:rPr>
          <w:rFonts w:hint="eastAsia" w:ascii="方正小标宋简体" w:eastAsia="方正小标宋简体"/>
          <w:color w:val="auto"/>
          <w:sz w:val="44"/>
          <w:szCs w:val="44"/>
        </w:rPr>
      </w:pPr>
      <w:bookmarkStart w:id="364" w:name="_Toc2739"/>
      <w:r>
        <w:rPr>
          <w:rFonts w:hint="eastAsia"/>
          <w:color w:val="auto"/>
          <w:lang w:val="en-US" w:eastAsia="zh-CN"/>
        </w:rPr>
        <w:t>18、</w:t>
      </w:r>
      <w:r>
        <w:rPr>
          <w:rFonts w:hint="eastAsia"/>
          <w:color w:val="auto"/>
          <w:lang w:eastAsia="zh-CN"/>
        </w:rPr>
        <w:t>土地、</w:t>
      </w:r>
      <w:r>
        <w:rPr>
          <w:rFonts w:hint="eastAsia"/>
          <w:color w:val="auto"/>
        </w:rPr>
        <w:t>房屋征收补偿工作制度</w:t>
      </w:r>
      <w:bookmarkEnd w:id="36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为全面规范</w:t>
      </w:r>
      <w:r>
        <w:rPr>
          <w:rFonts w:hint="eastAsia" w:ascii="仿宋" w:hAnsi="仿宋" w:eastAsia="仿宋" w:cs="仿宋"/>
          <w:color w:val="auto"/>
          <w:sz w:val="32"/>
          <w:szCs w:val="32"/>
          <w:lang w:eastAsia="zh-CN"/>
        </w:rPr>
        <w:t>土地、</w:t>
      </w:r>
      <w:r>
        <w:rPr>
          <w:rFonts w:hint="eastAsia" w:ascii="仿宋" w:hAnsi="仿宋" w:eastAsia="仿宋" w:cs="仿宋"/>
          <w:color w:val="auto"/>
          <w:sz w:val="32"/>
          <w:szCs w:val="32"/>
        </w:rPr>
        <w:t>房屋征收补偿工作，</w:t>
      </w:r>
      <w:r>
        <w:rPr>
          <w:rFonts w:hint="eastAsia" w:ascii="仿宋" w:hAnsi="仿宋" w:eastAsia="仿宋" w:cs="仿宋"/>
          <w:color w:val="auto"/>
          <w:sz w:val="32"/>
          <w:szCs w:val="32"/>
          <w:lang w:eastAsia="zh-CN"/>
        </w:rPr>
        <w:t>维护公共利益、</w:t>
      </w:r>
      <w:r>
        <w:rPr>
          <w:rFonts w:hint="eastAsia" w:ascii="仿宋" w:hAnsi="仿宋" w:eastAsia="仿宋" w:cs="仿宋"/>
          <w:color w:val="auto"/>
          <w:sz w:val="32"/>
          <w:szCs w:val="32"/>
        </w:rPr>
        <w:t>确保征收补偿双方利益不受损失，根据《国有土地上房屋征收与补偿条例》《吉林省国有土地上房屋征收与补偿办法》《吉林省土地管理条例》等规定，结合</w:t>
      </w:r>
      <w:r>
        <w:rPr>
          <w:rFonts w:hint="eastAsia" w:ascii="仿宋" w:hAnsi="仿宋" w:eastAsia="仿宋" w:cs="仿宋"/>
          <w:color w:val="auto"/>
          <w:sz w:val="32"/>
          <w:szCs w:val="32"/>
          <w:lang w:eastAsia="zh-CN"/>
        </w:rPr>
        <w:t>生态新区</w:t>
      </w:r>
      <w:r>
        <w:rPr>
          <w:rFonts w:hint="eastAsia" w:ascii="仿宋" w:hAnsi="仿宋" w:eastAsia="仿宋" w:cs="仿宋"/>
          <w:color w:val="auto"/>
          <w:sz w:val="32"/>
          <w:szCs w:val="32"/>
        </w:rPr>
        <w:t>实际，制定本制度。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根据新区项目规划，确定项目实施范围，上报新区党委会研究决定后由新区征收办组织实施土地、房屋征收工作。</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新区征收办和新区财政部门对征收范围内的土地和房屋的权属、区位、用途、建筑面积等情况组织调查登记，调查结果上报到市财政部门进行复核并予以公示。</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新区征收办拟定征收补偿方案上报洮北区政府，由洮北区政府组织论证通过后，报市政府审核，由市征收办代市政府出具审核意见，新区办公布征求意见和公众意见修改期满后，将征收补偿方案报市政府（市征收办）审核。洮北区政府协助新区办做出征收决定并公告。</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在征收决定发布前，新区办组织进行社会稳定风险评估，未经社会稳定风险评估和评估结论不可实施的，不得做出房屋征收决定。</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做出房屋征收决定前，征收补偿费用应当足额到位、专户存储、专款专用。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第六条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征收补偿决定和公告发布后，对征收范围内涉及被征收人的土地、房屋及地上物进行评估和测绘并依法、依规进行征收。对达成一致意见的上报新区党委会通过，上报市财政部门同意后，与被征收人签订征收补偿协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b w:val="0"/>
          <w:bCs w:val="0"/>
          <w:color w:val="auto"/>
          <w:sz w:val="32"/>
          <w:szCs w:val="32"/>
        </w:rPr>
        <w:t>第</w:t>
      </w:r>
      <w:r>
        <w:rPr>
          <w:rFonts w:hint="eastAsia" w:ascii="仿宋" w:hAnsi="仿宋" w:eastAsia="仿宋" w:cs="仿宋"/>
          <w:b w:val="0"/>
          <w:bCs w:val="0"/>
          <w:color w:val="auto"/>
          <w:sz w:val="32"/>
          <w:szCs w:val="32"/>
          <w:lang w:eastAsia="zh-CN"/>
        </w:rPr>
        <w:t>七</w:t>
      </w:r>
      <w:r>
        <w:rPr>
          <w:rFonts w:hint="eastAsia" w:ascii="仿宋" w:hAnsi="仿宋" w:eastAsia="仿宋" w:cs="仿宋"/>
          <w:b w:val="0"/>
          <w:bCs w:val="0"/>
          <w:color w:val="auto"/>
          <w:sz w:val="32"/>
          <w:szCs w:val="32"/>
        </w:rPr>
        <w:t xml:space="preserve">条  </w:t>
      </w:r>
      <w:r>
        <w:rPr>
          <w:rFonts w:hint="eastAsia" w:ascii="仿宋" w:hAnsi="仿宋" w:eastAsia="仿宋" w:cs="仿宋"/>
          <w:color w:val="auto"/>
          <w:sz w:val="32"/>
          <w:szCs w:val="32"/>
        </w:rPr>
        <w:t>补偿可采取货币补偿和产权调换两种方式进行，补偿方式的选择由被征收人自行决定。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b w:val="0"/>
          <w:bCs w:val="0"/>
          <w:color w:val="auto"/>
          <w:sz w:val="32"/>
          <w:szCs w:val="32"/>
        </w:rPr>
        <w:t>第</w:t>
      </w:r>
      <w:r>
        <w:rPr>
          <w:rFonts w:hint="eastAsia" w:ascii="仿宋" w:hAnsi="仿宋" w:eastAsia="仿宋" w:cs="仿宋"/>
          <w:b w:val="0"/>
          <w:bCs w:val="0"/>
          <w:color w:val="auto"/>
          <w:sz w:val="32"/>
          <w:szCs w:val="32"/>
          <w:lang w:eastAsia="zh-CN"/>
        </w:rPr>
        <w:t>八</w:t>
      </w:r>
      <w:r>
        <w:rPr>
          <w:rFonts w:hint="eastAsia" w:ascii="仿宋" w:hAnsi="仿宋" w:eastAsia="仿宋" w:cs="仿宋"/>
          <w:b w:val="0"/>
          <w:bCs w:val="0"/>
          <w:color w:val="auto"/>
          <w:sz w:val="32"/>
          <w:szCs w:val="32"/>
        </w:rPr>
        <w:t xml:space="preserve">条 </w:t>
      </w:r>
      <w:r>
        <w:rPr>
          <w:rFonts w:hint="eastAsia" w:ascii="仿宋" w:hAnsi="仿宋" w:eastAsia="仿宋" w:cs="仿宋"/>
          <w:color w:val="auto"/>
          <w:sz w:val="32"/>
          <w:szCs w:val="32"/>
        </w:rPr>
        <w:t xml:space="preserve"> 被征收人选择货币补偿的，需由征收部门按照《吉林省国有土地上房屋征收与补偿办法》第三章征收评估的规定委托具有相应房地产评估资质的评估机构评估。被征收人对评估结果不认同，可申请复估。复估后仍不认同的，申请评估专家鉴定委员会进行鉴定。只有经</w:t>
      </w:r>
      <w:r>
        <w:rPr>
          <w:rFonts w:hint="eastAsia" w:ascii="仿宋" w:hAnsi="仿宋" w:eastAsia="仿宋" w:cs="仿宋"/>
          <w:color w:val="auto"/>
          <w:sz w:val="32"/>
          <w:szCs w:val="32"/>
          <w:lang w:eastAsia="zh-CN"/>
        </w:rPr>
        <w:t>市</w:t>
      </w:r>
      <w:r>
        <w:rPr>
          <w:rFonts w:hint="eastAsia" w:ascii="仿宋" w:hAnsi="仿宋" w:eastAsia="仿宋" w:cs="仿宋"/>
          <w:color w:val="auto"/>
          <w:sz w:val="32"/>
          <w:szCs w:val="32"/>
        </w:rPr>
        <w:t>财政部门审核鉴定认可的评估结果才可以作为支付货币补偿的依据。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b w:val="0"/>
          <w:bCs w:val="0"/>
          <w:color w:val="auto"/>
          <w:sz w:val="32"/>
          <w:szCs w:val="32"/>
        </w:rPr>
        <w:t>第</w:t>
      </w:r>
      <w:r>
        <w:rPr>
          <w:rFonts w:hint="eastAsia" w:ascii="仿宋" w:hAnsi="仿宋" w:eastAsia="仿宋" w:cs="仿宋"/>
          <w:b w:val="0"/>
          <w:bCs w:val="0"/>
          <w:color w:val="auto"/>
          <w:sz w:val="32"/>
          <w:szCs w:val="32"/>
          <w:lang w:eastAsia="zh-CN"/>
        </w:rPr>
        <w:t>九</w:t>
      </w:r>
      <w:r>
        <w:rPr>
          <w:rFonts w:hint="eastAsia" w:ascii="仿宋" w:hAnsi="仿宋" w:eastAsia="仿宋" w:cs="仿宋"/>
          <w:b w:val="0"/>
          <w:bCs w:val="0"/>
          <w:color w:val="auto"/>
          <w:sz w:val="32"/>
          <w:szCs w:val="32"/>
        </w:rPr>
        <w:t xml:space="preserve">条 </w:t>
      </w:r>
      <w:r>
        <w:rPr>
          <w:rFonts w:hint="eastAsia" w:ascii="仿宋" w:hAnsi="仿宋" w:eastAsia="仿宋" w:cs="仿宋"/>
          <w:color w:val="auto"/>
          <w:sz w:val="32"/>
          <w:szCs w:val="32"/>
        </w:rPr>
        <w:t xml:space="preserve"> 被征收人选择产权调换的，根据该项目征收补偿方案规定计算的安置面积安置。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b w:val="0"/>
          <w:bCs w:val="0"/>
          <w:color w:val="auto"/>
          <w:sz w:val="32"/>
          <w:szCs w:val="32"/>
        </w:rPr>
        <w:t>第</w:t>
      </w:r>
      <w:r>
        <w:rPr>
          <w:rFonts w:hint="eastAsia" w:ascii="仿宋" w:hAnsi="仿宋" w:eastAsia="仿宋" w:cs="仿宋"/>
          <w:b w:val="0"/>
          <w:bCs w:val="0"/>
          <w:color w:val="auto"/>
          <w:sz w:val="32"/>
          <w:szCs w:val="32"/>
          <w:lang w:eastAsia="zh-CN"/>
        </w:rPr>
        <w:t>十</w:t>
      </w:r>
      <w:r>
        <w:rPr>
          <w:rFonts w:hint="eastAsia" w:ascii="仿宋" w:hAnsi="仿宋" w:eastAsia="仿宋" w:cs="仿宋"/>
          <w:b w:val="0"/>
          <w:bCs w:val="0"/>
          <w:color w:val="auto"/>
          <w:sz w:val="32"/>
          <w:szCs w:val="32"/>
        </w:rPr>
        <w:t>条</w:t>
      </w:r>
      <w:r>
        <w:rPr>
          <w:rFonts w:hint="eastAsia" w:ascii="仿宋" w:hAnsi="仿宋" w:eastAsia="仿宋" w:cs="仿宋"/>
          <w:color w:val="auto"/>
          <w:sz w:val="32"/>
          <w:szCs w:val="32"/>
        </w:rPr>
        <w:t xml:space="preserve">  无论选择货币补偿或产权调换，都必须严格依据测绘和鉴定结果进行，并严格按照该征收项目的征收补偿方案规定办法、标准实施补偿。</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第十一条</w:t>
      </w:r>
      <w:r>
        <w:rPr>
          <w:rFonts w:hint="eastAsia" w:ascii="仿宋" w:hAnsi="仿宋" w:eastAsia="仿宋" w:cs="仿宋"/>
          <w:color w:val="auto"/>
          <w:sz w:val="32"/>
          <w:szCs w:val="32"/>
          <w:lang w:val="en-US" w:eastAsia="zh-CN"/>
        </w:rPr>
        <w:t xml:space="preserve"> 选择货币补偿的按所属项目计划范围报请市财政或市保障办申请专项资金</w:t>
      </w:r>
      <w:r>
        <w:rPr>
          <w:rFonts w:hint="eastAsia" w:ascii="仿宋" w:hAnsi="仿宋" w:eastAsia="仿宋" w:cs="仿宋"/>
          <w:color w:val="auto"/>
          <w:sz w:val="32"/>
          <w:szCs w:val="32"/>
        </w:rPr>
        <w:t>，按协议约定期限支付补偿款</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第十二条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选择产权调换确认工作程序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（一）</w:t>
      </w:r>
      <w:r>
        <w:rPr>
          <w:rFonts w:hint="eastAsia" w:ascii="仿宋" w:hAnsi="仿宋" w:eastAsia="仿宋" w:cs="仿宋"/>
          <w:color w:val="auto"/>
          <w:sz w:val="32"/>
          <w:szCs w:val="32"/>
          <w:lang w:val="en-US" w:eastAsia="zh-CN"/>
        </w:rPr>
        <w:t>对产权主体明确的，根据房屋所有权证照、土地使用权证、建设工程规划许可证等证件或批准手续确定被征收人房屋的所有权人，房屋所有权人作为被征收人签订征收补偿协议。</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二</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征收房屋所有权人不明确的，需根据房屋买卖协议、遗嘱以及街道、社区、乡镇、村民委员会提供的材料确定产权；被征收人是国家机关或事业单位的，其单位出具的证明材料也可以作为确权依据。没有以上佐证依据的，不得擅自确定产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（三）被征收人产权调换的</w:t>
      </w:r>
      <w:r>
        <w:rPr>
          <w:rFonts w:hint="eastAsia" w:ascii="仿宋" w:hAnsi="仿宋" w:eastAsia="仿宋" w:cs="仿宋"/>
          <w:color w:val="auto"/>
          <w:sz w:val="32"/>
          <w:szCs w:val="32"/>
        </w:rPr>
        <w:t>回迁房具备入住条件并选定房号后，在</w:t>
      </w:r>
      <w:r>
        <w:rPr>
          <w:rFonts w:hint="eastAsia" w:ascii="仿宋" w:hAnsi="仿宋" w:eastAsia="仿宋" w:cs="仿宋"/>
          <w:color w:val="auto"/>
          <w:sz w:val="32"/>
          <w:szCs w:val="32"/>
          <w:lang w:eastAsia="zh-CN"/>
        </w:rPr>
        <w:t>规定</w:t>
      </w:r>
      <w:r>
        <w:rPr>
          <w:rFonts w:hint="eastAsia" w:ascii="仿宋" w:hAnsi="仿宋" w:eastAsia="仿宋" w:cs="仿宋"/>
          <w:color w:val="auto"/>
          <w:sz w:val="32"/>
          <w:szCs w:val="32"/>
        </w:rPr>
        <w:t>工作日内完成回迁入住</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第十三条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对该项目征收补偿安置方案未涵盖的，或被征收户要求补偿数额与政策规定差别大的特殊情况，采取“一事一议”的方法，拟定专门的征收补偿方案或解决方案，经</w:t>
      </w:r>
      <w:r>
        <w:rPr>
          <w:rFonts w:hint="eastAsia" w:ascii="仿宋" w:hAnsi="仿宋" w:eastAsia="仿宋" w:cs="仿宋"/>
          <w:color w:val="auto"/>
          <w:sz w:val="32"/>
          <w:szCs w:val="32"/>
          <w:lang w:eastAsia="zh-CN"/>
        </w:rPr>
        <w:t>新区党委会</w:t>
      </w:r>
      <w:r>
        <w:rPr>
          <w:rFonts w:hint="eastAsia" w:ascii="仿宋" w:hAnsi="仿宋" w:eastAsia="仿宋" w:cs="仿宋"/>
          <w:color w:val="auto"/>
          <w:sz w:val="32"/>
          <w:szCs w:val="32"/>
        </w:rPr>
        <w:t>研究决定后</w:t>
      </w:r>
      <w:r>
        <w:rPr>
          <w:rFonts w:hint="eastAsia" w:ascii="仿宋" w:hAnsi="仿宋" w:eastAsia="仿宋" w:cs="仿宋"/>
          <w:color w:val="auto"/>
          <w:sz w:val="32"/>
          <w:szCs w:val="32"/>
          <w:lang w:eastAsia="zh-CN"/>
        </w:rPr>
        <w:t>报市财政部门同意后执行</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第十四条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对达不成协议或产权调换不明确的，新区办准备要件，拟定征收补偿决定，上报新区党委会研究通过后，报洮北区审核做出补偿决定，新区办送达公告给被征收人。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第十五条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eastAsia="zh-CN"/>
        </w:rPr>
        <w:t>新区办准备要件，拟定强制执行申请书，经洮北区审核履行程序后申请人民法院强制执行。法院裁定准予强制执行的，由新区办组织实施。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lang w:eastAsia="zh-CN"/>
        </w:rPr>
      </w:pPr>
    </w:p>
    <w:p>
      <w:pPr>
        <w:pStyle w:val="2"/>
        <w:bidi w:val="0"/>
        <w:rPr>
          <w:rFonts w:hint="eastAsia" w:ascii="宋体" w:hAnsi="宋体" w:eastAsia="宋体" w:cs="宋体"/>
          <w:b/>
          <w:bCs/>
          <w:color w:val="auto"/>
          <w:szCs w:val="44"/>
          <w:lang w:eastAsia="zh-CN"/>
        </w:rPr>
      </w:pPr>
      <w:bookmarkStart w:id="365" w:name="_Toc5121"/>
      <w:r>
        <w:rPr>
          <w:rFonts w:hint="eastAsia"/>
          <w:color w:val="auto"/>
          <w:lang w:val="en-US" w:eastAsia="zh-CN"/>
        </w:rPr>
        <w:t>19、</w:t>
      </w:r>
      <w:r>
        <w:rPr>
          <w:rFonts w:hint="eastAsia"/>
          <w:color w:val="auto"/>
          <w:lang w:eastAsia="zh-CN"/>
        </w:rPr>
        <w:t>安全生产监督管理现场检查制度</w:t>
      </w:r>
      <w:bookmarkEnd w:id="365"/>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现场检查</w:t>
      </w:r>
      <w:r>
        <w:rPr>
          <w:rFonts w:hint="eastAsia" w:ascii="仿宋" w:hAnsi="仿宋" w:eastAsia="仿宋" w:cs="仿宋"/>
          <w:color w:val="auto"/>
          <w:sz w:val="32"/>
          <w:szCs w:val="32"/>
          <w:lang w:eastAsia="zh-CN"/>
        </w:rPr>
        <w:t>要</w:t>
      </w:r>
      <w:r>
        <w:rPr>
          <w:rFonts w:hint="eastAsia" w:ascii="仿宋" w:hAnsi="仿宋" w:eastAsia="仿宋" w:cs="仿宋"/>
          <w:color w:val="auto"/>
          <w:sz w:val="32"/>
          <w:szCs w:val="32"/>
        </w:rPr>
        <w:t>坚持严格</w:t>
      </w: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与指导服务并重，加强安全生产</w:t>
      </w: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工作的严肃性、权威性、实效性。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0"/>
        <w:rPr>
          <w:rFonts w:hint="eastAsia" w:ascii="黑体" w:hAnsi="黑体" w:eastAsia="黑体" w:cs="黑体"/>
          <w:b w:val="0"/>
          <w:bCs w:val="0"/>
          <w:color w:val="auto"/>
          <w:sz w:val="32"/>
          <w:szCs w:val="32"/>
        </w:rPr>
      </w:pPr>
      <w:bookmarkStart w:id="366" w:name="_Toc7039"/>
      <w:bookmarkStart w:id="367" w:name="_Toc417"/>
      <w:bookmarkStart w:id="368" w:name="_Toc488"/>
      <w:bookmarkStart w:id="369" w:name="_Toc15720"/>
      <w:bookmarkStart w:id="370" w:name="_Toc14324"/>
      <w:bookmarkStart w:id="371" w:name="_Toc29525"/>
      <w:bookmarkStart w:id="372" w:name="_Toc21870"/>
      <w:bookmarkStart w:id="373" w:name="_Toc272"/>
      <w:r>
        <w:rPr>
          <w:rFonts w:hint="eastAsia" w:ascii="黑体" w:hAnsi="黑体" w:eastAsia="黑体" w:cs="黑体"/>
          <w:b w:val="0"/>
          <w:bCs w:val="0"/>
          <w:color w:val="auto"/>
          <w:sz w:val="32"/>
          <w:szCs w:val="32"/>
          <w:lang w:eastAsia="zh-CN"/>
        </w:rPr>
        <w:t>一、走访检查</w:t>
      </w:r>
      <w:r>
        <w:rPr>
          <w:rFonts w:hint="eastAsia" w:ascii="黑体" w:hAnsi="黑体" w:eastAsia="黑体" w:cs="黑体"/>
          <w:b w:val="0"/>
          <w:bCs w:val="0"/>
          <w:color w:val="auto"/>
          <w:sz w:val="32"/>
          <w:szCs w:val="32"/>
        </w:rPr>
        <w:t>的主要流程：</w:t>
      </w:r>
      <w:bookmarkEnd w:id="366"/>
      <w:bookmarkEnd w:id="367"/>
      <w:bookmarkEnd w:id="368"/>
      <w:bookmarkEnd w:id="369"/>
      <w:bookmarkEnd w:id="370"/>
      <w:bookmarkEnd w:id="371"/>
      <w:bookmarkEnd w:id="372"/>
      <w:bookmarkEnd w:id="37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人员表明身份，出示证件。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人员说明来意，告知检查事项及权利。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被检查对象承诺如实提供有关信息，配合检查</w:t>
      </w:r>
      <w:r>
        <w:rPr>
          <w:rFonts w:hint="eastAsia" w:ascii="仿宋" w:hAnsi="仿宋" w:eastAsia="仿宋" w:cs="仿宋"/>
          <w:color w:val="auto"/>
          <w:sz w:val="32"/>
          <w:szCs w:val="32"/>
          <w:lang w:eastAsia="zh-CN"/>
        </w:rPr>
        <w:t>工</w:t>
      </w:r>
      <w:r>
        <w:rPr>
          <w:rFonts w:hint="eastAsia" w:ascii="仿宋" w:hAnsi="仿宋" w:eastAsia="仿宋" w:cs="仿宋"/>
          <w:color w:val="auto"/>
          <w:sz w:val="32"/>
          <w:szCs w:val="32"/>
        </w:rPr>
        <w:t>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听取被检查单位关于本次检查开展相关的安全生产工作情况介绍。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实施现场检查。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人员进行现场执法检查时，应当依照现场检查方案，对生产经营单位的有关安全生产文件资料和生产经营场所进行检查，对检查中发现的问题，应当及时询问核实，并做好相应记录。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）走访</w:t>
      </w:r>
      <w:r>
        <w:rPr>
          <w:rFonts w:hint="eastAsia" w:ascii="仿宋" w:hAnsi="仿宋" w:eastAsia="仿宋" w:cs="仿宋"/>
          <w:color w:val="auto"/>
          <w:sz w:val="32"/>
          <w:szCs w:val="32"/>
        </w:rPr>
        <w:t>人员向企业告知《现场检查记录》。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听取被检查对象对执法检查情况及整改要求等的陈述申辩。</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企业对</w:t>
      </w:r>
      <w:r>
        <w:rPr>
          <w:rFonts w:hint="eastAsia" w:ascii="仿宋" w:hAnsi="仿宋" w:eastAsia="仿宋" w:cs="仿宋"/>
          <w:color w:val="auto"/>
          <w:sz w:val="32"/>
          <w:szCs w:val="32"/>
          <w:lang w:eastAsia="zh-CN"/>
        </w:rPr>
        <w:t>《现场检查记录》</w:t>
      </w:r>
      <w:r>
        <w:rPr>
          <w:rFonts w:hint="eastAsia" w:ascii="仿宋" w:hAnsi="仿宋" w:eastAsia="仿宋" w:cs="仿宋"/>
          <w:color w:val="auto"/>
          <w:sz w:val="32"/>
          <w:szCs w:val="32"/>
        </w:rPr>
        <w:t>的内容确认无误后，由</w:t>
      </w: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人员和被检查单位的负责人签字确认，并向企业下达相关执法文书。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如检查发现企业有违法违规行为需要进行立案处罚或行政强制的，</w:t>
      </w:r>
      <w:r>
        <w:rPr>
          <w:rFonts w:hint="eastAsia" w:ascii="仿宋" w:hAnsi="仿宋" w:eastAsia="仿宋" w:cs="仿宋"/>
          <w:color w:val="auto"/>
          <w:sz w:val="32"/>
          <w:szCs w:val="32"/>
          <w:lang w:eastAsia="zh-CN"/>
        </w:rPr>
        <w:t>检查</w:t>
      </w:r>
      <w:r>
        <w:rPr>
          <w:rFonts w:hint="eastAsia" w:ascii="仿宋" w:hAnsi="仿宋" w:eastAsia="仿宋" w:cs="仿宋"/>
          <w:color w:val="auto"/>
          <w:sz w:val="32"/>
          <w:szCs w:val="32"/>
        </w:rPr>
        <w:t>人员应当</w:t>
      </w:r>
      <w:r>
        <w:rPr>
          <w:rFonts w:hint="eastAsia" w:ascii="仿宋" w:hAnsi="仿宋" w:eastAsia="仿宋" w:cs="仿宋"/>
          <w:color w:val="auto"/>
          <w:sz w:val="32"/>
          <w:szCs w:val="32"/>
          <w:lang w:eastAsia="zh-CN"/>
        </w:rPr>
        <w:t>报市应急局</w:t>
      </w:r>
      <w:r>
        <w:rPr>
          <w:rFonts w:hint="eastAsia" w:ascii="仿宋" w:hAnsi="仿宋" w:eastAsia="仿宋" w:cs="仿宋"/>
          <w:color w:val="auto"/>
          <w:sz w:val="32"/>
          <w:szCs w:val="32"/>
        </w:rPr>
        <w:t>采取相关措施，</w:t>
      </w:r>
      <w:r>
        <w:rPr>
          <w:rFonts w:hint="eastAsia" w:ascii="仿宋" w:hAnsi="仿宋" w:eastAsia="仿宋" w:cs="仿宋"/>
          <w:color w:val="auto"/>
          <w:sz w:val="32"/>
          <w:szCs w:val="32"/>
          <w:lang w:eastAsia="zh-CN"/>
        </w:rPr>
        <w:t>同时</w:t>
      </w:r>
      <w:r>
        <w:rPr>
          <w:rFonts w:hint="eastAsia" w:ascii="仿宋" w:hAnsi="仿宋" w:eastAsia="仿宋" w:cs="仿宋"/>
          <w:color w:val="auto"/>
          <w:sz w:val="32"/>
          <w:szCs w:val="32"/>
        </w:rPr>
        <w:t>做好</w:t>
      </w:r>
      <w:r>
        <w:rPr>
          <w:rFonts w:hint="eastAsia" w:ascii="仿宋" w:hAnsi="仿宋" w:eastAsia="仿宋" w:cs="仿宋"/>
          <w:color w:val="auto"/>
          <w:sz w:val="32"/>
          <w:szCs w:val="32"/>
          <w:lang w:eastAsia="zh-CN"/>
        </w:rPr>
        <w:t>配合</w:t>
      </w:r>
      <w:r>
        <w:rPr>
          <w:rFonts w:hint="eastAsia" w:ascii="仿宋" w:hAnsi="仿宋" w:eastAsia="仿宋" w:cs="仿宋"/>
          <w:color w:val="auto"/>
          <w:sz w:val="32"/>
          <w:szCs w:val="32"/>
        </w:rPr>
        <w:t>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lang w:eastAsia="zh-CN"/>
        </w:rPr>
        <w:t>）回访。对整改期限结束的企业要按时回访，确保整改到位。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b w:val="0"/>
          <w:bCs w:val="0"/>
          <w:color w:val="auto"/>
          <w:sz w:val="32"/>
          <w:szCs w:val="32"/>
        </w:rPr>
      </w:pPr>
      <w:bookmarkStart w:id="374" w:name="_Toc28536"/>
      <w:bookmarkStart w:id="375" w:name="_Toc8807"/>
      <w:bookmarkStart w:id="376" w:name="_Toc26128"/>
      <w:bookmarkStart w:id="377" w:name="_Toc27098"/>
      <w:bookmarkStart w:id="378" w:name="_Toc27034"/>
      <w:bookmarkStart w:id="379" w:name="_Toc22575"/>
      <w:bookmarkStart w:id="380" w:name="_Toc15483"/>
      <w:bookmarkStart w:id="381" w:name="_Toc12285"/>
      <w:r>
        <w:rPr>
          <w:rFonts w:hint="eastAsia" w:ascii="黑体" w:hAnsi="黑体" w:eastAsia="黑体" w:cs="黑体"/>
          <w:b w:val="0"/>
          <w:bCs w:val="0"/>
          <w:color w:val="auto"/>
          <w:sz w:val="32"/>
          <w:szCs w:val="32"/>
          <w:lang w:eastAsia="zh-CN"/>
        </w:rPr>
        <w:t>二、</w:t>
      </w:r>
      <w:r>
        <w:rPr>
          <w:rFonts w:hint="eastAsia" w:ascii="黑体" w:hAnsi="黑体" w:eastAsia="黑体" w:cs="黑体"/>
          <w:b w:val="0"/>
          <w:bCs w:val="0"/>
          <w:color w:val="auto"/>
          <w:sz w:val="32"/>
          <w:szCs w:val="32"/>
        </w:rPr>
        <w:t>检查方式</w:t>
      </w:r>
      <w:bookmarkEnd w:id="374"/>
      <w:bookmarkEnd w:id="375"/>
      <w:bookmarkEnd w:id="376"/>
      <w:bookmarkEnd w:id="377"/>
      <w:bookmarkEnd w:id="378"/>
      <w:bookmarkEnd w:id="379"/>
      <w:bookmarkEnd w:id="380"/>
      <w:bookmarkEnd w:id="381"/>
      <w:r>
        <w:rPr>
          <w:rFonts w:hint="eastAsia" w:ascii="黑体" w:hAnsi="黑体" w:eastAsia="黑体" w:cs="黑体"/>
          <w:b w:val="0"/>
          <w:bCs w:val="0"/>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新区安监局</w:t>
      </w:r>
      <w:r>
        <w:rPr>
          <w:rFonts w:hint="eastAsia" w:ascii="仿宋" w:hAnsi="仿宋" w:eastAsia="仿宋" w:cs="仿宋"/>
          <w:color w:val="auto"/>
          <w:sz w:val="32"/>
          <w:szCs w:val="32"/>
        </w:rPr>
        <w:t>根据职责，对生产经营单位遵守有关安全生产的法律、法规、规章以及国家标准、行业标准的情况进行监督检查。监督检查分为计划检查和非计划检查两种方式。计划检查是指按照年度监督检查计划开展的检查，非计划检查是指为了完成上级交办任务和本部门临时性、紧急性工作安排等而开展的检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b w:val="0"/>
          <w:bCs w:val="0"/>
          <w:color w:val="auto"/>
          <w:sz w:val="32"/>
          <w:szCs w:val="32"/>
        </w:rPr>
      </w:pPr>
      <w:bookmarkStart w:id="382" w:name="_Toc26780"/>
      <w:bookmarkStart w:id="383" w:name="_Toc8806"/>
      <w:bookmarkStart w:id="384" w:name="_Toc12668"/>
      <w:bookmarkStart w:id="385" w:name="_Toc9064"/>
      <w:bookmarkStart w:id="386" w:name="_Toc25735"/>
      <w:bookmarkStart w:id="387" w:name="_Toc32016"/>
      <w:bookmarkStart w:id="388" w:name="_Toc27750"/>
      <w:bookmarkStart w:id="389" w:name="_Toc9538"/>
      <w:r>
        <w:rPr>
          <w:rFonts w:hint="eastAsia" w:ascii="黑体" w:hAnsi="黑体" w:eastAsia="黑体" w:cs="黑体"/>
          <w:b w:val="0"/>
          <w:bCs w:val="0"/>
          <w:color w:val="auto"/>
          <w:sz w:val="32"/>
          <w:szCs w:val="32"/>
          <w:lang w:eastAsia="zh-CN"/>
        </w:rPr>
        <w:t>三、</w:t>
      </w:r>
      <w:r>
        <w:rPr>
          <w:rFonts w:hint="eastAsia" w:ascii="黑体" w:hAnsi="黑体" w:eastAsia="黑体" w:cs="黑体"/>
          <w:b w:val="0"/>
          <w:bCs w:val="0"/>
          <w:color w:val="auto"/>
          <w:sz w:val="32"/>
          <w:szCs w:val="32"/>
        </w:rPr>
        <w:t>现场检查规范用语指引</w:t>
      </w:r>
      <w:bookmarkEnd w:id="382"/>
      <w:bookmarkEnd w:id="383"/>
      <w:bookmarkEnd w:id="384"/>
      <w:bookmarkEnd w:id="385"/>
      <w:bookmarkEnd w:id="386"/>
      <w:bookmarkEnd w:id="387"/>
      <w:bookmarkEnd w:id="388"/>
      <w:bookmarkEnd w:id="38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表明身份。如：你好。我们是</w:t>
      </w:r>
      <w:r>
        <w:rPr>
          <w:rFonts w:hint="eastAsia" w:ascii="仿宋" w:hAnsi="仿宋" w:eastAsia="仿宋" w:cs="仿宋"/>
          <w:color w:val="auto"/>
          <w:sz w:val="32"/>
          <w:szCs w:val="32"/>
          <w:lang w:eastAsia="zh-CN"/>
        </w:rPr>
        <w:t>生态新区安监局</w:t>
      </w:r>
      <w:r>
        <w:rPr>
          <w:rFonts w:hint="eastAsia" w:ascii="仿宋" w:hAnsi="仿宋" w:eastAsia="仿宋" w:cs="仿宋"/>
          <w:color w:val="auto"/>
          <w:sz w:val="32"/>
          <w:szCs w:val="32"/>
        </w:rPr>
        <w:t>执法人员×××，×××，这是我们的执法证件（出示证件）</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告知执法检查事项。如：根据××工作计划（或举报投诉），今天依法对你单位进行安全生产执法检查。请你单位主要负责人、安全管理人员和有关岗位员工全程参</w:t>
      </w:r>
      <w:r>
        <w:rPr>
          <w:rFonts w:hint="eastAsia" w:ascii="仿宋" w:hAnsi="仿宋" w:eastAsia="仿宋" w:cs="仿宋"/>
          <w:color w:val="auto"/>
          <w:sz w:val="32"/>
          <w:szCs w:val="32"/>
          <w:lang w:eastAsia="zh-CN"/>
        </w:rPr>
        <w:t>加</w:t>
      </w:r>
      <w:r>
        <w:rPr>
          <w:rFonts w:hint="eastAsia" w:ascii="仿宋" w:hAnsi="仿宋" w:eastAsia="仿宋" w:cs="仿宋"/>
          <w:color w:val="auto"/>
          <w:sz w:val="32"/>
          <w:szCs w:val="32"/>
        </w:rPr>
        <w:t>。 对你单位进行安全生产执法检查的重点内容为××，请予以配合。</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告知执法检查场所（部位）</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如：请配合我们对你单位的××场所（部位）进行检查。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告知权利。如：如果你认为在场的执法人员与你有利害关系，可能影响公正处理的，你有权申请回避。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要求对方介绍情况。如：请介绍你单位关于本次执法检查内容开展的相关安全生产工作。执法检查中，我们将严格遵守工作纪律和要求，确保本次执法检查透明、规范、合法、公正。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现场执法检查。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①</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要求对方提供有关资料时，应当清楚告知所依据法律、法规、规章及所要检查的资料名称。如：根据《中华人民共和国安全生产法》第六十二条规定，请你提供××证照（许可证、资质证书、特种作业人员证件及其他有关文件等资料），对涉及你单位的技术秘密和业务秘密，我们将依法为你保密，请予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发现违法行为或者隐患，可以当场纠正的，应当予以当场纠正。如：现在请按照规定将××的生产车间的安全出口打开。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③</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情况紧急，需要当场实施行政强制措施的，应当场告知当事人采取行政强制措施的理由、依据以及当事人依法享有的权利</w:t>
      </w:r>
      <w:r>
        <w:rPr>
          <w:rFonts w:hint="eastAsia" w:ascii="仿宋" w:hAnsi="仿宋" w:eastAsia="仿宋" w:cs="仿宋"/>
          <w:color w:val="auto"/>
          <w:sz w:val="32"/>
          <w:szCs w:val="32"/>
          <w:lang w:eastAsia="zh-CN"/>
        </w:rPr>
        <w:t>，并报市应急局协助执法</w:t>
      </w:r>
      <w:r>
        <w:rPr>
          <w:rFonts w:hint="eastAsia" w:ascii="仿宋" w:hAnsi="仿宋" w:eastAsia="仿宋" w:cs="仿宋"/>
          <w:color w:val="auto"/>
          <w:sz w:val="32"/>
          <w:szCs w:val="32"/>
        </w:rPr>
        <w:t>。如：经查实，你（单位）有×××现状（违法行为），违反了《××××》第×条第×款（项）规定，根据《××××：×条第×款（项）的规定，</w:t>
      </w:r>
      <w:r>
        <w:rPr>
          <w:rFonts w:hint="eastAsia" w:ascii="仿宋" w:hAnsi="仿宋" w:cs="仿宋"/>
          <w:color w:val="auto"/>
          <w:sz w:val="32"/>
          <w:szCs w:val="32"/>
          <w:lang w:eastAsia="zh-CN"/>
        </w:rPr>
        <w:t>安监</w:t>
      </w:r>
      <w:r>
        <w:rPr>
          <w:rFonts w:hint="eastAsia" w:ascii="仿宋" w:hAnsi="仿宋" w:eastAsia="仿宋" w:cs="仿宋"/>
          <w:color w:val="auto"/>
          <w:sz w:val="32"/>
          <w:szCs w:val="32"/>
        </w:rPr>
        <w:t>局现决定当场采取××强制措施。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④</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制作《现场检查记录》和《询问笔</w:t>
      </w:r>
      <w:r>
        <w:rPr>
          <w:rFonts w:hint="eastAsia" w:ascii="仿宋" w:hAnsi="仿宋" w:eastAsia="仿宋" w:cs="仿宋"/>
          <w:color w:val="auto"/>
          <w:sz w:val="32"/>
          <w:szCs w:val="32"/>
          <w:lang w:eastAsia="zh-CN"/>
        </w:rPr>
        <w:t>录</w:t>
      </w:r>
      <w:r>
        <w:rPr>
          <w:rFonts w:hint="eastAsia" w:ascii="仿宋" w:hAnsi="仿宋" w:eastAsia="仿宋" w:cs="仿宋"/>
          <w:color w:val="auto"/>
          <w:sz w:val="32"/>
          <w:szCs w:val="32"/>
        </w:rPr>
        <w:t>》，应当要求当事人签字确认。如：这是《现场检查记录》和《询问笔录》，请仔细核对，如无误，请在此处签字</w:t>
      </w:r>
      <w:r>
        <w:rPr>
          <w:rFonts w:hint="eastAsia" w:ascii="仿宋" w:hAnsi="仿宋" w:eastAsia="仿宋" w:cs="仿宋"/>
          <w:color w:val="auto"/>
          <w:sz w:val="32"/>
          <w:szCs w:val="32"/>
          <w:lang w:eastAsia="zh-CN"/>
        </w:rPr>
        <w:t>按手</w:t>
      </w:r>
      <w:r>
        <w:rPr>
          <w:rFonts w:hint="eastAsia" w:ascii="仿宋" w:hAnsi="仿宋" w:eastAsia="仿宋" w:cs="仿宋"/>
          <w:color w:val="auto"/>
          <w:sz w:val="32"/>
          <w:szCs w:val="32"/>
        </w:rPr>
        <w:t>印。如遇当事人拒绝在有关执法文书上签字，应当告知拒绝签字后果，并注明情况。如：请你再次考虑是否签字，如果你拒绝签字，我们将记录在案，依法处理。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b w:val="0"/>
          <w:bCs w:val="0"/>
          <w:color w:val="auto"/>
          <w:sz w:val="32"/>
          <w:szCs w:val="32"/>
        </w:rPr>
      </w:pPr>
      <w:bookmarkStart w:id="390" w:name="_Toc1391"/>
      <w:bookmarkStart w:id="391" w:name="_Toc19764"/>
      <w:bookmarkStart w:id="392" w:name="_Toc16447"/>
      <w:bookmarkStart w:id="393" w:name="_Toc5006"/>
      <w:bookmarkStart w:id="394" w:name="_Toc8168"/>
      <w:bookmarkStart w:id="395" w:name="_Toc10077"/>
      <w:bookmarkStart w:id="396" w:name="_Toc22347"/>
      <w:bookmarkStart w:id="397" w:name="_Toc8266"/>
      <w:r>
        <w:rPr>
          <w:rFonts w:hint="eastAsia" w:ascii="黑体" w:hAnsi="黑体" w:eastAsia="黑体" w:cs="黑体"/>
          <w:b w:val="0"/>
          <w:bCs w:val="0"/>
          <w:color w:val="auto"/>
          <w:sz w:val="32"/>
          <w:szCs w:val="32"/>
          <w:lang w:eastAsia="zh-CN"/>
        </w:rPr>
        <w:t>四、</w:t>
      </w:r>
      <w:r>
        <w:rPr>
          <w:rFonts w:hint="eastAsia" w:ascii="黑体" w:hAnsi="黑体" w:eastAsia="黑体" w:cs="黑体"/>
          <w:b w:val="0"/>
          <w:bCs w:val="0"/>
          <w:color w:val="auto"/>
          <w:sz w:val="32"/>
          <w:szCs w:val="32"/>
        </w:rPr>
        <w:t>制作《现场检查记录》应当符合下列要求：</w:t>
      </w:r>
      <w:bookmarkEnd w:id="390"/>
      <w:bookmarkEnd w:id="391"/>
      <w:bookmarkEnd w:id="392"/>
      <w:bookmarkEnd w:id="393"/>
      <w:bookmarkEnd w:id="394"/>
      <w:bookmarkEnd w:id="395"/>
      <w:bookmarkEnd w:id="396"/>
      <w:bookmarkEnd w:id="39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检查场所。注明场所名称，对多个独立场所，应分别作出准确的描述。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检查时间。检查时间应具体到检查起止时间的年、月、日、时、分。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检查情况。按照检查过程详细记录检查内容、方法、结果等。检查情况要客观、准确，如实记载行政执法人员在现场观察到的实际情况，反映其客观的原始状态。涉及专业性检查时，应当使用专业性规范用语。对于检查发现的问题，应有法律、法规、规章或者国家标准、行业标准作为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0"/>
        <w:rPr>
          <w:rFonts w:hint="eastAsia" w:ascii="黑体" w:hAnsi="黑体" w:eastAsia="黑体" w:cs="黑体"/>
          <w:b w:val="0"/>
          <w:bCs w:val="0"/>
          <w:color w:val="auto"/>
          <w:sz w:val="32"/>
          <w:szCs w:val="32"/>
        </w:rPr>
      </w:pPr>
      <w:bookmarkStart w:id="398" w:name="_Toc1332"/>
      <w:bookmarkStart w:id="399" w:name="_Toc28329"/>
      <w:bookmarkStart w:id="400" w:name="_Toc12896"/>
      <w:bookmarkStart w:id="401" w:name="_Toc4712"/>
      <w:bookmarkStart w:id="402" w:name="_Toc19426"/>
      <w:bookmarkStart w:id="403" w:name="_Toc9843"/>
      <w:bookmarkStart w:id="404" w:name="_Toc9551"/>
      <w:bookmarkStart w:id="405" w:name="_Toc7280"/>
      <w:r>
        <w:rPr>
          <w:rFonts w:hint="eastAsia" w:ascii="黑体" w:hAnsi="黑体" w:eastAsia="黑体" w:cs="黑体"/>
          <w:b w:val="0"/>
          <w:bCs w:val="0"/>
          <w:color w:val="auto"/>
          <w:sz w:val="32"/>
          <w:szCs w:val="32"/>
          <w:lang w:val="en-US" w:eastAsia="zh-CN"/>
        </w:rPr>
        <w:t>五、</w:t>
      </w:r>
      <w:r>
        <w:rPr>
          <w:rFonts w:hint="eastAsia" w:ascii="黑体" w:hAnsi="黑体" w:eastAsia="黑体" w:cs="黑体"/>
          <w:b w:val="0"/>
          <w:bCs w:val="0"/>
          <w:color w:val="auto"/>
          <w:sz w:val="32"/>
          <w:szCs w:val="32"/>
        </w:rPr>
        <w:t>现场处理措施</w:t>
      </w:r>
      <w:bookmarkEnd w:id="398"/>
      <w:bookmarkEnd w:id="399"/>
      <w:bookmarkEnd w:id="400"/>
      <w:bookmarkEnd w:id="401"/>
      <w:bookmarkEnd w:id="402"/>
      <w:bookmarkEnd w:id="403"/>
      <w:bookmarkEnd w:id="404"/>
      <w:bookmarkEnd w:id="40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安全生产行政执法人员在现场检查时，对发现存在的安全生产违法行为或者生产安全事故隐患应当采取下列现场处理措施：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当场予以纠正；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责令限期改正、责令限期达到要求；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责令立即停止作业（施工）、责令立即停止使用、责令立即排除事故隐患；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责令从危险区域撤出作业人员；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责令暂时停产停业、停止建设、停止施工或者停止使用相关设备、设施；</w:t>
      </w: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pStyle w:val="2"/>
        <w:bidi w:val="0"/>
        <w:rPr>
          <w:rFonts w:hint="eastAsia" w:ascii="仿宋" w:hAnsi="仿宋" w:eastAsia="仿宋"/>
          <w:b/>
          <w:color w:val="auto"/>
          <w:sz w:val="44"/>
          <w:szCs w:val="44"/>
        </w:rPr>
      </w:pPr>
      <w:bookmarkStart w:id="406" w:name="_Toc21761"/>
      <w:bookmarkStart w:id="407" w:name="_Toc19019"/>
      <w:r>
        <w:rPr>
          <w:rFonts w:hint="eastAsia"/>
          <w:color w:val="auto"/>
          <w:lang w:val="en-US" w:eastAsia="zh-CN"/>
        </w:rPr>
        <w:t>20、</w:t>
      </w:r>
      <w:r>
        <w:rPr>
          <w:rFonts w:hint="eastAsia"/>
          <w:color w:val="auto"/>
        </w:rPr>
        <w:t>信访工作制度</w:t>
      </w:r>
      <w:bookmarkEnd w:id="406"/>
      <w:bookmarkEnd w:id="407"/>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为进一步促进生态新区信访事项办理工作的制度化、规范化，逐步提高办理信访事项的工作效率和质量，根据国务院《信访条例》等相关规定，制定本制度。</w:t>
      </w:r>
    </w:p>
    <w:p>
      <w:pPr>
        <w:ind w:firstLine="640" w:firstLineChars="200"/>
        <w:outlineLvl w:val="0"/>
        <w:rPr>
          <w:rFonts w:hint="eastAsia" w:ascii="黑体" w:eastAsia="黑体"/>
          <w:color w:val="auto"/>
          <w:sz w:val="32"/>
          <w:szCs w:val="32"/>
        </w:rPr>
      </w:pPr>
      <w:bookmarkStart w:id="408" w:name="_Toc5437"/>
      <w:bookmarkStart w:id="409" w:name="_Toc28152"/>
      <w:bookmarkStart w:id="410" w:name="_Toc5251"/>
      <w:bookmarkStart w:id="411" w:name="_Toc23219"/>
      <w:bookmarkStart w:id="412" w:name="_Toc26158"/>
      <w:bookmarkStart w:id="413" w:name="_Toc9047"/>
      <w:bookmarkStart w:id="414" w:name="_Toc23226"/>
      <w:r>
        <w:rPr>
          <w:rFonts w:hint="eastAsia" w:ascii="黑体" w:eastAsia="黑体"/>
          <w:color w:val="auto"/>
          <w:sz w:val="32"/>
          <w:szCs w:val="32"/>
        </w:rPr>
        <w:t>一、工作原则</w:t>
      </w:r>
      <w:bookmarkEnd w:id="408"/>
      <w:bookmarkEnd w:id="409"/>
      <w:bookmarkEnd w:id="410"/>
      <w:bookmarkEnd w:id="411"/>
      <w:bookmarkEnd w:id="412"/>
      <w:bookmarkEnd w:id="413"/>
      <w:bookmarkEnd w:id="414"/>
    </w:p>
    <w:p>
      <w:pPr>
        <w:rPr>
          <w:rFonts w:ascii="仿宋" w:hAnsi="仿宋" w:eastAsia="仿宋"/>
          <w:color w:val="auto"/>
          <w:sz w:val="32"/>
          <w:szCs w:val="32"/>
        </w:rPr>
      </w:pPr>
      <w:r>
        <w:rPr>
          <w:rFonts w:hint="eastAsia"/>
          <w:color w:val="auto"/>
          <w:sz w:val="32"/>
          <w:szCs w:val="32"/>
        </w:rPr>
        <w:t xml:space="preserve">    </w:t>
      </w:r>
      <w:r>
        <w:rPr>
          <w:rFonts w:hint="eastAsia" w:ascii="仿宋" w:hAnsi="仿宋" w:eastAsia="仿宋"/>
          <w:color w:val="auto"/>
          <w:sz w:val="32"/>
          <w:szCs w:val="32"/>
        </w:rPr>
        <w:t>信访工作本着实事求是、依法办事的原则，对上负责与对下负责相一致的原则，坚持原则与注重实效相结合的原则</w:t>
      </w:r>
      <w:r>
        <w:rPr>
          <w:rFonts w:hint="eastAsia" w:ascii="仿宋" w:hAnsi="仿宋" w:eastAsia="仿宋"/>
          <w:color w:val="auto"/>
          <w:spacing w:val="-212"/>
          <w:sz w:val="32"/>
          <w:szCs w:val="32"/>
        </w:rPr>
        <w:t>。</w:t>
      </w:r>
    </w:p>
    <w:p>
      <w:pPr>
        <w:ind w:firstLine="640" w:firstLineChars="200"/>
        <w:outlineLvl w:val="0"/>
        <w:rPr>
          <w:rFonts w:hint="eastAsia" w:ascii="黑体" w:hAnsi="黑体" w:eastAsia="黑体"/>
          <w:color w:val="auto"/>
          <w:sz w:val="32"/>
          <w:szCs w:val="32"/>
        </w:rPr>
      </w:pPr>
      <w:bookmarkStart w:id="415" w:name="_Toc17069"/>
      <w:bookmarkStart w:id="416" w:name="_Toc26728"/>
      <w:bookmarkStart w:id="417" w:name="_Toc543"/>
      <w:bookmarkStart w:id="418" w:name="_Toc14741"/>
      <w:bookmarkStart w:id="419" w:name="_Toc22609"/>
      <w:bookmarkStart w:id="420" w:name="_Toc23083"/>
      <w:bookmarkStart w:id="421" w:name="_Toc19388"/>
      <w:r>
        <w:rPr>
          <w:rFonts w:hint="eastAsia" w:ascii="黑体" w:hAnsi="黑体" w:eastAsia="黑体"/>
          <w:color w:val="auto"/>
          <w:sz w:val="32"/>
          <w:szCs w:val="32"/>
        </w:rPr>
        <w:t>二、工作范围</w:t>
      </w:r>
      <w:r>
        <w:rPr>
          <w:rFonts w:hint="eastAsia" w:ascii="黑体" w:eastAsia="黑体"/>
          <w:color w:val="auto"/>
          <w:sz w:val="32"/>
          <w:szCs w:val="32"/>
        </w:rPr>
        <w:t> </w:t>
      </w:r>
      <w:bookmarkEnd w:id="415"/>
      <w:bookmarkEnd w:id="416"/>
      <w:bookmarkEnd w:id="417"/>
      <w:bookmarkEnd w:id="418"/>
      <w:bookmarkEnd w:id="419"/>
      <w:bookmarkEnd w:id="420"/>
      <w:bookmarkEnd w:id="421"/>
    </w:p>
    <w:p>
      <w:pPr>
        <w:ind w:firstLine="640" w:firstLineChars="200"/>
        <w:outlineLvl w:val="0"/>
        <w:rPr>
          <w:rFonts w:hint="eastAsia" w:ascii="仿宋" w:hAnsi="仿宋" w:eastAsia="仿宋"/>
          <w:color w:val="auto"/>
          <w:sz w:val="32"/>
          <w:szCs w:val="32"/>
        </w:rPr>
      </w:pPr>
      <w:bookmarkStart w:id="422" w:name="_Toc17503"/>
      <w:bookmarkStart w:id="423" w:name="_Toc17665"/>
      <w:bookmarkStart w:id="424" w:name="_Toc31054"/>
      <w:bookmarkStart w:id="425" w:name="_Toc18112"/>
      <w:bookmarkStart w:id="426" w:name="_Toc2563"/>
      <w:bookmarkStart w:id="427" w:name="_Toc6568"/>
      <w:bookmarkStart w:id="428" w:name="_Toc19268"/>
      <w:r>
        <w:rPr>
          <w:rFonts w:hint="eastAsia" w:ascii="仿宋" w:hAnsi="仿宋" w:eastAsia="仿宋"/>
          <w:color w:val="auto"/>
          <w:sz w:val="32"/>
          <w:szCs w:val="32"/>
        </w:rPr>
        <w:t>（一）上级党政机关和信访部门交办的信访案件；</w:t>
      </w:r>
      <w:bookmarkEnd w:id="422"/>
      <w:bookmarkEnd w:id="423"/>
      <w:bookmarkEnd w:id="424"/>
      <w:bookmarkEnd w:id="425"/>
      <w:bookmarkEnd w:id="426"/>
      <w:bookmarkEnd w:id="427"/>
      <w:bookmarkEnd w:id="428"/>
    </w:p>
    <w:p>
      <w:pPr>
        <w:ind w:firstLine="640" w:firstLineChars="200"/>
        <w:outlineLvl w:val="0"/>
        <w:rPr>
          <w:rFonts w:hint="eastAsia" w:ascii="仿宋" w:hAnsi="仿宋" w:eastAsia="仿宋"/>
          <w:color w:val="auto"/>
          <w:sz w:val="32"/>
          <w:szCs w:val="32"/>
        </w:rPr>
      </w:pPr>
      <w:bookmarkStart w:id="429" w:name="_Toc26394"/>
      <w:bookmarkStart w:id="430" w:name="_Toc10606"/>
      <w:bookmarkStart w:id="431" w:name="_Toc31870"/>
      <w:bookmarkStart w:id="432" w:name="_Toc4750"/>
      <w:bookmarkStart w:id="433" w:name="_Toc16122"/>
      <w:bookmarkStart w:id="434" w:name="_Toc17605"/>
      <w:bookmarkStart w:id="435" w:name="_Toc8809"/>
      <w:r>
        <w:rPr>
          <w:rFonts w:hint="eastAsia" w:ascii="仿宋" w:hAnsi="仿宋" w:eastAsia="仿宋"/>
          <w:color w:val="auto"/>
          <w:sz w:val="32"/>
          <w:szCs w:val="32"/>
        </w:rPr>
        <w:t>（二）新区办领导批示、交办的信访案件；</w:t>
      </w:r>
      <w:r>
        <w:rPr>
          <w:rFonts w:hint="eastAsia" w:ascii="仿宋" w:eastAsia="仿宋"/>
          <w:color w:val="auto"/>
          <w:sz w:val="32"/>
          <w:szCs w:val="32"/>
        </w:rPr>
        <w:t> </w:t>
      </w:r>
      <w:bookmarkEnd w:id="429"/>
      <w:bookmarkEnd w:id="430"/>
      <w:bookmarkEnd w:id="431"/>
      <w:bookmarkEnd w:id="432"/>
      <w:bookmarkEnd w:id="433"/>
      <w:bookmarkEnd w:id="434"/>
      <w:bookmarkEnd w:id="435"/>
    </w:p>
    <w:p>
      <w:pPr>
        <w:ind w:firstLine="640" w:firstLineChars="200"/>
        <w:outlineLvl w:val="0"/>
        <w:rPr>
          <w:rFonts w:hint="eastAsia" w:ascii="仿宋" w:eastAsia="仿宋"/>
          <w:color w:val="auto"/>
          <w:sz w:val="32"/>
          <w:szCs w:val="32"/>
        </w:rPr>
      </w:pPr>
      <w:bookmarkStart w:id="436" w:name="_Toc15420"/>
      <w:bookmarkStart w:id="437" w:name="_Toc16872"/>
      <w:bookmarkStart w:id="438" w:name="_Toc19954"/>
      <w:bookmarkStart w:id="439" w:name="_Toc20897"/>
      <w:bookmarkStart w:id="440" w:name="_Toc4533"/>
      <w:bookmarkStart w:id="441" w:name="_Toc1946"/>
      <w:bookmarkStart w:id="442" w:name="_Toc2195"/>
      <w:r>
        <w:rPr>
          <w:rFonts w:hint="eastAsia" w:ascii="仿宋" w:hAnsi="仿宋" w:eastAsia="仿宋"/>
          <w:color w:val="auto"/>
          <w:sz w:val="32"/>
          <w:szCs w:val="32"/>
        </w:rPr>
        <w:t>（三）市人大代表、政协委员及社会知名人士批转的信访案件；</w:t>
      </w:r>
      <w:r>
        <w:rPr>
          <w:rFonts w:hint="eastAsia" w:ascii="仿宋" w:eastAsia="仿宋"/>
          <w:color w:val="auto"/>
          <w:sz w:val="32"/>
          <w:szCs w:val="32"/>
        </w:rPr>
        <w:t> </w:t>
      </w:r>
      <w:bookmarkEnd w:id="436"/>
      <w:bookmarkEnd w:id="437"/>
      <w:bookmarkEnd w:id="438"/>
      <w:bookmarkEnd w:id="439"/>
      <w:bookmarkEnd w:id="440"/>
      <w:bookmarkEnd w:id="441"/>
      <w:bookmarkEnd w:id="442"/>
    </w:p>
    <w:p>
      <w:pPr>
        <w:ind w:firstLine="640" w:firstLineChars="200"/>
        <w:outlineLvl w:val="0"/>
        <w:rPr>
          <w:rFonts w:hint="eastAsia" w:ascii="仿宋" w:hAnsi="仿宋" w:eastAsia="仿宋"/>
          <w:color w:val="auto"/>
          <w:sz w:val="32"/>
          <w:szCs w:val="32"/>
        </w:rPr>
      </w:pPr>
      <w:bookmarkStart w:id="443" w:name="_Toc8142"/>
      <w:bookmarkStart w:id="444" w:name="_Toc8795"/>
      <w:bookmarkStart w:id="445" w:name="_Toc22554"/>
      <w:bookmarkStart w:id="446" w:name="_Toc94"/>
      <w:bookmarkStart w:id="447" w:name="_Toc14379"/>
      <w:bookmarkStart w:id="448" w:name="_Toc6352"/>
      <w:bookmarkStart w:id="449" w:name="_Toc6026"/>
      <w:r>
        <w:rPr>
          <w:rFonts w:hint="eastAsia" w:ascii="仿宋" w:hAnsi="仿宋" w:eastAsia="仿宋"/>
          <w:color w:val="auto"/>
          <w:sz w:val="32"/>
          <w:szCs w:val="32"/>
        </w:rPr>
        <w:t>（四）重大集体上访事件和突发性群体事件；</w:t>
      </w:r>
      <w:r>
        <w:rPr>
          <w:rFonts w:hint="eastAsia" w:ascii="仿宋" w:eastAsia="仿宋"/>
          <w:color w:val="auto"/>
          <w:sz w:val="32"/>
          <w:szCs w:val="32"/>
        </w:rPr>
        <w:t> </w:t>
      </w:r>
      <w:bookmarkEnd w:id="443"/>
      <w:bookmarkEnd w:id="444"/>
      <w:bookmarkEnd w:id="445"/>
      <w:bookmarkEnd w:id="446"/>
      <w:bookmarkEnd w:id="447"/>
      <w:bookmarkEnd w:id="448"/>
      <w:bookmarkEnd w:id="449"/>
    </w:p>
    <w:p>
      <w:pPr>
        <w:ind w:firstLine="640" w:firstLineChars="200"/>
        <w:outlineLvl w:val="0"/>
        <w:rPr>
          <w:rFonts w:hint="eastAsia" w:ascii="仿宋" w:hAnsi="仿宋" w:eastAsia="仿宋"/>
          <w:color w:val="auto"/>
          <w:sz w:val="32"/>
          <w:szCs w:val="32"/>
        </w:rPr>
      </w:pPr>
      <w:bookmarkStart w:id="450" w:name="_Toc10895"/>
      <w:bookmarkStart w:id="451" w:name="_Toc18653"/>
      <w:bookmarkStart w:id="452" w:name="_Toc19556"/>
      <w:bookmarkStart w:id="453" w:name="_Toc4349"/>
      <w:bookmarkStart w:id="454" w:name="_Toc3350"/>
      <w:bookmarkStart w:id="455" w:name="_Toc21332"/>
      <w:bookmarkStart w:id="456" w:name="_Toc28342"/>
      <w:r>
        <w:rPr>
          <w:rFonts w:hint="eastAsia" w:ascii="仿宋" w:hAnsi="仿宋" w:eastAsia="仿宋"/>
          <w:color w:val="auto"/>
          <w:sz w:val="32"/>
          <w:szCs w:val="32"/>
        </w:rPr>
        <w:t>（五）3次以上重复来访来信和5人以上的联名信；同一天内有3人以上反映同一问题的来访来电来邮件，或者3天内5人以上反映同一问题的来访来电来邮件；</w:t>
      </w:r>
      <w:r>
        <w:rPr>
          <w:rFonts w:hint="eastAsia" w:ascii="仿宋" w:eastAsia="仿宋"/>
          <w:color w:val="auto"/>
          <w:sz w:val="32"/>
          <w:szCs w:val="32"/>
        </w:rPr>
        <w:t> </w:t>
      </w:r>
      <w:bookmarkEnd w:id="450"/>
      <w:bookmarkEnd w:id="451"/>
      <w:bookmarkEnd w:id="452"/>
      <w:bookmarkEnd w:id="453"/>
      <w:bookmarkEnd w:id="454"/>
      <w:bookmarkEnd w:id="455"/>
      <w:bookmarkEnd w:id="456"/>
    </w:p>
    <w:p>
      <w:pPr>
        <w:ind w:firstLine="640" w:firstLineChars="200"/>
        <w:outlineLvl w:val="0"/>
        <w:rPr>
          <w:rFonts w:hint="eastAsia" w:ascii="仿宋" w:hAnsi="仿宋" w:eastAsia="仿宋"/>
          <w:color w:val="auto"/>
          <w:sz w:val="32"/>
          <w:szCs w:val="32"/>
        </w:rPr>
      </w:pPr>
      <w:bookmarkStart w:id="457" w:name="_Toc7878"/>
      <w:bookmarkStart w:id="458" w:name="_Toc28046"/>
      <w:bookmarkStart w:id="459" w:name="_Toc18906"/>
      <w:bookmarkStart w:id="460" w:name="_Toc4109"/>
      <w:bookmarkStart w:id="461" w:name="_Toc16817"/>
      <w:bookmarkStart w:id="462" w:name="_Toc27508"/>
      <w:bookmarkStart w:id="463" w:name="_Toc20346"/>
      <w:r>
        <w:rPr>
          <w:rFonts w:hint="eastAsia" w:ascii="仿宋" w:hAnsi="仿宋" w:eastAsia="仿宋"/>
          <w:color w:val="auto"/>
          <w:sz w:val="32"/>
          <w:szCs w:val="32"/>
        </w:rPr>
        <w:t>（六）其他应予立案督查督办处理的信访案件。</w:t>
      </w:r>
      <w:bookmarkEnd w:id="457"/>
      <w:bookmarkEnd w:id="458"/>
      <w:bookmarkEnd w:id="459"/>
      <w:bookmarkEnd w:id="460"/>
      <w:bookmarkEnd w:id="461"/>
      <w:bookmarkEnd w:id="462"/>
      <w:bookmarkEnd w:id="463"/>
    </w:p>
    <w:p>
      <w:pPr>
        <w:ind w:firstLine="640" w:firstLineChars="200"/>
        <w:outlineLvl w:val="0"/>
        <w:rPr>
          <w:rFonts w:hint="eastAsia" w:ascii="黑体" w:hAnsi="黑体" w:eastAsia="黑体"/>
          <w:color w:val="auto"/>
          <w:sz w:val="32"/>
          <w:szCs w:val="32"/>
        </w:rPr>
      </w:pPr>
      <w:bookmarkStart w:id="464" w:name="_Toc21529"/>
      <w:bookmarkStart w:id="465" w:name="_Toc3113"/>
      <w:bookmarkStart w:id="466" w:name="_Toc19433"/>
      <w:bookmarkStart w:id="467" w:name="_Toc321"/>
      <w:bookmarkStart w:id="468" w:name="_Toc11729"/>
      <w:bookmarkStart w:id="469" w:name="_Toc8893"/>
      <w:bookmarkStart w:id="470" w:name="_Toc8602"/>
      <w:r>
        <w:rPr>
          <w:rFonts w:hint="eastAsia" w:ascii="黑体" w:eastAsia="黑体"/>
          <w:color w:val="auto"/>
          <w:sz w:val="32"/>
          <w:szCs w:val="32"/>
        </w:rPr>
        <w:t> </w:t>
      </w:r>
      <w:r>
        <w:rPr>
          <w:rFonts w:hint="eastAsia" w:ascii="黑体" w:hAnsi="黑体" w:eastAsia="黑体"/>
          <w:color w:val="auto"/>
          <w:sz w:val="32"/>
          <w:szCs w:val="32"/>
        </w:rPr>
        <w:t>三、主要职责</w:t>
      </w:r>
      <w:r>
        <w:rPr>
          <w:rFonts w:hint="eastAsia" w:ascii="黑体" w:eastAsia="黑体"/>
          <w:color w:val="auto"/>
          <w:sz w:val="32"/>
          <w:szCs w:val="32"/>
        </w:rPr>
        <w:t> </w:t>
      </w:r>
      <w:bookmarkEnd w:id="464"/>
      <w:bookmarkEnd w:id="465"/>
      <w:bookmarkEnd w:id="466"/>
      <w:bookmarkEnd w:id="467"/>
      <w:bookmarkEnd w:id="468"/>
      <w:bookmarkEnd w:id="469"/>
      <w:bookmarkEnd w:id="470"/>
    </w:p>
    <w:p>
      <w:pPr>
        <w:ind w:firstLine="640" w:firstLineChars="200"/>
        <w:outlineLvl w:val="0"/>
        <w:rPr>
          <w:rFonts w:hint="eastAsia" w:ascii="仿宋" w:hAnsi="仿宋" w:eastAsia="仿宋"/>
          <w:color w:val="auto"/>
          <w:sz w:val="32"/>
          <w:szCs w:val="32"/>
        </w:rPr>
      </w:pPr>
      <w:bookmarkStart w:id="471" w:name="_Toc12033"/>
      <w:bookmarkStart w:id="472" w:name="_Toc12868"/>
      <w:bookmarkStart w:id="473" w:name="_Toc7913"/>
      <w:bookmarkStart w:id="474" w:name="_Toc25241"/>
      <w:bookmarkStart w:id="475" w:name="_Toc19620"/>
      <w:bookmarkStart w:id="476" w:name="_Toc26552"/>
      <w:bookmarkStart w:id="477" w:name="_Toc3532"/>
      <w:r>
        <w:rPr>
          <w:rFonts w:hint="eastAsia" w:ascii="仿宋" w:hAnsi="仿宋" w:eastAsia="仿宋"/>
          <w:color w:val="auto"/>
          <w:sz w:val="32"/>
          <w:szCs w:val="32"/>
        </w:rPr>
        <w:t>（一）检查反馈。由新区信访办负责对办理信访案件的措施、进度、效果进行跟踪检查，并向市委、市政府领导及市直相关部门报告。</w:t>
      </w:r>
      <w:r>
        <w:rPr>
          <w:rFonts w:hint="eastAsia" w:ascii="仿宋" w:eastAsia="仿宋"/>
          <w:color w:val="auto"/>
          <w:sz w:val="32"/>
          <w:szCs w:val="32"/>
        </w:rPr>
        <w:t> </w:t>
      </w:r>
      <w:bookmarkEnd w:id="471"/>
      <w:bookmarkEnd w:id="472"/>
      <w:bookmarkEnd w:id="473"/>
      <w:bookmarkEnd w:id="474"/>
      <w:bookmarkEnd w:id="475"/>
      <w:bookmarkEnd w:id="476"/>
      <w:bookmarkEnd w:id="477"/>
    </w:p>
    <w:p>
      <w:pPr>
        <w:ind w:firstLine="640" w:firstLineChars="200"/>
        <w:outlineLvl w:val="0"/>
        <w:rPr>
          <w:rFonts w:hint="eastAsia" w:ascii="仿宋" w:hAnsi="仿宋" w:eastAsia="仿宋"/>
          <w:color w:val="auto"/>
          <w:sz w:val="32"/>
          <w:szCs w:val="32"/>
        </w:rPr>
      </w:pPr>
      <w:bookmarkStart w:id="478" w:name="_Toc22186"/>
      <w:bookmarkStart w:id="479" w:name="_Toc2931"/>
      <w:bookmarkStart w:id="480" w:name="_Toc24406"/>
      <w:bookmarkStart w:id="481" w:name="_Toc14080"/>
      <w:bookmarkStart w:id="482" w:name="_Toc10108"/>
      <w:bookmarkStart w:id="483" w:name="_Toc31961"/>
      <w:bookmarkStart w:id="484" w:name="_Toc8535"/>
      <w:r>
        <w:rPr>
          <w:rFonts w:hint="eastAsia" w:ascii="仿宋" w:hAnsi="仿宋" w:eastAsia="仿宋"/>
          <w:color w:val="auto"/>
          <w:sz w:val="32"/>
          <w:szCs w:val="32"/>
        </w:rPr>
        <w:t>（二）落实协调。由信访办及时处理信访案件，对涉及多个部门的信访案件，会同有关部门理顺关系，协调和推进案件的处理。</w:t>
      </w:r>
      <w:r>
        <w:rPr>
          <w:rFonts w:hint="eastAsia" w:ascii="仿宋" w:eastAsia="仿宋"/>
          <w:color w:val="auto"/>
          <w:sz w:val="32"/>
          <w:szCs w:val="32"/>
        </w:rPr>
        <w:t> </w:t>
      </w:r>
      <w:bookmarkEnd w:id="478"/>
      <w:bookmarkEnd w:id="479"/>
      <w:bookmarkEnd w:id="480"/>
      <w:bookmarkEnd w:id="481"/>
      <w:bookmarkEnd w:id="482"/>
      <w:bookmarkEnd w:id="483"/>
      <w:bookmarkEnd w:id="484"/>
    </w:p>
    <w:p>
      <w:pPr>
        <w:ind w:firstLine="640" w:firstLineChars="200"/>
        <w:outlineLvl w:val="0"/>
        <w:rPr>
          <w:rFonts w:hint="eastAsia" w:ascii="黑体" w:hAnsi="黑体" w:eastAsia="黑体"/>
          <w:color w:val="auto"/>
          <w:sz w:val="32"/>
          <w:szCs w:val="32"/>
        </w:rPr>
      </w:pPr>
      <w:bookmarkStart w:id="485" w:name="_Toc27492"/>
      <w:bookmarkStart w:id="486" w:name="_Toc10056"/>
      <w:bookmarkStart w:id="487" w:name="_Toc31092"/>
      <w:bookmarkStart w:id="488" w:name="_Toc11203"/>
      <w:bookmarkStart w:id="489" w:name="_Toc24131"/>
      <w:bookmarkStart w:id="490" w:name="_Toc27532"/>
      <w:bookmarkStart w:id="491" w:name="_Toc8614"/>
      <w:r>
        <w:rPr>
          <w:rFonts w:hint="eastAsia" w:ascii="黑体" w:hAnsi="黑体" w:eastAsia="黑体"/>
          <w:color w:val="auto"/>
          <w:sz w:val="32"/>
          <w:szCs w:val="32"/>
        </w:rPr>
        <w:t>四、信访事项的办理流程</w:t>
      </w:r>
      <w:bookmarkEnd w:id="485"/>
      <w:bookmarkEnd w:id="486"/>
      <w:bookmarkEnd w:id="487"/>
      <w:bookmarkEnd w:id="488"/>
      <w:bookmarkEnd w:id="489"/>
      <w:bookmarkEnd w:id="490"/>
      <w:bookmarkEnd w:id="491"/>
    </w:p>
    <w:p>
      <w:pPr>
        <w:rPr>
          <w:rFonts w:hint="eastAsia" w:ascii="楷体" w:hAnsi="楷体" w:eastAsia="楷体"/>
          <w:color w:val="auto"/>
          <w:sz w:val="32"/>
          <w:szCs w:val="32"/>
        </w:rPr>
      </w:pPr>
      <w:r>
        <w:rPr>
          <w:rFonts w:hint="eastAsia" w:ascii="仿宋" w:eastAsia="仿宋"/>
          <w:color w:val="auto"/>
        </w:rPr>
        <w:t xml:space="preserve">     </w:t>
      </w:r>
      <w:r>
        <w:rPr>
          <w:rFonts w:hint="eastAsia" w:ascii="楷体" w:hAnsi="楷体" w:eastAsia="楷体"/>
          <w:color w:val="auto"/>
          <w:sz w:val="32"/>
          <w:szCs w:val="32"/>
        </w:rPr>
        <w:t>（一）首接信访事项</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1、对群众来信、来电、来访、上级部门转来的信访件及领导批示信访件等，统一由信访办公室指定专人第一时间受理、登记，并根据案件性质，依法予以办理、转办、督办。</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2、对人民群众来访，应热情接待，耐心询问，认真作好记录，并请来访人阅看记录确认后签名，对来访问题能当面答复的要当面答复，不能当面答复的应在规定时间内答复。</w:t>
      </w:r>
    </w:p>
    <w:p>
      <w:pPr>
        <w:ind w:firstLine="640" w:firstLineChars="200"/>
        <w:rPr>
          <w:rFonts w:ascii="仿宋" w:hAnsi="仿宋" w:eastAsia="仿宋"/>
          <w:color w:val="auto"/>
          <w:sz w:val="32"/>
          <w:szCs w:val="32"/>
        </w:rPr>
      </w:pPr>
      <w:r>
        <w:rPr>
          <w:rFonts w:hint="eastAsia" w:ascii="仿宋" w:hAnsi="仿宋" w:eastAsia="仿宋"/>
          <w:color w:val="auto"/>
          <w:sz w:val="32"/>
          <w:szCs w:val="32"/>
        </w:rPr>
        <w:t>3、在接待来访信访人时，如遇重大、紧急信访事项，或办公室无法对上访人做出解释、信访人反映强烈的，应妥善控制好现场，并及时通知相关部门派员接待处理，有关单位应积极配合。</w:t>
      </w:r>
    </w:p>
    <w:p>
      <w:pPr>
        <w:ind w:firstLine="640" w:firstLineChars="200"/>
        <w:rPr>
          <w:rFonts w:hint="eastAsia" w:ascii="仿宋" w:hAnsi="仿宋" w:eastAsia="仿宋"/>
          <w:color w:val="auto"/>
          <w:sz w:val="32"/>
          <w:szCs w:val="32"/>
        </w:rPr>
      </w:pPr>
      <w:r>
        <w:rPr>
          <w:rFonts w:hint="eastAsia" w:ascii="楷体" w:hAnsi="楷体" w:eastAsia="楷体"/>
          <w:color w:val="auto"/>
          <w:sz w:val="32"/>
          <w:szCs w:val="32"/>
        </w:rPr>
        <w:t>（二）分类办理信访事项</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1、按照“谁主管、谁办理”的分类办理原则，对新区信访办受理的信访案件，由办公室主任直接签批给相关部门或直属单位办理。</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2、信访事项涉及刑事案件、行政执法业务、案件定性处理不公、执法过错案件认定以及不作为、乱作为等违法违纪的，交由相关部门办理；涉及多个部门的，由信访办协调相关部门办理。</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3、信访办在办理信访事项时，要按照有关规定开展信访调查，做出处理意见，并拟出给信访人的答复意见书，及时答复信访人。</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4、针对农民工上访事项，新区采取</w:t>
      </w:r>
      <w:r>
        <w:rPr>
          <w:rFonts w:hint="eastAsia" w:ascii="仿宋" w:hAnsi="仿宋" w:eastAsia="仿宋"/>
          <w:color w:val="auto"/>
          <w:sz w:val="32"/>
          <w:szCs w:val="32"/>
          <w:lang w:eastAsia="zh-CN"/>
        </w:rPr>
        <w:t>缴纳</w:t>
      </w:r>
      <w:r>
        <w:rPr>
          <w:rFonts w:hint="eastAsia" w:ascii="仿宋" w:hAnsi="仿宋" w:eastAsia="仿宋"/>
          <w:color w:val="auto"/>
          <w:sz w:val="32"/>
          <w:szCs w:val="32"/>
        </w:rPr>
        <w:t>农民工保障金</w:t>
      </w:r>
      <w:r>
        <w:rPr>
          <w:rFonts w:hint="eastAsia" w:ascii="仿宋" w:hAnsi="仿宋" w:eastAsia="仿宋"/>
          <w:color w:val="auto"/>
          <w:sz w:val="32"/>
          <w:szCs w:val="32"/>
          <w:lang w:eastAsia="zh-CN"/>
        </w:rPr>
        <w:t>的方式</w:t>
      </w:r>
      <w:r>
        <w:rPr>
          <w:rFonts w:hint="eastAsia" w:ascii="仿宋" w:hAnsi="仿宋" w:eastAsia="仿宋"/>
          <w:color w:val="auto"/>
          <w:sz w:val="32"/>
          <w:szCs w:val="32"/>
        </w:rPr>
        <w:t>。凡是新区域内的工程项目，必须缴纳农民工保障金，并提供项目风险评估报告，同时指定一名项目责任人。</w:t>
      </w:r>
    </w:p>
    <w:p>
      <w:pPr>
        <w:ind w:firstLine="640" w:firstLineChars="200"/>
        <w:rPr>
          <w:rFonts w:hint="eastAsia" w:ascii="仿宋" w:hAnsi="仿宋" w:eastAsia="仿宋"/>
          <w:color w:val="auto"/>
          <w:sz w:val="32"/>
          <w:szCs w:val="32"/>
        </w:rPr>
      </w:pPr>
      <w:r>
        <w:rPr>
          <w:rFonts w:hint="eastAsia" w:ascii="楷体" w:hAnsi="楷体" w:eastAsia="楷体"/>
          <w:color w:val="auto"/>
          <w:sz w:val="32"/>
          <w:szCs w:val="32"/>
        </w:rPr>
        <w:t>（三）督办信访事项</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1、信访承办人员在办理信访件时，应做到件件有着落，事事有结果；一般信访件一个月内办理完毕，重大信访件不得超过三个月，信访件办理完毕，要及时报送处理结果，实现案结事了、停访息诉；对不能及时办理的，应书面说明情况。</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2、对上级领导批交办的重大信访件，应指定人员办理。</w:t>
      </w:r>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3、对不属本部门职责范围内处理解决的信访件，应做好解释工作，根据“谁主管，谁负责”的原则，与有关部门联系，移送有关材料，由有关部门办理。</w:t>
      </w:r>
      <w:bookmarkStart w:id="537" w:name="_GoBack"/>
      <w:bookmarkEnd w:id="537"/>
    </w:p>
    <w:p>
      <w:pPr>
        <w:ind w:firstLine="640" w:firstLineChars="200"/>
        <w:outlineLvl w:val="0"/>
        <w:rPr>
          <w:rFonts w:hint="eastAsia" w:ascii="黑体" w:hAnsi="黑体" w:eastAsia="黑体"/>
          <w:color w:val="auto"/>
          <w:sz w:val="32"/>
          <w:szCs w:val="32"/>
        </w:rPr>
      </w:pPr>
      <w:bookmarkStart w:id="492" w:name="_Toc3678"/>
      <w:bookmarkStart w:id="493" w:name="_Toc25389"/>
      <w:bookmarkStart w:id="494" w:name="_Toc20904"/>
      <w:bookmarkStart w:id="495" w:name="_Toc29729"/>
      <w:bookmarkStart w:id="496" w:name="_Toc14629"/>
      <w:bookmarkStart w:id="497" w:name="_Toc674"/>
      <w:bookmarkStart w:id="498" w:name="_Toc10374"/>
      <w:r>
        <w:rPr>
          <w:rFonts w:hint="eastAsia" w:ascii="黑体" w:hAnsi="黑体" w:eastAsia="黑体"/>
          <w:color w:val="auto"/>
          <w:sz w:val="32"/>
          <w:szCs w:val="32"/>
        </w:rPr>
        <w:t>五、建立协作机制</w:t>
      </w:r>
      <w:r>
        <w:rPr>
          <w:rFonts w:hint="eastAsia" w:ascii="黑体" w:eastAsia="黑体"/>
          <w:color w:val="auto"/>
          <w:sz w:val="32"/>
          <w:szCs w:val="32"/>
        </w:rPr>
        <w:t> </w:t>
      </w:r>
      <w:bookmarkEnd w:id="492"/>
      <w:bookmarkEnd w:id="493"/>
      <w:bookmarkEnd w:id="494"/>
      <w:bookmarkEnd w:id="495"/>
      <w:bookmarkEnd w:id="496"/>
      <w:bookmarkEnd w:id="497"/>
      <w:bookmarkEnd w:id="498"/>
    </w:p>
    <w:p>
      <w:pPr>
        <w:ind w:firstLine="640" w:firstLineChars="200"/>
        <w:rPr>
          <w:rFonts w:hint="eastAsia" w:ascii="仿宋" w:hAnsi="仿宋" w:eastAsia="仿宋"/>
          <w:color w:val="auto"/>
          <w:sz w:val="32"/>
          <w:szCs w:val="32"/>
          <w:lang w:val="en"/>
        </w:rPr>
      </w:pPr>
      <w:r>
        <w:rPr>
          <w:rFonts w:hint="eastAsia" w:ascii="仿宋" w:hAnsi="仿宋" w:eastAsia="仿宋"/>
          <w:color w:val="auto"/>
          <w:sz w:val="32"/>
          <w:szCs w:val="32"/>
          <w:lang w:val="en"/>
        </w:rPr>
        <w:t>信访办应指定专人负责本系统信访对接、办理工作，各部门应指定一名信访联络员，负责组织、安排、协调、督促办理信访事项相关工作，整理、汇总有关资料，定期互通信息。同时认真分析办理的信访事项，提出工作建议。对信访反映的重大或复杂疑难信访事项，可报请新区信访分管领导同意后，召集信访相关业务骨干，共同研究、提出办理建议。信访联络员要主动与有关部门沟通、配合，做好工作衔接，及时办理群众反映的信访事项，同时做好跟踪回访和息访息诉工作。</w:t>
      </w:r>
    </w:p>
    <w:p>
      <w:pPr>
        <w:ind w:firstLine="640" w:firstLineChars="200"/>
        <w:outlineLvl w:val="0"/>
        <w:rPr>
          <w:rFonts w:ascii="黑体" w:hAnsi="黑体" w:eastAsia="黑体"/>
          <w:color w:val="auto"/>
          <w:sz w:val="32"/>
          <w:szCs w:val="32"/>
        </w:rPr>
      </w:pPr>
      <w:bookmarkStart w:id="499" w:name="_Toc30835"/>
      <w:bookmarkStart w:id="500" w:name="_Toc3388"/>
      <w:bookmarkStart w:id="501" w:name="_Toc5450"/>
      <w:bookmarkStart w:id="502" w:name="_Toc14679"/>
      <w:bookmarkStart w:id="503" w:name="_Toc7594"/>
      <w:bookmarkStart w:id="504" w:name="_Toc21966"/>
      <w:r>
        <w:rPr>
          <w:rFonts w:hint="eastAsia" w:ascii="黑体" w:hAnsi="黑体" w:eastAsia="黑体"/>
          <w:color w:val="auto"/>
          <w:sz w:val="32"/>
          <w:szCs w:val="32"/>
        </w:rPr>
        <w:t>六、规范信访卷宗</w:t>
      </w:r>
      <w:bookmarkEnd w:id="499"/>
      <w:bookmarkEnd w:id="500"/>
      <w:bookmarkEnd w:id="501"/>
      <w:bookmarkEnd w:id="502"/>
      <w:bookmarkEnd w:id="503"/>
      <w:bookmarkEnd w:id="504"/>
    </w:p>
    <w:p>
      <w:pPr>
        <w:ind w:firstLine="640" w:firstLineChars="200"/>
        <w:rPr>
          <w:rFonts w:hint="eastAsia" w:ascii="仿宋" w:hAnsi="仿宋" w:eastAsia="仿宋"/>
          <w:color w:val="auto"/>
          <w:sz w:val="32"/>
          <w:szCs w:val="32"/>
        </w:rPr>
      </w:pPr>
      <w:r>
        <w:rPr>
          <w:rFonts w:hint="eastAsia" w:ascii="仿宋" w:hAnsi="仿宋" w:eastAsia="仿宋"/>
          <w:color w:val="auto"/>
          <w:sz w:val="32"/>
          <w:szCs w:val="32"/>
        </w:rPr>
        <w:t>在办理信访案件时，要按照信访事项办理程序规定，规范信访工作流程，诉求件、领导批示件、信访告知单、答复意见书及相关证明等卷宗材料应存档保存。</w:t>
      </w:r>
    </w:p>
    <w:p>
      <w:pPr>
        <w:ind w:firstLine="640" w:firstLineChars="200"/>
        <w:rPr>
          <w:rFonts w:hint="eastAsia" w:ascii="仿宋" w:hAnsi="仿宋"/>
          <w:color w:val="auto"/>
          <w:sz w:val="32"/>
          <w:szCs w:val="32"/>
          <w:lang w:eastAsia="zh-CN"/>
        </w:rPr>
      </w:pPr>
      <w:r>
        <w:rPr>
          <w:rFonts w:hint="eastAsia" w:ascii="仿宋" w:hAnsi="仿宋" w:eastAsia="仿宋"/>
          <w:color w:val="auto"/>
          <w:sz w:val="32"/>
          <w:szCs w:val="32"/>
        </w:rPr>
        <w:t>本制度自发布之日起实施</w:t>
      </w:r>
      <w:r>
        <w:rPr>
          <w:rFonts w:hint="eastAsia" w:ascii="仿宋" w:hAnsi="仿宋"/>
          <w:color w:val="auto"/>
          <w:sz w:val="32"/>
          <w:szCs w:val="32"/>
          <w:lang w:eastAsia="zh-CN"/>
        </w:rPr>
        <w:t>。</w:t>
      </w: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ind w:firstLine="640" w:firstLineChars="200"/>
        <w:rPr>
          <w:rFonts w:hint="eastAsia" w:ascii="仿宋" w:hAnsi="仿宋"/>
          <w:color w:val="auto"/>
          <w:sz w:val="32"/>
          <w:szCs w:val="32"/>
          <w:lang w:eastAsia="zh-CN"/>
        </w:rPr>
      </w:pPr>
    </w:p>
    <w:p>
      <w:pPr>
        <w:pStyle w:val="2"/>
        <w:bidi w:val="0"/>
        <w:rPr>
          <w:rFonts w:hint="eastAsia" w:ascii="仿宋" w:hAnsi="仿宋"/>
          <w:color w:val="auto"/>
          <w:sz w:val="32"/>
          <w:szCs w:val="32"/>
          <w:lang w:eastAsia="zh-CN"/>
        </w:rPr>
      </w:pPr>
      <w:bookmarkStart w:id="505" w:name="_Toc8376"/>
      <w:r>
        <w:rPr>
          <w:rFonts w:hint="eastAsia" w:ascii="仿宋" w:hAnsi="仿宋"/>
          <w:color w:val="auto"/>
          <w:sz w:val="32"/>
          <w:szCs w:val="32"/>
          <w:lang w:eastAsia="zh-CN"/>
        </w:rPr>
        <w:drawing>
          <wp:inline distT="0" distB="0" distL="114300" distR="114300">
            <wp:extent cx="5270500" cy="7905750"/>
            <wp:effectExtent l="0" t="0" r="6350" b="0"/>
            <wp:docPr id="108" name="图片 108" descr="信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信访"/>
                    <pic:cNvPicPr>
                      <a:picLocks noChangeAspect="1"/>
                    </pic:cNvPicPr>
                  </pic:nvPicPr>
                  <pic:blipFill>
                    <a:blip r:embed="rId20"/>
                    <a:stretch>
                      <a:fillRect/>
                    </a:stretch>
                  </pic:blipFill>
                  <pic:spPr>
                    <a:xfrm>
                      <a:off x="0" y="0"/>
                      <a:ext cx="5270500" cy="7905750"/>
                    </a:xfrm>
                    <a:prstGeom prst="rect">
                      <a:avLst/>
                    </a:prstGeom>
                  </pic:spPr>
                </pic:pic>
              </a:graphicData>
            </a:graphic>
          </wp:inline>
        </w:drawing>
      </w:r>
      <w:bookmarkEnd w:id="505"/>
    </w:p>
    <w:p>
      <w:pPr>
        <w:pStyle w:val="2"/>
        <w:bidi w:val="0"/>
        <w:rPr>
          <w:rFonts w:hint="eastAsia" w:ascii="仿宋" w:hAnsi="仿宋"/>
          <w:color w:val="auto"/>
          <w:sz w:val="32"/>
          <w:szCs w:val="32"/>
          <w:lang w:eastAsia="zh-CN"/>
        </w:rPr>
      </w:pPr>
    </w:p>
    <w:p>
      <w:pPr>
        <w:pStyle w:val="2"/>
        <w:bidi w:val="0"/>
        <w:rPr>
          <w:rFonts w:hint="eastAsia"/>
          <w:color w:val="auto"/>
          <w:lang w:eastAsia="zh-CN"/>
        </w:rPr>
      </w:pPr>
      <w:bookmarkStart w:id="506" w:name="_Toc22101"/>
      <w:r>
        <w:rPr>
          <w:rFonts w:hint="eastAsia"/>
          <w:color w:val="auto"/>
          <w:lang w:val="en-US" w:eastAsia="zh-CN"/>
        </w:rPr>
        <w:t>21、</w:t>
      </w:r>
      <w:r>
        <w:rPr>
          <w:rFonts w:hint="eastAsia"/>
          <w:color w:val="auto"/>
          <w:lang w:eastAsia="zh-CN"/>
        </w:rPr>
        <w:t>后勤管理制度</w:t>
      </w:r>
      <w:bookmarkEnd w:id="506"/>
    </w:p>
    <w:p>
      <w:pPr>
        <w:adjustRightInd w:val="0"/>
        <w:ind w:firstLine="640" w:firstLineChars="200"/>
        <w:outlineLvl w:val="0"/>
        <w:rPr>
          <w:rFonts w:hint="eastAsia" w:ascii="黑体" w:hAnsi="黑体" w:eastAsia="黑体" w:cs="黑体"/>
          <w:b w:val="0"/>
          <w:bCs/>
          <w:color w:val="auto"/>
          <w:sz w:val="32"/>
          <w:szCs w:val="32"/>
        </w:rPr>
      </w:pPr>
      <w:bookmarkStart w:id="507" w:name="_Toc14349"/>
      <w:bookmarkStart w:id="508" w:name="_Toc23839"/>
      <w:bookmarkStart w:id="509" w:name="_Toc11370"/>
      <w:bookmarkStart w:id="510" w:name="_Toc26822"/>
      <w:r>
        <w:rPr>
          <w:rFonts w:hint="eastAsia" w:ascii="黑体" w:hAnsi="黑体" w:eastAsia="黑体" w:cs="黑体"/>
          <w:b w:val="0"/>
          <w:bCs/>
          <w:color w:val="auto"/>
          <w:sz w:val="32"/>
          <w:szCs w:val="32"/>
          <w:lang w:eastAsia="zh-CN"/>
        </w:rPr>
        <w:t>一、</w:t>
      </w:r>
      <w:r>
        <w:rPr>
          <w:rFonts w:hint="eastAsia" w:ascii="黑体" w:hAnsi="黑体" w:eastAsia="黑体" w:cs="黑体"/>
          <w:b w:val="0"/>
          <w:bCs/>
          <w:color w:val="auto"/>
          <w:sz w:val="32"/>
          <w:szCs w:val="32"/>
        </w:rPr>
        <w:t>新区食堂就餐管理</w:t>
      </w:r>
      <w:bookmarkEnd w:id="507"/>
      <w:bookmarkEnd w:id="508"/>
      <w:bookmarkEnd w:id="509"/>
      <w:bookmarkEnd w:id="510"/>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1、严格遵守就餐时间，按时开饭。就餐职工和食堂职工双方应相互尊重，自觉遵守用餐规定，保持良好秩序，不得大声喧哗，禁止在食堂内吸烟。</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2、职工打饭、打菜必须排队，自觉接受食堂工作人员的管理；不准插队，严格禁止一人打两份或多份；严格禁止替他人打饭、打菜，不在餐厅就餐。</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3、食堂仅允许本单位职工用餐，不允许外来人员用餐，如有特殊情况，需在常规用餐起始时间的90分钟前告知食堂。</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4、就餐职工需每人每月</w:t>
      </w:r>
      <w:r>
        <w:rPr>
          <w:rFonts w:hint="eastAsia" w:ascii="仿宋" w:hAnsi="仿宋" w:cs="仿宋"/>
          <w:color w:val="auto"/>
          <w:sz w:val="32"/>
          <w:szCs w:val="32"/>
          <w:lang w:eastAsia="zh-CN"/>
        </w:rPr>
        <w:t>按要求</w:t>
      </w:r>
      <w:r>
        <w:rPr>
          <w:rFonts w:hint="eastAsia" w:ascii="仿宋" w:hAnsi="仿宋" w:eastAsia="仿宋" w:cs="仿宋"/>
          <w:color w:val="auto"/>
          <w:sz w:val="32"/>
          <w:szCs w:val="32"/>
        </w:rPr>
        <w:t>缴纳伙食费。非食堂工作人员不可进入厨房，在非用餐时间内不可进入餐厅。</w:t>
      </w:r>
    </w:p>
    <w:p>
      <w:pPr>
        <w:adjustRightInd w:val="0"/>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5、食堂不允许打包任何食品。用餐时需遵行勤拿少取、避免浪费的原则。用餐时请注意保持卫生，用餐后自行将餐具放到指定位置，方便工作人员清洗。</w:t>
      </w:r>
    </w:p>
    <w:p>
      <w:pPr>
        <w:adjustRightInd w:val="0"/>
        <w:ind w:firstLine="640" w:firstLineChars="200"/>
        <w:outlineLvl w:val="0"/>
        <w:rPr>
          <w:rFonts w:hint="eastAsia" w:ascii="黑体" w:eastAsia="黑体"/>
          <w:color w:val="auto"/>
          <w:sz w:val="32"/>
          <w:szCs w:val="32"/>
        </w:rPr>
      </w:pPr>
      <w:bookmarkStart w:id="511" w:name="_Toc20843"/>
      <w:bookmarkStart w:id="512" w:name="_Toc15553"/>
      <w:bookmarkStart w:id="513" w:name="_Toc29251"/>
      <w:bookmarkStart w:id="514" w:name="_Toc3747"/>
      <w:bookmarkStart w:id="515" w:name="_Toc20948"/>
      <w:r>
        <w:rPr>
          <w:rFonts w:hint="eastAsia" w:ascii="黑体" w:eastAsia="黑体"/>
          <w:color w:val="auto"/>
          <w:sz w:val="32"/>
          <w:szCs w:val="32"/>
          <w:lang w:eastAsia="zh-CN"/>
        </w:rPr>
        <w:t>二</w:t>
      </w:r>
      <w:r>
        <w:rPr>
          <w:rFonts w:hint="eastAsia" w:ascii="黑体" w:eastAsia="黑体"/>
          <w:color w:val="auto"/>
          <w:sz w:val="32"/>
          <w:szCs w:val="32"/>
        </w:rPr>
        <w:t>、物业服务监管</w:t>
      </w:r>
      <w:bookmarkEnd w:id="511"/>
      <w:bookmarkEnd w:id="512"/>
      <w:bookmarkEnd w:id="513"/>
      <w:bookmarkEnd w:id="514"/>
      <w:bookmarkEnd w:id="515"/>
    </w:p>
    <w:p>
      <w:pPr>
        <w:spacing w:line="220" w:lineRule="atLeast"/>
        <w:ind w:firstLine="643" w:firstLineChars="200"/>
        <w:rPr>
          <w:rFonts w:hint="eastAsia" w:ascii="楷体" w:hAnsi="楷体" w:eastAsia="楷体" w:cs="楷体"/>
          <w:b/>
          <w:color w:val="auto"/>
          <w:sz w:val="32"/>
          <w:szCs w:val="32"/>
        </w:rPr>
      </w:pPr>
      <w:r>
        <w:rPr>
          <w:rFonts w:hint="eastAsia" w:ascii="楷体" w:hAnsi="楷体" w:eastAsia="楷体" w:cs="楷体"/>
          <w:b/>
          <w:color w:val="auto"/>
          <w:sz w:val="32"/>
          <w:szCs w:val="32"/>
        </w:rPr>
        <w:t>（一）监管部门</w:t>
      </w:r>
    </w:p>
    <w:p>
      <w:pPr>
        <w:spacing w:line="220" w:lineRule="atLeast"/>
        <w:ind w:firstLine="640" w:firstLineChars="200"/>
        <w:rPr>
          <w:rFonts w:hint="eastAsia" w:ascii="仿宋" w:hAnsi="仿宋" w:eastAsia="仿宋" w:cs="仿宋"/>
          <w:b/>
          <w:color w:val="auto"/>
          <w:sz w:val="32"/>
          <w:szCs w:val="32"/>
        </w:rPr>
      </w:pPr>
      <w:r>
        <w:rPr>
          <w:rFonts w:hint="eastAsia" w:ascii="仿宋" w:hAnsi="仿宋" w:eastAsia="仿宋" w:cs="仿宋"/>
          <w:color w:val="auto"/>
          <w:sz w:val="32"/>
          <w:szCs w:val="32"/>
        </w:rPr>
        <w:t>办公楼物业服务监管由行政办公室负责，并设置专人负责物业服务监督。</w:t>
      </w:r>
    </w:p>
    <w:p>
      <w:pPr>
        <w:spacing w:line="220" w:lineRule="atLeast"/>
        <w:ind w:firstLine="643" w:firstLineChars="200"/>
        <w:rPr>
          <w:rFonts w:hint="eastAsia" w:ascii="楷体" w:hAnsi="楷体" w:eastAsia="楷体" w:cs="楷体"/>
          <w:b/>
          <w:color w:val="auto"/>
          <w:sz w:val="32"/>
          <w:szCs w:val="32"/>
        </w:rPr>
      </w:pPr>
      <w:r>
        <w:rPr>
          <w:rFonts w:hint="eastAsia" w:ascii="楷体" w:hAnsi="楷体" w:eastAsia="楷体" w:cs="楷体"/>
          <w:b/>
          <w:color w:val="auto"/>
          <w:sz w:val="32"/>
          <w:szCs w:val="32"/>
        </w:rPr>
        <w:t>（二）监管范围</w:t>
      </w:r>
    </w:p>
    <w:p>
      <w:pPr>
        <w:spacing w:line="220" w:lineRule="atLeas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物业服务监管包括食堂、门卫、保洁、维修、客服等方面内容。</w:t>
      </w:r>
    </w:p>
    <w:p>
      <w:pPr>
        <w:spacing w:line="220" w:lineRule="atLeast"/>
        <w:ind w:firstLine="643" w:firstLineChars="200"/>
        <w:outlineLvl w:val="0"/>
        <w:rPr>
          <w:rFonts w:hint="eastAsia" w:ascii="楷体" w:hAnsi="楷体" w:eastAsia="楷体" w:cs="楷体"/>
          <w:b/>
          <w:color w:val="auto"/>
          <w:sz w:val="32"/>
          <w:szCs w:val="32"/>
        </w:rPr>
      </w:pPr>
      <w:bookmarkStart w:id="516" w:name="_Toc9920"/>
      <w:bookmarkStart w:id="517" w:name="_Toc9543"/>
      <w:bookmarkStart w:id="518" w:name="_Toc695"/>
      <w:bookmarkStart w:id="519" w:name="_Toc6317"/>
      <w:bookmarkStart w:id="520" w:name="_Toc31768"/>
      <w:bookmarkStart w:id="521" w:name="_Toc3897"/>
      <w:bookmarkStart w:id="522" w:name="_Toc13283"/>
      <w:bookmarkStart w:id="523" w:name="_Toc12027"/>
      <w:r>
        <w:rPr>
          <w:rFonts w:hint="eastAsia" w:ascii="楷体" w:hAnsi="楷体" w:eastAsia="楷体" w:cs="楷体"/>
          <w:b/>
          <w:color w:val="auto"/>
          <w:sz w:val="32"/>
          <w:szCs w:val="32"/>
        </w:rPr>
        <w:t>（三）监管要求</w:t>
      </w:r>
      <w:bookmarkEnd w:id="516"/>
      <w:bookmarkEnd w:id="517"/>
      <w:bookmarkEnd w:id="518"/>
      <w:bookmarkEnd w:id="519"/>
      <w:bookmarkEnd w:id="520"/>
      <w:bookmarkEnd w:id="521"/>
      <w:bookmarkEnd w:id="522"/>
      <w:bookmarkEnd w:id="523"/>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1、门卫管理</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（1）对于外来宾客要进入办公楼，应问明情况，请对方出示有效证件，对来宾进行登记，并与要访人员进行电话联系。</w:t>
      </w:r>
    </w:p>
    <w:p>
      <w:pPr>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严格执行单位物资管理规定，任何物资进出单位大门，均应进行检查，特殊物资需在门卫登记，未经登记的物资，门卫人员不予放行；凡单位进出货物必须经相关部门的负责人同意，核对无误后方可放行，否则，不予放行。 </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（3）禁止商贩、产品推销人员、收旧、拾荒、乞讨等人员进入办公楼。办公楼前</w:t>
      </w:r>
      <w:r>
        <w:rPr>
          <w:rFonts w:hint="eastAsia" w:ascii="仿宋" w:hAnsi="仿宋" w:cs="仿宋"/>
          <w:color w:val="auto"/>
          <w:sz w:val="32"/>
          <w:szCs w:val="32"/>
          <w:lang w:eastAsia="zh-CN"/>
        </w:rPr>
        <w:t>只能允许停放公务用车及上级检查车辆</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（4）负责办公楼防火、防盗、安全工作。每天下班后检查办公室门窗、电源等是否安全，及时锁好大门。遇有雷雨天及时关闭三楼水箱电源，以防雷电。</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（5）门卫在执勤时应坚守岗位、严格管理、文明值勤、热情服务，在执勤过程中要积极主动研判外来车辆、人员情况，对发现的问题妥善处置，并及时向物业公司负责人报告。</w:t>
      </w:r>
    </w:p>
    <w:p>
      <w:pPr>
        <w:spacing w:line="220" w:lineRule="atLeast"/>
        <w:ind w:firstLine="640" w:firstLineChars="200"/>
        <w:outlineLvl w:val="0"/>
        <w:rPr>
          <w:rFonts w:hint="eastAsia" w:ascii="仿宋" w:hAnsi="仿宋" w:eastAsia="仿宋" w:cs="仿宋"/>
          <w:color w:val="auto"/>
          <w:sz w:val="32"/>
          <w:szCs w:val="32"/>
        </w:rPr>
      </w:pPr>
      <w:bookmarkStart w:id="524" w:name="_Toc12274"/>
      <w:bookmarkStart w:id="525" w:name="_Toc14581"/>
      <w:bookmarkStart w:id="526" w:name="_Toc14850"/>
      <w:bookmarkStart w:id="527" w:name="_Toc16821"/>
      <w:bookmarkStart w:id="528" w:name="_Toc758"/>
      <w:bookmarkStart w:id="529" w:name="_Toc10250"/>
      <w:bookmarkStart w:id="530" w:name="_Toc8791"/>
      <w:bookmarkStart w:id="531" w:name="_Toc21670"/>
      <w:r>
        <w:rPr>
          <w:rFonts w:hint="eastAsia" w:ascii="仿宋" w:hAnsi="仿宋" w:eastAsia="仿宋" w:cs="仿宋"/>
          <w:color w:val="auto"/>
          <w:sz w:val="32"/>
          <w:szCs w:val="32"/>
        </w:rPr>
        <w:t>2、保洁管理</w:t>
      </w:r>
      <w:bookmarkEnd w:id="524"/>
      <w:bookmarkEnd w:id="525"/>
      <w:bookmarkEnd w:id="526"/>
      <w:bookmarkEnd w:id="527"/>
      <w:bookmarkEnd w:id="528"/>
      <w:bookmarkEnd w:id="529"/>
      <w:bookmarkEnd w:id="530"/>
      <w:bookmarkEnd w:id="531"/>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（1）保洁工作由物业公司指派专人负责管理。</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卫生清理的标准是：门窗（玻璃、窗台、窗棂）上无浮尘；地面无污物、污水、浮土；四周墙壁及其附属物、装饰品无蜘蛛网、浮尘；镜子上无浮尘、污迹，水池无茶锈、水垢；桌椅摆放端正；卫生间墙面、地面、洁具、卫具清洁干净无水垢、无杂物、无异味。</w:t>
      </w:r>
    </w:p>
    <w:p>
      <w:pPr>
        <w:adjustRightInd w:val="0"/>
        <w:ind w:firstLine="960" w:firstLineChars="300"/>
        <w:outlineLvl w:val="0"/>
        <w:rPr>
          <w:rFonts w:hint="eastAsia" w:ascii="黑体" w:eastAsia="黑体"/>
          <w:color w:val="auto"/>
          <w:sz w:val="32"/>
          <w:szCs w:val="32"/>
        </w:rPr>
      </w:pPr>
      <w:bookmarkStart w:id="532" w:name="_Toc20313"/>
      <w:bookmarkStart w:id="533" w:name="_Toc30625"/>
      <w:bookmarkStart w:id="534" w:name="_Toc12508"/>
      <w:bookmarkStart w:id="535" w:name="_Toc31391"/>
      <w:bookmarkStart w:id="536" w:name="_Toc20860"/>
      <w:r>
        <w:rPr>
          <w:rFonts w:hint="eastAsia" w:ascii="黑体" w:eastAsia="黑体"/>
          <w:color w:val="auto"/>
          <w:sz w:val="32"/>
          <w:szCs w:val="32"/>
          <w:lang w:eastAsia="zh-CN"/>
        </w:rPr>
        <w:t>三</w:t>
      </w:r>
      <w:r>
        <w:rPr>
          <w:rFonts w:hint="eastAsia" w:ascii="黑体" w:eastAsia="黑体"/>
          <w:color w:val="auto"/>
          <w:sz w:val="32"/>
          <w:szCs w:val="32"/>
        </w:rPr>
        <w:t>、</w:t>
      </w:r>
      <w:r>
        <w:rPr>
          <w:rFonts w:hint="eastAsia" w:ascii="黑体" w:eastAsia="黑体"/>
          <w:color w:val="auto"/>
          <w:sz w:val="32"/>
          <w:szCs w:val="32"/>
          <w:lang w:eastAsia="zh-CN"/>
        </w:rPr>
        <w:t>地面停车位</w:t>
      </w:r>
      <w:r>
        <w:rPr>
          <w:rFonts w:hint="eastAsia" w:ascii="黑体" w:eastAsia="黑体"/>
          <w:color w:val="auto"/>
          <w:sz w:val="32"/>
          <w:szCs w:val="32"/>
        </w:rPr>
        <w:t>管理制度</w:t>
      </w:r>
      <w:bookmarkEnd w:id="532"/>
      <w:bookmarkEnd w:id="533"/>
      <w:bookmarkEnd w:id="534"/>
      <w:bookmarkEnd w:id="535"/>
      <w:bookmarkEnd w:id="536"/>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cs="仿宋"/>
          <w:color w:val="auto"/>
          <w:sz w:val="32"/>
          <w:szCs w:val="32"/>
          <w:lang w:eastAsia="zh-CN"/>
        </w:rPr>
        <w:t>院内</w:t>
      </w:r>
      <w:r>
        <w:rPr>
          <w:rFonts w:hint="eastAsia" w:ascii="仿宋" w:hAnsi="仿宋" w:eastAsia="仿宋" w:cs="仿宋"/>
          <w:color w:val="auto"/>
          <w:sz w:val="32"/>
          <w:szCs w:val="32"/>
        </w:rPr>
        <w:t>停车场只限新区办公车辆及职工用车停放，车辆需</w:t>
      </w:r>
      <w:r>
        <w:rPr>
          <w:rFonts w:hint="eastAsia" w:ascii="仿宋" w:hAnsi="仿宋" w:cs="仿宋"/>
          <w:color w:val="auto"/>
          <w:sz w:val="32"/>
          <w:szCs w:val="32"/>
          <w:lang w:eastAsia="zh-CN"/>
        </w:rPr>
        <w:t>通过车牌识别</w:t>
      </w:r>
      <w:r>
        <w:rPr>
          <w:rFonts w:hint="eastAsia" w:ascii="仿宋" w:hAnsi="仿宋" w:eastAsia="仿宋" w:cs="仿宋"/>
          <w:color w:val="auto"/>
          <w:sz w:val="32"/>
          <w:szCs w:val="32"/>
        </w:rPr>
        <w:t>出入</w:t>
      </w:r>
      <w:r>
        <w:rPr>
          <w:rFonts w:hint="eastAsia" w:ascii="仿宋" w:hAnsi="仿宋" w:cs="仿宋"/>
          <w:color w:val="auto"/>
          <w:sz w:val="32"/>
          <w:szCs w:val="32"/>
          <w:lang w:eastAsia="zh-CN"/>
        </w:rPr>
        <w:t>，</w:t>
      </w:r>
      <w:r>
        <w:rPr>
          <w:rFonts w:hint="eastAsia" w:ascii="仿宋" w:hAnsi="仿宋" w:eastAsia="仿宋" w:cs="仿宋"/>
          <w:color w:val="auto"/>
          <w:sz w:val="32"/>
          <w:szCs w:val="32"/>
        </w:rPr>
        <w:t>非办公车辆及外来车辆严禁在停车场停放。</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（二）车辆进出车场时</w:t>
      </w:r>
      <w:r>
        <w:rPr>
          <w:rFonts w:hint="eastAsia" w:ascii="仿宋" w:hAnsi="仿宋" w:cs="仿宋"/>
          <w:color w:val="auto"/>
          <w:sz w:val="32"/>
          <w:szCs w:val="32"/>
          <w:lang w:eastAsia="zh-CN"/>
        </w:rPr>
        <w:t>，严格按照一杆一车，杆起车走，杆落车停，车辆</w:t>
      </w:r>
      <w:r>
        <w:rPr>
          <w:rFonts w:hint="eastAsia" w:ascii="仿宋" w:hAnsi="仿宋" w:eastAsia="仿宋" w:cs="仿宋"/>
          <w:color w:val="auto"/>
          <w:sz w:val="32"/>
          <w:szCs w:val="32"/>
        </w:rPr>
        <w:t>必须按规定线路行驶</w:t>
      </w:r>
      <w:r>
        <w:rPr>
          <w:rFonts w:hint="eastAsia" w:ascii="仿宋" w:hAnsi="仿宋" w:cs="仿宋"/>
          <w:color w:val="auto"/>
          <w:sz w:val="32"/>
          <w:szCs w:val="32"/>
          <w:lang w:eastAsia="zh-CN"/>
        </w:rPr>
        <w:t>。</w:t>
      </w:r>
    </w:p>
    <w:p>
      <w:pPr>
        <w:ind w:firstLine="640" w:firstLineChars="200"/>
        <w:rPr>
          <w:rFonts w:hint="eastAsia" w:ascii="仿宋" w:hAnsi="仿宋" w:cs="仿宋"/>
          <w:color w:val="auto"/>
          <w:sz w:val="32"/>
          <w:szCs w:val="32"/>
          <w:lang w:eastAsia="zh-CN"/>
        </w:rPr>
      </w:pPr>
      <w:r>
        <w:rPr>
          <w:rFonts w:hint="eastAsia" w:ascii="仿宋" w:hAnsi="仿宋" w:eastAsia="仿宋" w:cs="仿宋"/>
          <w:color w:val="auto"/>
          <w:sz w:val="32"/>
          <w:szCs w:val="32"/>
        </w:rPr>
        <w:t>（三）</w:t>
      </w:r>
      <w:r>
        <w:rPr>
          <w:rFonts w:hint="eastAsia" w:ascii="仿宋" w:hAnsi="仿宋" w:cs="仿宋"/>
          <w:color w:val="auto"/>
          <w:sz w:val="32"/>
          <w:szCs w:val="32"/>
          <w:lang w:eastAsia="zh-CN"/>
        </w:rPr>
        <w:t>每个车位仅限停放一辆汽车，按标线有序停放，禁止占道停车，随意摆放。</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w:t>
      </w:r>
      <w:r>
        <w:rPr>
          <w:rFonts w:hint="eastAsia" w:ascii="仿宋" w:hAnsi="仿宋" w:cs="仿宋"/>
          <w:color w:val="auto"/>
          <w:sz w:val="32"/>
          <w:szCs w:val="32"/>
          <w:lang w:eastAsia="zh-CN"/>
        </w:rPr>
        <w:t>车辆停妥熄火后，应将贵重物品随身携带</w:t>
      </w:r>
      <w:r>
        <w:rPr>
          <w:rFonts w:hint="eastAsia" w:ascii="仿宋" w:hAnsi="仿宋" w:eastAsia="仿宋" w:cs="仿宋"/>
          <w:color w:val="auto"/>
          <w:sz w:val="32"/>
          <w:szCs w:val="32"/>
        </w:rPr>
        <w:t>，下车时须检查好车辆门窗是否关闭上锁。停车场内禁止职工车辆长期停放。</w:t>
      </w:r>
    </w:p>
    <w:p>
      <w:pPr>
        <w:ind w:firstLine="640" w:firstLineChars="200"/>
        <w:rPr>
          <w:rFonts w:hint="eastAsia" w:ascii="仿宋" w:hAnsi="仿宋" w:cs="仿宋"/>
          <w:color w:val="auto"/>
          <w:sz w:val="32"/>
          <w:szCs w:val="32"/>
          <w:lang w:eastAsia="zh-CN"/>
        </w:rPr>
      </w:pPr>
      <w:r>
        <w:rPr>
          <w:rFonts w:hint="eastAsia" w:ascii="仿宋" w:hAnsi="仿宋" w:cs="仿宋"/>
          <w:color w:val="auto"/>
          <w:sz w:val="32"/>
          <w:szCs w:val="32"/>
          <w:lang w:eastAsia="zh-CN"/>
        </w:rPr>
        <w:t>（五）</w:t>
      </w:r>
      <w:r>
        <w:rPr>
          <w:rFonts w:hint="eastAsia" w:ascii="仿宋" w:hAnsi="仿宋" w:eastAsia="仿宋" w:cs="仿宋"/>
          <w:color w:val="auto"/>
          <w:sz w:val="32"/>
          <w:szCs w:val="32"/>
        </w:rPr>
        <w:t>严禁在停车场内吸烟，严禁车辆和个人携带易燃、易爆、易腐蚀等危险品进入停车场。</w:t>
      </w:r>
    </w:p>
    <w:p>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cs="仿宋"/>
          <w:color w:val="auto"/>
          <w:sz w:val="32"/>
          <w:szCs w:val="32"/>
          <w:lang w:eastAsia="zh-CN"/>
        </w:rPr>
        <w:t>六</w:t>
      </w:r>
      <w:r>
        <w:rPr>
          <w:rFonts w:hint="eastAsia" w:ascii="仿宋" w:hAnsi="仿宋" w:eastAsia="仿宋" w:cs="仿宋"/>
          <w:color w:val="auto"/>
          <w:sz w:val="32"/>
          <w:szCs w:val="32"/>
        </w:rPr>
        <w:t>）自觉维护保持</w:t>
      </w:r>
      <w:r>
        <w:rPr>
          <w:rFonts w:hint="eastAsia" w:ascii="仿宋" w:hAnsi="仿宋" w:cs="仿宋"/>
          <w:color w:val="auto"/>
          <w:sz w:val="32"/>
          <w:szCs w:val="32"/>
          <w:lang w:eastAsia="zh-CN"/>
        </w:rPr>
        <w:t>停车场的</w:t>
      </w:r>
      <w:r>
        <w:rPr>
          <w:rFonts w:hint="eastAsia" w:ascii="仿宋" w:hAnsi="仿宋" w:eastAsia="仿宋" w:cs="仿宋"/>
          <w:color w:val="auto"/>
          <w:sz w:val="32"/>
          <w:szCs w:val="32"/>
        </w:rPr>
        <w:t>卫生，禁止乱扔杂物，禁止在停车场练车。漏水、漏油等车辆禁止停放在停车场。</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w:t>
      </w:r>
      <w:r>
        <w:rPr>
          <w:rFonts w:hint="eastAsia" w:ascii="仿宋" w:hAnsi="仿宋" w:cs="仿宋"/>
          <w:color w:val="auto"/>
          <w:sz w:val="32"/>
          <w:szCs w:val="32"/>
          <w:lang w:eastAsia="zh-CN"/>
        </w:rPr>
        <w:t>七</w:t>
      </w:r>
      <w:r>
        <w:rPr>
          <w:rFonts w:hint="eastAsia" w:ascii="仿宋" w:hAnsi="仿宋" w:eastAsia="仿宋" w:cs="仿宋"/>
          <w:color w:val="auto"/>
          <w:sz w:val="32"/>
          <w:szCs w:val="32"/>
        </w:rPr>
        <w:t>）</w:t>
      </w:r>
      <w:r>
        <w:rPr>
          <w:rFonts w:hint="eastAsia" w:ascii="仿宋" w:hAnsi="仿宋" w:cs="仿宋"/>
          <w:color w:val="auto"/>
          <w:sz w:val="32"/>
          <w:szCs w:val="32"/>
          <w:lang w:eastAsia="zh-CN"/>
        </w:rPr>
        <w:t>对违反规定的停放车辆进行登记并告知，对停在车辆标线以外的车辆将劝其离场，对于超过二次违反规定者，将取消进入停车场资格。</w:t>
      </w:r>
    </w:p>
    <w:p>
      <w:pPr>
        <w:ind w:firstLine="640" w:firstLineChars="200"/>
        <w:rPr>
          <w:rFonts w:hint="eastAsia" w:ascii="仿宋" w:hAnsi="仿宋" w:eastAsia="仿宋" w:cs="仿宋"/>
          <w:color w:val="auto"/>
          <w:sz w:val="32"/>
          <w:szCs w:val="32"/>
        </w:rPr>
      </w:pPr>
    </w:p>
    <w:p>
      <w:pPr>
        <w:rPr>
          <w:rFonts w:hint="eastAsia" w:eastAsia="宋体"/>
          <w:color w:val="auto"/>
          <w:lang w:eastAsia="zh-CN"/>
        </w:rPr>
      </w:pPr>
      <w:r>
        <w:rPr>
          <w:rFonts w:hint="eastAsia" w:ascii="仿宋" w:hAnsi="仿宋" w:eastAsia="仿宋" w:cs="仿宋"/>
          <w:color w:val="auto"/>
          <w:sz w:val="32"/>
          <w:szCs w:val="32"/>
          <w:lang w:eastAsia="zh-CN"/>
        </w:rPr>
        <w:drawing>
          <wp:inline distT="0" distB="0" distL="114300" distR="114300">
            <wp:extent cx="5269865" cy="4852035"/>
            <wp:effectExtent l="0" t="0" r="6985" b="5715"/>
            <wp:docPr id="11" name="图片 11" descr="后勤管理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后勤管理流程1"/>
                    <pic:cNvPicPr>
                      <a:picLocks noChangeAspect="1"/>
                    </pic:cNvPicPr>
                  </pic:nvPicPr>
                  <pic:blipFill>
                    <a:blip r:embed="rId21"/>
                    <a:stretch>
                      <a:fillRect/>
                    </a:stretch>
                  </pic:blipFill>
                  <pic:spPr>
                    <a:xfrm>
                      <a:off x="0" y="0"/>
                      <a:ext cx="5269865" cy="4852035"/>
                    </a:xfrm>
                    <a:prstGeom prst="rect">
                      <a:avLst/>
                    </a:prstGeom>
                  </pic:spPr>
                </pic:pic>
              </a:graphicData>
            </a:graphic>
          </wp:inline>
        </w:drawing>
      </w:r>
    </w:p>
    <w:p>
      <w:pPr>
        <w:rPr>
          <w:rFonts w:hint="eastAsia" w:eastAsia="宋体"/>
          <w:color w:val="auto"/>
          <w:lang w:eastAsia="zh-CN"/>
        </w:rPr>
      </w:pPr>
    </w:p>
    <w:p>
      <w:pPr>
        <w:rPr>
          <w:rFonts w:hint="eastAsia" w:eastAsia="宋体"/>
          <w:color w:val="auto"/>
          <w:lang w:eastAsia="zh-CN"/>
        </w:rPr>
      </w:pPr>
    </w:p>
    <w:p>
      <w:pPr>
        <w:rPr>
          <w:rFonts w:hint="eastAsia" w:eastAsia="宋体"/>
          <w:color w:val="auto"/>
          <w:lang w:eastAsia="zh-CN"/>
        </w:rPr>
      </w:pPr>
    </w:p>
    <w:p>
      <w:pPr>
        <w:rPr>
          <w:rFonts w:hint="eastAsia" w:eastAsia="宋体"/>
          <w:color w:val="auto"/>
          <w:lang w:eastAsia="zh-CN"/>
        </w:rPr>
      </w:pPr>
    </w:p>
    <w:p>
      <w:pPr>
        <w:rPr>
          <w:rFonts w:hint="eastAsia" w:eastAsia="宋体"/>
          <w:color w:val="auto"/>
          <w:lang w:eastAsia="zh-CN"/>
        </w:rPr>
      </w:pPr>
    </w:p>
    <w:p>
      <w:pPr>
        <w:keepNext w:val="0"/>
        <w:keepLines w:val="0"/>
        <w:widowControl w:val="0"/>
        <w:suppressLineNumbers w:val="0"/>
        <w:spacing w:before="0" w:beforeAutospacing="0" w:after="0" w:afterAutospacing="0" w:line="480" w:lineRule="exact"/>
        <w:ind w:left="0" w:right="0"/>
        <w:jc w:val="both"/>
        <w:rPr>
          <w:rFonts w:hint="default" w:ascii="Calibri" w:hAnsi="Calibri" w:eastAsia="仿宋" w:cs="Times New Roman"/>
          <w:color w:val="auto"/>
          <w:kern w:val="2"/>
          <w:sz w:val="32"/>
          <w:szCs w:val="32"/>
          <w:lang w:val="en-US" w:eastAsia="zh-CN" w:bidi="ar"/>
        </w:rPr>
      </w:pPr>
      <w:r>
        <w:rPr>
          <w:rFonts w:hint="default" w:ascii="Calibri" w:hAnsi="Calibri" w:eastAsia="宋体" w:cs="Times New Roman"/>
          <w:color w:val="auto"/>
          <w:kern w:val="2"/>
          <w:sz w:val="21"/>
          <w:szCs w:val="24"/>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298450</wp:posOffset>
                </wp:positionV>
                <wp:extent cx="5257800" cy="0"/>
                <wp:effectExtent l="0" t="0" r="0" b="0"/>
                <wp:wrapNone/>
                <wp:docPr id="105" name="直接连接符 105"/>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3.5pt;height:0pt;width:414pt;z-index:251659264;mso-width-relative:page;mso-height-relative:page;" filled="f" stroked="t" coordsize="21600,21600" o:gfxdata="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VMpB0wAAAAYBAAAPAAAAAAAAAAEAIAAAACIAAABkcnMvZG93bnJldi54bWxQSwECFAAU&#10;AAAACACHTuJA1vQumvYBAADoAwAADgAAAAAAAAABACAAAAAiAQAAZHJzL2Uyb0RvYy54bWxQSwUG&#10;AAAAAAYABgBZAQAAigUAAAAA&#10;">
                <v:fill on="f" focussize="0,0"/>
                <v:stroke color="#000000" joinstyle="round"/>
                <v:imagedata o:title=""/>
                <o:lock v:ext="edit" aspectratio="f"/>
              </v:line>
            </w:pict>
          </mc:Fallback>
        </mc:AlternateContent>
      </w:r>
      <w:r>
        <w:rPr>
          <w:rFonts w:hint="default" w:ascii="Calibri" w:hAnsi="Calibri" w:eastAsia="仿宋" w:cs="Times New Roman"/>
          <w:color w:val="auto"/>
          <w:kern w:val="2"/>
          <w:sz w:val="32"/>
          <w:szCs w:val="32"/>
          <w:lang w:val="en-US" w:eastAsia="zh-CN" w:bidi="ar"/>
        </w:rPr>
        <w:t xml:space="preserve"> </w:t>
      </w:r>
    </w:p>
    <w:p>
      <w:pPr>
        <w:keepNext w:val="0"/>
        <w:keepLines w:val="0"/>
        <w:widowControl w:val="0"/>
        <w:suppressLineNumbers w:val="0"/>
        <w:spacing w:before="0" w:beforeAutospacing="0" w:after="0" w:afterAutospacing="0" w:line="480" w:lineRule="exact"/>
        <w:ind w:left="0" w:right="0"/>
        <w:jc w:val="both"/>
        <w:rPr>
          <w:rFonts w:hint="eastAsia" w:ascii="Calibri" w:hAnsi="仿宋" w:eastAsia="仿宋" w:cs="仿宋"/>
          <w:color w:val="auto"/>
          <w:spacing w:val="-20"/>
          <w:kern w:val="2"/>
          <w:sz w:val="28"/>
          <w:szCs w:val="28"/>
          <w:lang w:val="en-US" w:eastAsia="zh-CN" w:bidi="ar"/>
        </w:rPr>
      </w:pPr>
      <w:r>
        <w:rPr>
          <w:rFonts w:hint="eastAsia" w:ascii="Calibri" w:hAnsi="仿宋" w:eastAsia="仿宋" w:cs="仿宋"/>
          <w:color w:val="auto"/>
          <w:spacing w:val="-20"/>
          <w:kern w:val="2"/>
          <w:sz w:val="28"/>
          <w:szCs w:val="28"/>
          <w:lang w:val="en-US" w:eastAsia="zh-CN" w:bidi="ar"/>
        </w:rPr>
        <w:t>中共白城市生态新区建设领导小组办公室委员会</w:t>
      </w:r>
      <w:r>
        <w:rPr>
          <w:rFonts w:hint="default" w:ascii="Calibri" w:hAnsi="Calibri" w:eastAsia="仿宋" w:cs="Times New Roman"/>
          <w:color w:val="auto"/>
          <w:spacing w:val="-20"/>
          <w:kern w:val="2"/>
          <w:sz w:val="32"/>
          <w:szCs w:val="32"/>
          <w:lang w:val="en-US" w:eastAsia="zh-CN" w:bidi="ar"/>
        </w:rPr>
        <w:t xml:space="preserve">  </w:t>
      </w:r>
      <w:r>
        <w:rPr>
          <w:rFonts w:hint="eastAsia" w:ascii="Calibri" w:hAnsi="Calibri" w:eastAsia="仿宋" w:cs="Times New Roman"/>
          <w:color w:val="auto"/>
          <w:spacing w:val="-20"/>
          <w:kern w:val="2"/>
          <w:sz w:val="32"/>
          <w:szCs w:val="32"/>
          <w:lang w:val="en-US" w:eastAsia="zh-CN" w:bidi="ar"/>
        </w:rPr>
        <w:t xml:space="preserve">     </w:t>
      </w:r>
      <w:r>
        <w:rPr>
          <w:rFonts w:hint="default" w:ascii="Calibri" w:hAnsi="仿宋" w:eastAsia="仿宋" w:cs="仿宋"/>
          <w:color w:val="auto"/>
          <w:spacing w:val="-20"/>
          <w:kern w:val="2"/>
          <w:sz w:val="28"/>
          <w:szCs w:val="28"/>
          <w:lang w:val="en-US" w:eastAsia="zh-CN" w:bidi="ar"/>
        </w:rPr>
        <w:t>20</w:t>
      </w:r>
      <w:r>
        <w:rPr>
          <w:rFonts w:hint="eastAsia" w:ascii="Calibri" w:hAnsi="仿宋" w:eastAsia="仿宋" w:cs="仿宋"/>
          <w:color w:val="auto"/>
          <w:spacing w:val="-20"/>
          <w:kern w:val="2"/>
          <w:sz w:val="28"/>
          <w:szCs w:val="28"/>
          <w:lang w:val="en-US" w:eastAsia="zh-CN" w:bidi="ar"/>
        </w:rPr>
        <w:t>20年</w:t>
      </w:r>
      <w:r>
        <w:rPr>
          <w:rFonts w:hint="eastAsia" w:ascii="Calibri" w:hAnsi="仿宋" w:cs="仿宋"/>
          <w:color w:val="auto"/>
          <w:spacing w:val="-20"/>
          <w:kern w:val="2"/>
          <w:sz w:val="28"/>
          <w:szCs w:val="28"/>
          <w:lang w:val="en-US" w:eastAsia="zh-CN" w:bidi="ar"/>
        </w:rPr>
        <w:t>9</w:t>
      </w:r>
      <w:r>
        <w:rPr>
          <w:rFonts w:hint="eastAsia" w:ascii="Calibri" w:hAnsi="仿宋" w:eastAsia="仿宋" w:cs="仿宋"/>
          <w:color w:val="auto"/>
          <w:spacing w:val="-20"/>
          <w:kern w:val="2"/>
          <w:sz w:val="28"/>
          <w:szCs w:val="28"/>
          <w:lang w:val="en-US" w:eastAsia="zh-CN" w:bidi="ar"/>
        </w:rPr>
        <w:t>月印发</w:t>
      </w:r>
    </w:p>
    <w:p>
      <w:pPr>
        <w:keepNext w:val="0"/>
        <w:keepLines w:val="0"/>
        <w:widowControl w:val="0"/>
        <w:suppressLineNumbers w:val="0"/>
        <w:tabs>
          <w:tab w:val="right" w:pos="9070"/>
        </w:tabs>
        <w:spacing w:before="0" w:beforeAutospacing="0" w:after="0" w:afterAutospacing="0" w:line="480" w:lineRule="exact"/>
        <w:ind w:left="0" w:right="210"/>
        <w:jc w:val="right"/>
        <w:rPr>
          <w:rFonts w:hint="eastAsia"/>
          <w:color w:val="auto"/>
          <w:lang w:val="en-US" w:eastAsia="zh-CN"/>
        </w:rPr>
      </w:pPr>
      <w:r>
        <w:rPr>
          <w:rFonts w:hint="default" w:ascii="Calibri" w:hAnsi="Calibri" w:eastAsia="宋体" w:cs="Times New Roman"/>
          <w:color w:val="auto"/>
          <w:kern w:val="2"/>
          <w:sz w:val="21"/>
          <w:szCs w:val="24"/>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62230</wp:posOffset>
                </wp:positionV>
                <wp:extent cx="5257800" cy="0"/>
                <wp:effectExtent l="0" t="0" r="0" b="0"/>
                <wp:wrapNone/>
                <wp:docPr id="109" name="直接连接符 109"/>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4.9pt;height:0pt;width:414pt;z-index:251663360;mso-width-relative:page;mso-height-relative:page;" filled="f" stroked="t" coordsize="21600,21600" o:gfxdata="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3tetEAAAAEAQAADwAAAAAAAAABACAAAAAiAAAAZHJzL2Rvd25yZXYueG1sUEsBAhQAFAAA&#10;AAgAh07iQAuw/fX2AQAA6AMAAA4AAAAAAAAAAQAgAAAAIAEAAGRycy9lMm9Eb2MueG1sUEsFBgAA&#10;AAAGAAYAWQEAAIgFAAAAAA==&#10;">
                <v:fill on="f" focussize="0,0"/>
                <v:stroke color="#000000" joinstyle="round"/>
                <v:imagedata o:title=""/>
                <o:lock v:ext="edit" aspectratio="f"/>
              </v:line>
            </w:pict>
          </mc:Fallback>
        </mc:AlternateContent>
      </w:r>
    </w:p>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- 14 -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- 14 -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0Ueg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tDBunpf&#10;dQ8wh5aFrX6wPKaJUnm7OgRImxSPAnWqoFPxgElMPeu3Jo76n+cU9fR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J0Ueg5AgAAcQQAAA4AAAAAAAAAAQAgAAAAHwEAAGRycy9lMm9Eb2Mu&#10;eG1sUEsFBgAAAAAGAAYAWQEAAMo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- 34 -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5"/>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- 34 -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2CD6A"/>
    <w:multiLevelType w:val="singleLevel"/>
    <w:tmpl w:val="BFC2CD6A"/>
    <w:lvl w:ilvl="0" w:tentative="0">
      <w:start w:val="1"/>
      <w:numFmt w:val="chineseCounting"/>
      <w:suff w:val="space"/>
      <w:lvlText w:val="第%1条"/>
      <w:lvlJc w:val="left"/>
      <w:rPr>
        <w:rFonts w:hint="eastAsia"/>
      </w:rPr>
    </w:lvl>
  </w:abstractNum>
  <w:abstractNum w:abstractNumId="1">
    <w:nsid w:val="F6125F7B"/>
    <w:multiLevelType w:val="singleLevel"/>
    <w:tmpl w:val="F6125F7B"/>
    <w:lvl w:ilvl="0" w:tentative="0">
      <w:start w:val="1"/>
      <w:numFmt w:val="chineseCounting"/>
      <w:suff w:val="nothing"/>
      <w:lvlText w:val="（%1）"/>
      <w:lvlJc w:val="left"/>
      <w:rPr>
        <w:rFonts w:hint="eastAsia"/>
      </w:rPr>
    </w:lvl>
  </w:abstractNum>
  <w:abstractNum w:abstractNumId="2">
    <w:nsid w:val="037FA714"/>
    <w:multiLevelType w:val="singleLevel"/>
    <w:tmpl w:val="037FA714"/>
    <w:lvl w:ilvl="0" w:tentative="0">
      <w:start w:val="13"/>
      <w:numFmt w:val="decimal"/>
      <w:suff w:val="nothing"/>
      <w:lvlText w:val="%1、"/>
      <w:lvlJc w:val="left"/>
    </w:lvl>
  </w:abstractNum>
  <w:abstractNum w:abstractNumId="3">
    <w:nsid w:val="0438DA7C"/>
    <w:multiLevelType w:val="singleLevel"/>
    <w:tmpl w:val="0438DA7C"/>
    <w:lvl w:ilvl="0" w:tentative="0">
      <w:start w:val="1"/>
      <w:numFmt w:val="chineseCounting"/>
      <w:suff w:val="nothing"/>
      <w:lvlText w:val="（%1）"/>
      <w:lvlJc w:val="left"/>
      <w:rPr>
        <w:rFonts w:hint="eastAsia"/>
      </w:rPr>
    </w:lvl>
  </w:abstractNum>
  <w:abstractNum w:abstractNumId="4">
    <w:nsid w:val="11191829"/>
    <w:multiLevelType w:val="singleLevel"/>
    <w:tmpl w:val="11191829"/>
    <w:lvl w:ilvl="0" w:tentative="0">
      <w:start w:val="1"/>
      <w:numFmt w:val="chineseCounting"/>
      <w:suff w:val="space"/>
      <w:lvlText w:val="第%1条"/>
      <w:lvlJc w:val="left"/>
      <w:rPr>
        <w:rFonts w:hint="eastAsia"/>
      </w:rPr>
    </w:lvl>
  </w:abstractNum>
  <w:abstractNum w:abstractNumId="5">
    <w:nsid w:val="5CE2F0A1"/>
    <w:multiLevelType w:val="singleLevel"/>
    <w:tmpl w:val="5CE2F0A1"/>
    <w:lvl w:ilvl="0" w:tentative="0">
      <w:start w:val="1"/>
      <w:numFmt w:val="chineseCounting"/>
      <w:suff w:val="nothing"/>
      <w:lvlText w:val="（%1）"/>
      <w:lvlJc w:val="left"/>
      <w:rPr>
        <w:rFonts w:hint="eastAsia"/>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xYWUyZTY4ZTc3NGU5NGZiMWE3MTgzOTI3ZGRiNDcifQ=="/>
  </w:docVars>
  <w:rsids>
    <w:rsidRoot w:val="0DE067FD"/>
    <w:rsid w:val="004F0216"/>
    <w:rsid w:val="007B3520"/>
    <w:rsid w:val="008C0B17"/>
    <w:rsid w:val="00A10A6A"/>
    <w:rsid w:val="00EE11B9"/>
    <w:rsid w:val="00F43BA3"/>
    <w:rsid w:val="01491985"/>
    <w:rsid w:val="014D02F6"/>
    <w:rsid w:val="016779F7"/>
    <w:rsid w:val="018D704B"/>
    <w:rsid w:val="01A055E7"/>
    <w:rsid w:val="01D21F6A"/>
    <w:rsid w:val="01FF44F0"/>
    <w:rsid w:val="02270A5C"/>
    <w:rsid w:val="0260382A"/>
    <w:rsid w:val="0261745E"/>
    <w:rsid w:val="02625C64"/>
    <w:rsid w:val="028C22B6"/>
    <w:rsid w:val="02AE67F1"/>
    <w:rsid w:val="030206EC"/>
    <w:rsid w:val="03186CE3"/>
    <w:rsid w:val="03697B59"/>
    <w:rsid w:val="03823D6E"/>
    <w:rsid w:val="03974CE1"/>
    <w:rsid w:val="039E6993"/>
    <w:rsid w:val="03AC021C"/>
    <w:rsid w:val="03AC4A4B"/>
    <w:rsid w:val="03F71D0D"/>
    <w:rsid w:val="04301F43"/>
    <w:rsid w:val="045C41D5"/>
    <w:rsid w:val="0477210A"/>
    <w:rsid w:val="04963371"/>
    <w:rsid w:val="04A238D2"/>
    <w:rsid w:val="04B13250"/>
    <w:rsid w:val="04DE56DC"/>
    <w:rsid w:val="04E50360"/>
    <w:rsid w:val="04F25039"/>
    <w:rsid w:val="051822AA"/>
    <w:rsid w:val="053F6004"/>
    <w:rsid w:val="0551725A"/>
    <w:rsid w:val="055C2CA8"/>
    <w:rsid w:val="056B434E"/>
    <w:rsid w:val="05746813"/>
    <w:rsid w:val="05823217"/>
    <w:rsid w:val="05A17D3A"/>
    <w:rsid w:val="05B231D2"/>
    <w:rsid w:val="05B85E8D"/>
    <w:rsid w:val="05B8661D"/>
    <w:rsid w:val="05D57448"/>
    <w:rsid w:val="060B0507"/>
    <w:rsid w:val="062404D0"/>
    <w:rsid w:val="06262177"/>
    <w:rsid w:val="06387E15"/>
    <w:rsid w:val="063A202E"/>
    <w:rsid w:val="06633B19"/>
    <w:rsid w:val="069C40C7"/>
    <w:rsid w:val="06B85A72"/>
    <w:rsid w:val="06C1606F"/>
    <w:rsid w:val="076C3902"/>
    <w:rsid w:val="07A21AFB"/>
    <w:rsid w:val="07BC26DC"/>
    <w:rsid w:val="07C1767C"/>
    <w:rsid w:val="07D714A8"/>
    <w:rsid w:val="07DD31A6"/>
    <w:rsid w:val="07F85E5D"/>
    <w:rsid w:val="07FD0AD5"/>
    <w:rsid w:val="08881A23"/>
    <w:rsid w:val="089A63ED"/>
    <w:rsid w:val="08A80712"/>
    <w:rsid w:val="08FA07AA"/>
    <w:rsid w:val="09196DFA"/>
    <w:rsid w:val="09E45AA3"/>
    <w:rsid w:val="0A071C0D"/>
    <w:rsid w:val="0A452D9B"/>
    <w:rsid w:val="0A565CDA"/>
    <w:rsid w:val="0A9E31A7"/>
    <w:rsid w:val="0AA16090"/>
    <w:rsid w:val="0AC85152"/>
    <w:rsid w:val="0B036F1D"/>
    <w:rsid w:val="0B077573"/>
    <w:rsid w:val="0B1807C9"/>
    <w:rsid w:val="0B2E3EB5"/>
    <w:rsid w:val="0B6C118E"/>
    <w:rsid w:val="0B710AAA"/>
    <w:rsid w:val="0B86692A"/>
    <w:rsid w:val="0C213A22"/>
    <w:rsid w:val="0C2278CE"/>
    <w:rsid w:val="0C2C3071"/>
    <w:rsid w:val="0C657F40"/>
    <w:rsid w:val="0CCD1B5F"/>
    <w:rsid w:val="0CDF0BA4"/>
    <w:rsid w:val="0CF35F77"/>
    <w:rsid w:val="0D285E07"/>
    <w:rsid w:val="0D9C3446"/>
    <w:rsid w:val="0DD07627"/>
    <w:rsid w:val="0DDA0BEC"/>
    <w:rsid w:val="0DE067FD"/>
    <w:rsid w:val="0E2849F4"/>
    <w:rsid w:val="0E5709C2"/>
    <w:rsid w:val="0E6443D6"/>
    <w:rsid w:val="0E8713B6"/>
    <w:rsid w:val="0EC6567D"/>
    <w:rsid w:val="0F295E3F"/>
    <w:rsid w:val="0F4B3A8C"/>
    <w:rsid w:val="0F6F759E"/>
    <w:rsid w:val="0F75552D"/>
    <w:rsid w:val="0F8E1521"/>
    <w:rsid w:val="0FE73FC7"/>
    <w:rsid w:val="100061FE"/>
    <w:rsid w:val="10220C9A"/>
    <w:rsid w:val="10370789"/>
    <w:rsid w:val="105B1C40"/>
    <w:rsid w:val="10646728"/>
    <w:rsid w:val="107A55B9"/>
    <w:rsid w:val="107E08A4"/>
    <w:rsid w:val="10E15CA7"/>
    <w:rsid w:val="10E20EC9"/>
    <w:rsid w:val="114305E8"/>
    <w:rsid w:val="11613098"/>
    <w:rsid w:val="119B38B6"/>
    <w:rsid w:val="11C74AA2"/>
    <w:rsid w:val="11FB0416"/>
    <w:rsid w:val="120424D8"/>
    <w:rsid w:val="12912A81"/>
    <w:rsid w:val="12926CD3"/>
    <w:rsid w:val="129B1E1A"/>
    <w:rsid w:val="12B444B8"/>
    <w:rsid w:val="12BB7F7E"/>
    <w:rsid w:val="12CD1087"/>
    <w:rsid w:val="130E6C1F"/>
    <w:rsid w:val="13113235"/>
    <w:rsid w:val="133B2A8A"/>
    <w:rsid w:val="1348479C"/>
    <w:rsid w:val="13DD1AEA"/>
    <w:rsid w:val="13E07EDA"/>
    <w:rsid w:val="143357CA"/>
    <w:rsid w:val="145238BF"/>
    <w:rsid w:val="1459198E"/>
    <w:rsid w:val="145E386F"/>
    <w:rsid w:val="14984562"/>
    <w:rsid w:val="14A54990"/>
    <w:rsid w:val="14D044F1"/>
    <w:rsid w:val="15097FC8"/>
    <w:rsid w:val="15133B11"/>
    <w:rsid w:val="151556C8"/>
    <w:rsid w:val="152C6B25"/>
    <w:rsid w:val="15403192"/>
    <w:rsid w:val="154D1259"/>
    <w:rsid w:val="154D7B1F"/>
    <w:rsid w:val="15960F68"/>
    <w:rsid w:val="15A922C0"/>
    <w:rsid w:val="15D72FE3"/>
    <w:rsid w:val="15F80548"/>
    <w:rsid w:val="160D5192"/>
    <w:rsid w:val="165D6EE0"/>
    <w:rsid w:val="16934E9E"/>
    <w:rsid w:val="16C53BDA"/>
    <w:rsid w:val="16C7648E"/>
    <w:rsid w:val="16C90CF3"/>
    <w:rsid w:val="16CE2DFD"/>
    <w:rsid w:val="16DB335C"/>
    <w:rsid w:val="173E4456"/>
    <w:rsid w:val="175B357E"/>
    <w:rsid w:val="175F79B3"/>
    <w:rsid w:val="178F26F0"/>
    <w:rsid w:val="17937E6D"/>
    <w:rsid w:val="17B374B9"/>
    <w:rsid w:val="17BC4E96"/>
    <w:rsid w:val="17CF30E3"/>
    <w:rsid w:val="17E62671"/>
    <w:rsid w:val="17F359A4"/>
    <w:rsid w:val="18455390"/>
    <w:rsid w:val="18482B24"/>
    <w:rsid w:val="187523CE"/>
    <w:rsid w:val="1885553A"/>
    <w:rsid w:val="18935B8C"/>
    <w:rsid w:val="189E4C4B"/>
    <w:rsid w:val="18C40917"/>
    <w:rsid w:val="18DA2813"/>
    <w:rsid w:val="190C753E"/>
    <w:rsid w:val="1913164B"/>
    <w:rsid w:val="191A2996"/>
    <w:rsid w:val="19225FC8"/>
    <w:rsid w:val="19517D7C"/>
    <w:rsid w:val="19583266"/>
    <w:rsid w:val="1966429C"/>
    <w:rsid w:val="196B14E1"/>
    <w:rsid w:val="19C31381"/>
    <w:rsid w:val="19D75B42"/>
    <w:rsid w:val="19F52F25"/>
    <w:rsid w:val="19F809E2"/>
    <w:rsid w:val="19FF7A53"/>
    <w:rsid w:val="1A08166F"/>
    <w:rsid w:val="1A2A0661"/>
    <w:rsid w:val="1A2C2D17"/>
    <w:rsid w:val="1A4668EB"/>
    <w:rsid w:val="1A510A3A"/>
    <w:rsid w:val="1A69182D"/>
    <w:rsid w:val="1A724558"/>
    <w:rsid w:val="1A8C4DCD"/>
    <w:rsid w:val="1AA20788"/>
    <w:rsid w:val="1ADA7132"/>
    <w:rsid w:val="1B0E0226"/>
    <w:rsid w:val="1B444A2F"/>
    <w:rsid w:val="1B685925"/>
    <w:rsid w:val="1BA90A24"/>
    <w:rsid w:val="1BE11466"/>
    <w:rsid w:val="1C2053FD"/>
    <w:rsid w:val="1C53650F"/>
    <w:rsid w:val="1C5548BA"/>
    <w:rsid w:val="1C736C90"/>
    <w:rsid w:val="1C7E16BE"/>
    <w:rsid w:val="1CE50DDD"/>
    <w:rsid w:val="1CF47A34"/>
    <w:rsid w:val="1D0D0411"/>
    <w:rsid w:val="1D206670"/>
    <w:rsid w:val="1D2C1A43"/>
    <w:rsid w:val="1D4F6231"/>
    <w:rsid w:val="1DA51FC8"/>
    <w:rsid w:val="1DA852E6"/>
    <w:rsid w:val="1DA933CC"/>
    <w:rsid w:val="1DB1289D"/>
    <w:rsid w:val="1DED76B7"/>
    <w:rsid w:val="1E1D5045"/>
    <w:rsid w:val="1E3133AD"/>
    <w:rsid w:val="1E5E04D4"/>
    <w:rsid w:val="1E6D2AEC"/>
    <w:rsid w:val="1E732A3C"/>
    <w:rsid w:val="1E7562DC"/>
    <w:rsid w:val="1EBA762E"/>
    <w:rsid w:val="1ED0277F"/>
    <w:rsid w:val="1ED91F70"/>
    <w:rsid w:val="1F1E5249"/>
    <w:rsid w:val="1F4378FF"/>
    <w:rsid w:val="1F541F8C"/>
    <w:rsid w:val="1F6D1699"/>
    <w:rsid w:val="1F7B0802"/>
    <w:rsid w:val="1F8409ED"/>
    <w:rsid w:val="1F875AA0"/>
    <w:rsid w:val="1F8F777E"/>
    <w:rsid w:val="1FAC357E"/>
    <w:rsid w:val="1FCA0FCE"/>
    <w:rsid w:val="1FE45E23"/>
    <w:rsid w:val="1FF04880"/>
    <w:rsid w:val="20E601C4"/>
    <w:rsid w:val="211B38E7"/>
    <w:rsid w:val="213B1A67"/>
    <w:rsid w:val="214E1EAE"/>
    <w:rsid w:val="215E4216"/>
    <w:rsid w:val="21A07C3B"/>
    <w:rsid w:val="21A61FD7"/>
    <w:rsid w:val="21A6301C"/>
    <w:rsid w:val="21C571AD"/>
    <w:rsid w:val="21F27CB4"/>
    <w:rsid w:val="21FA23EB"/>
    <w:rsid w:val="21FF06E5"/>
    <w:rsid w:val="22A90EFE"/>
    <w:rsid w:val="22B222AB"/>
    <w:rsid w:val="22C12F5E"/>
    <w:rsid w:val="22C2186D"/>
    <w:rsid w:val="22DF42AE"/>
    <w:rsid w:val="234C29E5"/>
    <w:rsid w:val="23745762"/>
    <w:rsid w:val="23975DE5"/>
    <w:rsid w:val="23B03A7C"/>
    <w:rsid w:val="24370876"/>
    <w:rsid w:val="243F320C"/>
    <w:rsid w:val="244C0D7E"/>
    <w:rsid w:val="245C39F2"/>
    <w:rsid w:val="24730367"/>
    <w:rsid w:val="2487486A"/>
    <w:rsid w:val="24C84F48"/>
    <w:rsid w:val="24DB37AE"/>
    <w:rsid w:val="24EE355C"/>
    <w:rsid w:val="251049B5"/>
    <w:rsid w:val="25427493"/>
    <w:rsid w:val="254C061E"/>
    <w:rsid w:val="255531D6"/>
    <w:rsid w:val="256873EE"/>
    <w:rsid w:val="25BD588F"/>
    <w:rsid w:val="25F15631"/>
    <w:rsid w:val="264117C4"/>
    <w:rsid w:val="266D022E"/>
    <w:rsid w:val="269D4529"/>
    <w:rsid w:val="26AC0062"/>
    <w:rsid w:val="26BC7496"/>
    <w:rsid w:val="26BD7DC1"/>
    <w:rsid w:val="26D742BD"/>
    <w:rsid w:val="27103187"/>
    <w:rsid w:val="27361DDD"/>
    <w:rsid w:val="273F024D"/>
    <w:rsid w:val="27A20504"/>
    <w:rsid w:val="27AA4431"/>
    <w:rsid w:val="27CB0B73"/>
    <w:rsid w:val="27F51373"/>
    <w:rsid w:val="28035022"/>
    <w:rsid w:val="2805454D"/>
    <w:rsid w:val="280A4E34"/>
    <w:rsid w:val="2816401F"/>
    <w:rsid w:val="282D2377"/>
    <w:rsid w:val="283F6C8F"/>
    <w:rsid w:val="284C0E5A"/>
    <w:rsid w:val="285A4811"/>
    <w:rsid w:val="285C074F"/>
    <w:rsid w:val="28851896"/>
    <w:rsid w:val="288A1EA9"/>
    <w:rsid w:val="28A166FF"/>
    <w:rsid w:val="28B34EBC"/>
    <w:rsid w:val="28C90762"/>
    <w:rsid w:val="29114150"/>
    <w:rsid w:val="293F5AD4"/>
    <w:rsid w:val="295B6812"/>
    <w:rsid w:val="29BB5CFE"/>
    <w:rsid w:val="29D04D28"/>
    <w:rsid w:val="29D3228F"/>
    <w:rsid w:val="29EA1214"/>
    <w:rsid w:val="2A4D33CB"/>
    <w:rsid w:val="2AB15FFC"/>
    <w:rsid w:val="2ADE56AC"/>
    <w:rsid w:val="2AF17C11"/>
    <w:rsid w:val="2B0D3CAF"/>
    <w:rsid w:val="2B3F30CE"/>
    <w:rsid w:val="2B412464"/>
    <w:rsid w:val="2B887A51"/>
    <w:rsid w:val="2B984C31"/>
    <w:rsid w:val="2C1A3A0C"/>
    <w:rsid w:val="2C2866D7"/>
    <w:rsid w:val="2C2E31E4"/>
    <w:rsid w:val="2C361CA3"/>
    <w:rsid w:val="2C3C73DF"/>
    <w:rsid w:val="2C3D0EF7"/>
    <w:rsid w:val="2C6339C8"/>
    <w:rsid w:val="2C9D208E"/>
    <w:rsid w:val="2CB50977"/>
    <w:rsid w:val="2CB56778"/>
    <w:rsid w:val="2D016AD0"/>
    <w:rsid w:val="2D0E0FBD"/>
    <w:rsid w:val="2D0E5B7B"/>
    <w:rsid w:val="2D570FA5"/>
    <w:rsid w:val="2DF23824"/>
    <w:rsid w:val="2E071C48"/>
    <w:rsid w:val="2E14099C"/>
    <w:rsid w:val="2E3C3627"/>
    <w:rsid w:val="2E452F3F"/>
    <w:rsid w:val="2E796A30"/>
    <w:rsid w:val="2E8718D7"/>
    <w:rsid w:val="2EBD4505"/>
    <w:rsid w:val="2EED7413"/>
    <w:rsid w:val="2F5B6D5C"/>
    <w:rsid w:val="2F7A611F"/>
    <w:rsid w:val="2FC5591B"/>
    <w:rsid w:val="2FD442F1"/>
    <w:rsid w:val="2FDC172E"/>
    <w:rsid w:val="30026183"/>
    <w:rsid w:val="308C4EC7"/>
    <w:rsid w:val="30B71DC1"/>
    <w:rsid w:val="30E97DD5"/>
    <w:rsid w:val="312216E3"/>
    <w:rsid w:val="31222F92"/>
    <w:rsid w:val="31753888"/>
    <w:rsid w:val="319D56B7"/>
    <w:rsid w:val="31A76B69"/>
    <w:rsid w:val="31CD6423"/>
    <w:rsid w:val="31E630DD"/>
    <w:rsid w:val="31EE2FB4"/>
    <w:rsid w:val="320B7504"/>
    <w:rsid w:val="32754732"/>
    <w:rsid w:val="32985896"/>
    <w:rsid w:val="32B50E43"/>
    <w:rsid w:val="32E75381"/>
    <w:rsid w:val="330861D5"/>
    <w:rsid w:val="333A4585"/>
    <w:rsid w:val="334B4D03"/>
    <w:rsid w:val="336072A1"/>
    <w:rsid w:val="33A95DF9"/>
    <w:rsid w:val="33B07DAB"/>
    <w:rsid w:val="33C5408E"/>
    <w:rsid w:val="33D461EC"/>
    <w:rsid w:val="349A3695"/>
    <w:rsid w:val="349C06B4"/>
    <w:rsid w:val="34C84CEC"/>
    <w:rsid w:val="35026A57"/>
    <w:rsid w:val="355D70FE"/>
    <w:rsid w:val="35A5357F"/>
    <w:rsid w:val="35BA5593"/>
    <w:rsid w:val="35BC4044"/>
    <w:rsid w:val="35EB2EEC"/>
    <w:rsid w:val="36196799"/>
    <w:rsid w:val="36B301B5"/>
    <w:rsid w:val="36BB7296"/>
    <w:rsid w:val="36E078C8"/>
    <w:rsid w:val="36E2289C"/>
    <w:rsid w:val="37151169"/>
    <w:rsid w:val="372D4C9D"/>
    <w:rsid w:val="37565D93"/>
    <w:rsid w:val="37615F81"/>
    <w:rsid w:val="37695F02"/>
    <w:rsid w:val="377228C4"/>
    <w:rsid w:val="377B4E82"/>
    <w:rsid w:val="3797727D"/>
    <w:rsid w:val="37D03F8E"/>
    <w:rsid w:val="37DB1621"/>
    <w:rsid w:val="3822398A"/>
    <w:rsid w:val="383353B3"/>
    <w:rsid w:val="38441E5C"/>
    <w:rsid w:val="385E7B25"/>
    <w:rsid w:val="38A84856"/>
    <w:rsid w:val="38B0252F"/>
    <w:rsid w:val="38B73B3C"/>
    <w:rsid w:val="38C51CAA"/>
    <w:rsid w:val="38F50164"/>
    <w:rsid w:val="38F72F81"/>
    <w:rsid w:val="390D33CF"/>
    <w:rsid w:val="394217DC"/>
    <w:rsid w:val="396A07F4"/>
    <w:rsid w:val="39DC55B5"/>
    <w:rsid w:val="39E00249"/>
    <w:rsid w:val="39EC348C"/>
    <w:rsid w:val="39EE7FB9"/>
    <w:rsid w:val="39FB72B0"/>
    <w:rsid w:val="3A023606"/>
    <w:rsid w:val="3A1D1CDA"/>
    <w:rsid w:val="3A236FD3"/>
    <w:rsid w:val="3A351ABF"/>
    <w:rsid w:val="3A4B0912"/>
    <w:rsid w:val="3A4B1AAF"/>
    <w:rsid w:val="3A4B3632"/>
    <w:rsid w:val="3A69370E"/>
    <w:rsid w:val="3A881D9C"/>
    <w:rsid w:val="3A946534"/>
    <w:rsid w:val="3AD123FC"/>
    <w:rsid w:val="3AEC2A34"/>
    <w:rsid w:val="3AF13F86"/>
    <w:rsid w:val="3AFE6751"/>
    <w:rsid w:val="3B0575E0"/>
    <w:rsid w:val="3B2F202B"/>
    <w:rsid w:val="3B4F38CE"/>
    <w:rsid w:val="3B5A6A96"/>
    <w:rsid w:val="3B786DB4"/>
    <w:rsid w:val="3B946F1A"/>
    <w:rsid w:val="3BA1233B"/>
    <w:rsid w:val="3BB46F05"/>
    <w:rsid w:val="3BEE354A"/>
    <w:rsid w:val="3C01689F"/>
    <w:rsid w:val="3C02055E"/>
    <w:rsid w:val="3C12593F"/>
    <w:rsid w:val="3C1C51E8"/>
    <w:rsid w:val="3C28539B"/>
    <w:rsid w:val="3C351D2A"/>
    <w:rsid w:val="3C4C11BA"/>
    <w:rsid w:val="3C4F6369"/>
    <w:rsid w:val="3CBA446F"/>
    <w:rsid w:val="3CCC2EDF"/>
    <w:rsid w:val="3CDC35BD"/>
    <w:rsid w:val="3D4F4D2A"/>
    <w:rsid w:val="3DF56B8D"/>
    <w:rsid w:val="3E5C5465"/>
    <w:rsid w:val="3E76394F"/>
    <w:rsid w:val="3E8E718C"/>
    <w:rsid w:val="3E9B63E7"/>
    <w:rsid w:val="3ECF2A13"/>
    <w:rsid w:val="3EF15519"/>
    <w:rsid w:val="3EFB692E"/>
    <w:rsid w:val="3F04526B"/>
    <w:rsid w:val="3F1A0872"/>
    <w:rsid w:val="3F1D1DCD"/>
    <w:rsid w:val="3F443ED6"/>
    <w:rsid w:val="3F865335"/>
    <w:rsid w:val="3F934B40"/>
    <w:rsid w:val="3FB25F0E"/>
    <w:rsid w:val="3FDC42D7"/>
    <w:rsid w:val="3FFD3F4D"/>
    <w:rsid w:val="40236C97"/>
    <w:rsid w:val="405D1C2F"/>
    <w:rsid w:val="406269EE"/>
    <w:rsid w:val="40C12AF1"/>
    <w:rsid w:val="41032D20"/>
    <w:rsid w:val="413462CA"/>
    <w:rsid w:val="41966DBA"/>
    <w:rsid w:val="419A2B62"/>
    <w:rsid w:val="41AF4BC9"/>
    <w:rsid w:val="41D470E6"/>
    <w:rsid w:val="420D5872"/>
    <w:rsid w:val="421C31F2"/>
    <w:rsid w:val="4243611B"/>
    <w:rsid w:val="42467958"/>
    <w:rsid w:val="424C507F"/>
    <w:rsid w:val="426B0475"/>
    <w:rsid w:val="42AB4867"/>
    <w:rsid w:val="42EA4195"/>
    <w:rsid w:val="43044640"/>
    <w:rsid w:val="43370A28"/>
    <w:rsid w:val="43661ACF"/>
    <w:rsid w:val="437029A0"/>
    <w:rsid w:val="43736E32"/>
    <w:rsid w:val="43BF7671"/>
    <w:rsid w:val="43C950D9"/>
    <w:rsid w:val="43D55B62"/>
    <w:rsid w:val="43ED660A"/>
    <w:rsid w:val="443812AA"/>
    <w:rsid w:val="444C54AE"/>
    <w:rsid w:val="44946472"/>
    <w:rsid w:val="449B43BF"/>
    <w:rsid w:val="449C40FB"/>
    <w:rsid w:val="4508054D"/>
    <w:rsid w:val="4573712D"/>
    <w:rsid w:val="457E05EB"/>
    <w:rsid w:val="45992655"/>
    <w:rsid w:val="45C91190"/>
    <w:rsid w:val="46014DD4"/>
    <w:rsid w:val="46D514E0"/>
    <w:rsid w:val="46D95468"/>
    <w:rsid w:val="46DA401D"/>
    <w:rsid w:val="4712788B"/>
    <w:rsid w:val="471D44C1"/>
    <w:rsid w:val="4759454D"/>
    <w:rsid w:val="479C7B9A"/>
    <w:rsid w:val="47B604AF"/>
    <w:rsid w:val="47B6216E"/>
    <w:rsid w:val="47CE24FE"/>
    <w:rsid w:val="48070407"/>
    <w:rsid w:val="48403A7B"/>
    <w:rsid w:val="48812726"/>
    <w:rsid w:val="489777E3"/>
    <w:rsid w:val="48B23C34"/>
    <w:rsid w:val="48FE0914"/>
    <w:rsid w:val="49124FC3"/>
    <w:rsid w:val="4935338A"/>
    <w:rsid w:val="496C0799"/>
    <w:rsid w:val="497041AB"/>
    <w:rsid w:val="499477E6"/>
    <w:rsid w:val="49C82A85"/>
    <w:rsid w:val="49F3117D"/>
    <w:rsid w:val="49FE1477"/>
    <w:rsid w:val="4A116C23"/>
    <w:rsid w:val="4A4053BA"/>
    <w:rsid w:val="4A5129A6"/>
    <w:rsid w:val="4A622478"/>
    <w:rsid w:val="4A6B66AF"/>
    <w:rsid w:val="4AA771E2"/>
    <w:rsid w:val="4AC01586"/>
    <w:rsid w:val="4ACE5E81"/>
    <w:rsid w:val="4ADC7BDB"/>
    <w:rsid w:val="4AE1388F"/>
    <w:rsid w:val="4B0A650D"/>
    <w:rsid w:val="4B1503C6"/>
    <w:rsid w:val="4B747F37"/>
    <w:rsid w:val="4B836E27"/>
    <w:rsid w:val="4BAB7162"/>
    <w:rsid w:val="4BCB4D19"/>
    <w:rsid w:val="4C1F1A8F"/>
    <w:rsid w:val="4C210726"/>
    <w:rsid w:val="4C296874"/>
    <w:rsid w:val="4C8D0F89"/>
    <w:rsid w:val="4CDD5F9A"/>
    <w:rsid w:val="4CE63684"/>
    <w:rsid w:val="4D45294E"/>
    <w:rsid w:val="4D510970"/>
    <w:rsid w:val="4DB1778D"/>
    <w:rsid w:val="4DD15A5A"/>
    <w:rsid w:val="4DD615DE"/>
    <w:rsid w:val="4DED340D"/>
    <w:rsid w:val="4DFA7E76"/>
    <w:rsid w:val="4E162FFD"/>
    <w:rsid w:val="4E623024"/>
    <w:rsid w:val="4E8435A8"/>
    <w:rsid w:val="4ED1694D"/>
    <w:rsid w:val="4EE46A82"/>
    <w:rsid w:val="4EF9716E"/>
    <w:rsid w:val="4F351939"/>
    <w:rsid w:val="4F423346"/>
    <w:rsid w:val="4F4A3030"/>
    <w:rsid w:val="4F5A14F6"/>
    <w:rsid w:val="4FBC5ECB"/>
    <w:rsid w:val="500B2468"/>
    <w:rsid w:val="503F7522"/>
    <w:rsid w:val="506B738B"/>
    <w:rsid w:val="50827E48"/>
    <w:rsid w:val="509B02CD"/>
    <w:rsid w:val="50D62EB0"/>
    <w:rsid w:val="50D735C0"/>
    <w:rsid w:val="50F86E00"/>
    <w:rsid w:val="51203EBC"/>
    <w:rsid w:val="51572381"/>
    <w:rsid w:val="51902FC8"/>
    <w:rsid w:val="51C6510E"/>
    <w:rsid w:val="520048E4"/>
    <w:rsid w:val="520A635E"/>
    <w:rsid w:val="520E40CD"/>
    <w:rsid w:val="520E48E7"/>
    <w:rsid w:val="52295685"/>
    <w:rsid w:val="522E00B2"/>
    <w:rsid w:val="52470AE5"/>
    <w:rsid w:val="52702E34"/>
    <w:rsid w:val="52941C3F"/>
    <w:rsid w:val="52DD00CD"/>
    <w:rsid w:val="52ED53CB"/>
    <w:rsid w:val="53186056"/>
    <w:rsid w:val="53283E81"/>
    <w:rsid w:val="533E79D6"/>
    <w:rsid w:val="53424E73"/>
    <w:rsid w:val="536C12D2"/>
    <w:rsid w:val="5371382D"/>
    <w:rsid w:val="53BB5CCE"/>
    <w:rsid w:val="54104859"/>
    <w:rsid w:val="54210CB8"/>
    <w:rsid w:val="542D111D"/>
    <w:rsid w:val="542D68B9"/>
    <w:rsid w:val="54356E71"/>
    <w:rsid w:val="54372CB3"/>
    <w:rsid w:val="54530EAB"/>
    <w:rsid w:val="54572D67"/>
    <w:rsid w:val="54752A8A"/>
    <w:rsid w:val="54826BAE"/>
    <w:rsid w:val="548C3698"/>
    <w:rsid w:val="548F7762"/>
    <w:rsid w:val="549E312F"/>
    <w:rsid w:val="54DE59AC"/>
    <w:rsid w:val="550E1D7C"/>
    <w:rsid w:val="55542630"/>
    <w:rsid w:val="55670FAF"/>
    <w:rsid w:val="556804ED"/>
    <w:rsid w:val="55794ECA"/>
    <w:rsid w:val="55883825"/>
    <w:rsid w:val="55D367BC"/>
    <w:rsid w:val="560D79DC"/>
    <w:rsid w:val="56114C0F"/>
    <w:rsid w:val="56580FF0"/>
    <w:rsid w:val="566245BB"/>
    <w:rsid w:val="567140AB"/>
    <w:rsid w:val="567B7039"/>
    <w:rsid w:val="568A17AB"/>
    <w:rsid w:val="56C033B4"/>
    <w:rsid w:val="56ED4352"/>
    <w:rsid w:val="57084BE8"/>
    <w:rsid w:val="572264BE"/>
    <w:rsid w:val="5764146B"/>
    <w:rsid w:val="57716174"/>
    <w:rsid w:val="5774402D"/>
    <w:rsid w:val="57807F68"/>
    <w:rsid w:val="57912ADC"/>
    <w:rsid w:val="57F04691"/>
    <w:rsid w:val="5814372E"/>
    <w:rsid w:val="58244E36"/>
    <w:rsid w:val="58383828"/>
    <w:rsid w:val="587B0646"/>
    <w:rsid w:val="58892600"/>
    <w:rsid w:val="58B41FF3"/>
    <w:rsid w:val="58B73900"/>
    <w:rsid w:val="58C075BC"/>
    <w:rsid w:val="590268F8"/>
    <w:rsid w:val="59525FA9"/>
    <w:rsid w:val="597258AA"/>
    <w:rsid w:val="59792D76"/>
    <w:rsid w:val="597D605F"/>
    <w:rsid w:val="59852E89"/>
    <w:rsid w:val="59BD0E98"/>
    <w:rsid w:val="5B0827F3"/>
    <w:rsid w:val="5B386BFA"/>
    <w:rsid w:val="5B396F6C"/>
    <w:rsid w:val="5B603C53"/>
    <w:rsid w:val="5B6418A5"/>
    <w:rsid w:val="5BC57EC5"/>
    <w:rsid w:val="5BC855A8"/>
    <w:rsid w:val="5BD64543"/>
    <w:rsid w:val="5BFE5968"/>
    <w:rsid w:val="5C0658B2"/>
    <w:rsid w:val="5C1511E9"/>
    <w:rsid w:val="5C6A6099"/>
    <w:rsid w:val="5C933F9B"/>
    <w:rsid w:val="5CAA3E7D"/>
    <w:rsid w:val="5CCA53F7"/>
    <w:rsid w:val="5CDB6979"/>
    <w:rsid w:val="5D344559"/>
    <w:rsid w:val="5D65286F"/>
    <w:rsid w:val="5D6950AC"/>
    <w:rsid w:val="5D8176C0"/>
    <w:rsid w:val="5DA125EB"/>
    <w:rsid w:val="5DA83DDD"/>
    <w:rsid w:val="5DE64B0B"/>
    <w:rsid w:val="5E5039B2"/>
    <w:rsid w:val="5E5536CA"/>
    <w:rsid w:val="5E613CD5"/>
    <w:rsid w:val="5E6712F0"/>
    <w:rsid w:val="5E7267E4"/>
    <w:rsid w:val="5E7F72C5"/>
    <w:rsid w:val="5E9759D9"/>
    <w:rsid w:val="5E9E12A4"/>
    <w:rsid w:val="5EB741BF"/>
    <w:rsid w:val="5ECE1B17"/>
    <w:rsid w:val="5EEB44C1"/>
    <w:rsid w:val="5EFE0E3E"/>
    <w:rsid w:val="5F4D3DDC"/>
    <w:rsid w:val="5F60795A"/>
    <w:rsid w:val="5FB63978"/>
    <w:rsid w:val="5FF23748"/>
    <w:rsid w:val="5FF7657B"/>
    <w:rsid w:val="5FFD285B"/>
    <w:rsid w:val="602C57EE"/>
    <w:rsid w:val="60431FA3"/>
    <w:rsid w:val="60462BE3"/>
    <w:rsid w:val="60602C73"/>
    <w:rsid w:val="608C2607"/>
    <w:rsid w:val="60A67296"/>
    <w:rsid w:val="60D63B41"/>
    <w:rsid w:val="60E04C3A"/>
    <w:rsid w:val="612D428C"/>
    <w:rsid w:val="618B0270"/>
    <w:rsid w:val="61CF16A9"/>
    <w:rsid w:val="61D0034E"/>
    <w:rsid w:val="61D324FF"/>
    <w:rsid w:val="61D36AFE"/>
    <w:rsid w:val="61DC406D"/>
    <w:rsid w:val="61E7397E"/>
    <w:rsid w:val="625C588E"/>
    <w:rsid w:val="62692CF7"/>
    <w:rsid w:val="627B2068"/>
    <w:rsid w:val="627F14C7"/>
    <w:rsid w:val="62C07382"/>
    <w:rsid w:val="62F958BC"/>
    <w:rsid w:val="6346075C"/>
    <w:rsid w:val="635C7E99"/>
    <w:rsid w:val="63766795"/>
    <w:rsid w:val="638B5F98"/>
    <w:rsid w:val="63DC2CA8"/>
    <w:rsid w:val="63DC5D63"/>
    <w:rsid w:val="63E677CB"/>
    <w:rsid w:val="6440302D"/>
    <w:rsid w:val="64594B82"/>
    <w:rsid w:val="64802F0B"/>
    <w:rsid w:val="64870E01"/>
    <w:rsid w:val="64A50C0E"/>
    <w:rsid w:val="64B50076"/>
    <w:rsid w:val="64C82F18"/>
    <w:rsid w:val="64DF52F2"/>
    <w:rsid w:val="64F20F03"/>
    <w:rsid w:val="64F22569"/>
    <w:rsid w:val="64FA63BF"/>
    <w:rsid w:val="650E262A"/>
    <w:rsid w:val="65544E65"/>
    <w:rsid w:val="658E568C"/>
    <w:rsid w:val="65D71D35"/>
    <w:rsid w:val="66493D40"/>
    <w:rsid w:val="665E771A"/>
    <w:rsid w:val="666930D8"/>
    <w:rsid w:val="666A0598"/>
    <w:rsid w:val="66723515"/>
    <w:rsid w:val="6683710C"/>
    <w:rsid w:val="66A369A3"/>
    <w:rsid w:val="66AC66AB"/>
    <w:rsid w:val="66C108C3"/>
    <w:rsid w:val="66D807A3"/>
    <w:rsid w:val="672935EC"/>
    <w:rsid w:val="67516E33"/>
    <w:rsid w:val="6759467F"/>
    <w:rsid w:val="679A29E9"/>
    <w:rsid w:val="67A12509"/>
    <w:rsid w:val="67D04E9E"/>
    <w:rsid w:val="67EF4302"/>
    <w:rsid w:val="67F821CD"/>
    <w:rsid w:val="68295E39"/>
    <w:rsid w:val="682F1CCB"/>
    <w:rsid w:val="68702AEA"/>
    <w:rsid w:val="6873793D"/>
    <w:rsid w:val="691F0605"/>
    <w:rsid w:val="694D5CCB"/>
    <w:rsid w:val="695A63DA"/>
    <w:rsid w:val="699A18D0"/>
    <w:rsid w:val="69AE5DB1"/>
    <w:rsid w:val="69B07358"/>
    <w:rsid w:val="69B121CA"/>
    <w:rsid w:val="6A134777"/>
    <w:rsid w:val="6A562035"/>
    <w:rsid w:val="6A63323F"/>
    <w:rsid w:val="6B141B97"/>
    <w:rsid w:val="6B1E323C"/>
    <w:rsid w:val="6B3B17D7"/>
    <w:rsid w:val="6B4745F9"/>
    <w:rsid w:val="6B541714"/>
    <w:rsid w:val="6B70086D"/>
    <w:rsid w:val="6B7857F5"/>
    <w:rsid w:val="6B9B1204"/>
    <w:rsid w:val="6BC86245"/>
    <w:rsid w:val="6BF71667"/>
    <w:rsid w:val="6C245028"/>
    <w:rsid w:val="6C327934"/>
    <w:rsid w:val="6C4D064D"/>
    <w:rsid w:val="6C6B2530"/>
    <w:rsid w:val="6CAC597B"/>
    <w:rsid w:val="6CBE209D"/>
    <w:rsid w:val="6CC60D90"/>
    <w:rsid w:val="6CC956E8"/>
    <w:rsid w:val="6CE37056"/>
    <w:rsid w:val="6CFE2F96"/>
    <w:rsid w:val="6CFE58BD"/>
    <w:rsid w:val="6D5049D0"/>
    <w:rsid w:val="6D733C68"/>
    <w:rsid w:val="6D8E6D01"/>
    <w:rsid w:val="6E1E76CC"/>
    <w:rsid w:val="6E546A25"/>
    <w:rsid w:val="6E867F65"/>
    <w:rsid w:val="6E902A81"/>
    <w:rsid w:val="6E964BBF"/>
    <w:rsid w:val="6EE44610"/>
    <w:rsid w:val="6EE8023C"/>
    <w:rsid w:val="6EF0361F"/>
    <w:rsid w:val="6EFF7784"/>
    <w:rsid w:val="6F2C1B32"/>
    <w:rsid w:val="6F335BA3"/>
    <w:rsid w:val="6F623EFE"/>
    <w:rsid w:val="6F702CB8"/>
    <w:rsid w:val="6F8720C2"/>
    <w:rsid w:val="6F8C6BD5"/>
    <w:rsid w:val="6F965753"/>
    <w:rsid w:val="6FB8070A"/>
    <w:rsid w:val="6FF62E9B"/>
    <w:rsid w:val="70355272"/>
    <w:rsid w:val="709D4941"/>
    <w:rsid w:val="70E83C23"/>
    <w:rsid w:val="70EE6913"/>
    <w:rsid w:val="71042BA4"/>
    <w:rsid w:val="71092582"/>
    <w:rsid w:val="711025D2"/>
    <w:rsid w:val="71103CCB"/>
    <w:rsid w:val="711D53DE"/>
    <w:rsid w:val="71290114"/>
    <w:rsid w:val="713A34AC"/>
    <w:rsid w:val="715A22E9"/>
    <w:rsid w:val="71614C0C"/>
    <w:rsid w:val="71C702C7"/>
    <w:rsid w:val="71CB35BC"/>
    <w:rsid w:val="71E44AC5"/>
    <w:rsid w:val="720A41DC"/>
    <w:rsid w:val="720E643C"/>
    <w:rsid w:val="721648AF"/>
    <w:rsid w:val="72635B32"/>
    <w:rsid w:val="72787AE4"/>
    <w:rsid w:val="72A6119E"/>
    <w:rsid w:val="72DE321B"/>
    <w:rsid w:val="72E73503"/>
    <w:rsid w:val="73047E74"/>
    <w:rsid w:val="73104913"/>
    <w:rsid w:val="735954E8"/>
    <w:rsid w:val="736E1FB1"/>
    <w:rsid w:val="73D0242B"/>
    <w:rsid w:val="73FD57DC"/>
    <w:rsid w:val="74094A4C"/>
    <w:rsid w:val="741D3A88"/>
    <w:rsid w:val="7427520C"/>
    <w:rsid w:val="74761CE6"/>
    <w:rsid w:val="74AC29F8"/>
    <w:rsid w:val="74CE1F46"/>
    <w:rsid w:val="74F57C9F"/>
    <w:rsid w:val="754A35D1"/>
    <w:rsid w:val="755E6686"/>
    <w:rsid w:val="75832769"/>
    <w:rsid w:val="758F1086"/>
    <w:rsid w:val="762740EE"/>
    <w:rsid w:val="7651738C"/>
    <w:rsid w:val="76564CC2"/>
    <w:rsid w:val="76675B38"/>
    <w:rsid w:val="768B7DF6"/>
    <w:rsid w:val="76A0204F"/>
    <w:rsid w:val="76A076B7"/>
    <w:rsid w:val="76B53A13"/>
    <w:rsid w:val="76EF145E"/>
    <w:rsid w:val="7710670F"/>
    <w:rsid w:val="77143938"/>
    <w:rsid w:val="77287722"/>
    <w:rsid w:val="77351EE9"/>
    <w:rsid w:val="77D84898"/>
    <w:rsid w:val="77E57A37"/>
    <w:rsid w:val="77EA2D12"/>
    <w:rsid w:val="78144497"/>
    <w:rsid w:val="783E3710"/>
    <w:rsid w:val="786A439F"/>
    <w:rsid w:val="789662C9"/>
    <w:rsid w:val="78CE1E6B"/>
    <w:rsid w:val="78E62432"/>
    <w:rsid w:val="79147A41"/>
    <w:rsid w:val="79175283"/>
    <w:rsid w:val="794178F2"/>
    <w:rsid w:val="797B3024"/>
    <w:rsid w:val="798A5706"/>
    <w:rsid w:val="799A6276"/>
    <w:rsid w:val="79A93102"/>
    <w:rsid w:val="79F176AC"/>
    <w:rsid w:val="7A0C11BE"/>
    <w:rsid w:val="7A6C635F"/>
    <w:rsid w:val="7A771025"/>
    <w:rsid w:val="7A875AD1"/>
    <w:rsid w:val="7AA57DB3"/>
    <w:rsid w:val="7AC35CE2"/>
    <w:rsid w:val="7AC50DCB"/>
    <w:rsid w:val="7AD230C9"/>
    <w:rsid w:val="7B12541C"/>
    <w:rsid w:val="7B1E15DA"/>
    <w:rsid w:val="7B21219A"/>
    <w:rsid w:val="7B367039"/>
    <w:rsid w:val="7B935657"/>
    <w:rsid w:val="7B9A3F79"/>
    <w:rsid w:val="7BA061F6"/>
    <w:rsid w:val="7BAF6969"/>
    <w:rsid w:val="7BD67F1C"/>
    <w:rsid w:val="7BED4F80"/>
    <w:rsid w:val="7C0374B0"/>
    <w:rsid w:val="7C265086"/>
    <w:rsid w:val="7C445BF3"/>
    <w:rsid w:val="7C8C1FC4"/>
    <w:rsid w:val="7CA50C29"/>
    <w:rsid w:val="7CAF7EC7"/>
    <w:rsid w:val="7CCA2325"/>
    <w:rsid w:val="7D161B0E"/>
    <w:rsid w:val="7D266C26"/>
    <w:rsid w:val="7D6265EC"/>
    <w:rsid w:val="7DB06E62"/>
    <w:rsid w:val="7DBB23F8"/>
    <w:rsid w:val="7DDC5B1E"/>
    <w:rsid w:val="7DDE07A0"/>
    <w:rsid w:val="7E1962DF"/>
    <w:rsid w:val="7E3F1C4E"/>
    <w:rsid w:val="7ECB129E"/>
    <w:rsid w:val="7EEE32BE"/>
    <w:rsid w:val="7F176E43"/>
    <w:rsid w:val="7F671FDA"/>
    <w:rsid w:val="7F8A49FE"/>
    <w:rsid w:val="7FD84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qFormat="1"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4"/>
      <w:lang w:val="en-US" w:eastAsia="zh-CN" w:bidi="ar-SA"/>
    </w:rPr>
  </w:style>
  <w:style w:type="paragraph" w:styleId="2">
    <w:name w:val="heading 1"/>
    <w:basedOn w:val="1"/>
    <w:next w:val="1"/>
    <w:link w:val="21"/>
    <w:qFormat/>
    <w:uiPriority w:val="0"/>
    <w:pPr>
      <w:keepNext/>
      <w:keepLines/>
      <w:spacing w:before="340" w:beforeLines="0" w:beforeAutospacing="0" w:after="330" w:afterLines="0" w:afterAutospacing="0" w:line="576" w:lineRule="auto"/>
      <w:jc w:val="center"/>
      <w:outlineLvl w:val="0"/>
    </w:pPr>
    <w:rPr>
      <w:rFonts w:eastAsia="宋体"/>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494"/>
      </w:tabs>
    </w:pPr>
    <w:rPr>
      <w:rFonts w:ascii="仿宋_GB2312" w:eastAsia="仿宋_GB2312"/>
      <w:sz w:val="32"/>
      <w:szCs w:val="32"/>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11">
    <w:name w:val="Table Web 1"/>
    <w:basedOn w:val="1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13">
    <w:name w:val="Strong"/>
    <w:basedOn w:val="12"/>
    <w:qFormat/>
    <w:uiPriority w:val="22"/>
    <w:rPr>
      <w:b/>
      <w:bCs/>
    </w:rPr>
  </w:style>
  <w:style w:type="character" w:styleId="14">
    <w:name w:val="page number"/>
    <w:basedOn w:val="12"/>
    <w:qFormat/>
    <w:uiPriority w:val="0"/>
  </w:style>
  <w:style w:type="character" w:styleId="15">
    <w:name w:val="Hyperlink"/>
    <w:basedOn w:val="12"/>
    <w:qFormat/>
    <w:uiPriority w:val="0"/>
    <w:rPr>
      <w:color w:val="0000FF"/>
      <w:u w:val="single"/>
    </w:rPr>
  </w:style>
  <w:style w:type="paragraph" w:customStyle="1" w:styleId="16">
    <w:name w:val="List Paragraph"/>
    <w:basedOn w:val="1"/>
    <w:qFormat/>
    <w:uiPriority w:val="0"/>
    <w:pPr>
      <w:ind w:firstLine="420" w:firstLineChars="200"/>
    </w:pPr>
    <w:rPr>
      <w:rFonts w:ascii="Calibri" w:hAnsi="Calibri"/>
      <w:szCs w:val="22"/>
    </w:rPr>
  </w:style>
  <w:style w:type="paragraph" w:customStyle="1" w:styleId="17">
    <w:name w:val="title15"/>
    <w:basedOn w:val="1"/>
    <w:qFormat/>
    <w:uiPriority w:val="0"/>
    <w:pPr>
      <w:widowControl/>
      <w:spacing w:before="100" w:beforeAutospacing="1" w:after="100" w:afterAutospacing="1"/>
      <w:jc w:val="left"/>
    </w:pPr>
    <w:rPr>
      <w:rFonts w:ascii="黑体" w:hAnsi="黑体" w:eastAsia="黑体" w:cs="宋体"/>
      <w:b/>
      <w:bCs/>
      <w:kern w:val="0"/>
      <w:sz w:val="30"/>
      <w:szCs w:val="30"/>
    </w:rPr>
  </w:style>
  <w:style w:type="paragraph" w:customStyle="1" w:styleId="18">
    <w:name w:val="列出段落"/>
    <w:basedOn w:val="1"/>
    <w:qFormat/>
    <w:uiPriority w:val="0"/>
    <w:pPr>
      <w:ind w:firstLine="420" w:firstLineChars="200"/>
    </w:pPr>
    <w:rPr>
      <w:rFonts w:ascii="Calibri" w:hAnsi="Calibri"/>
      <w:szCs w:val="22"/>
    </w:rPr>
  </w:style>
  <w:style w:type="paragraph" w:customStyle="1" w:styleId="19">
    <w:name w:val="WPSOffice手动目录 1"/>
    <w:qFormat/>
    <w:uiPriority w:val="0"/>
    <w:pPr>
      <w:ind w:leftChars="0"/>
    </w:pPr>
    <w:rPr>
      <w:rFonts w:ascii="Calibri" w:hAnsi="Calibri" w:eastAsia="宋体" w:cs="Times New Roman"/>
      <w:sz w:val="20"/>
      <w:szCs w:val="20"/>
    </w:rPr>
  </w:style>
  <w:style w:type="paragraph" w:customStyle="1" w:styleId="20">
    <w:name w:val="WPSOffice手动目录 2"/>
    <w:qFormat/>
    <w:uiPriority w:val="0"/>
    <w:pPr>
      <w:ind w:leftChars="200"/>
    </w:pPr>
    <w:rPr>
      <w:rFonts w:ascii="Calibri" w:hAnsi="Calibri" w:eastAsia="宋体" w:cs="Times New Roman"/>
      <w:sz w:val="20"/>
      <w:szCs w:val="20"/>
    </w:rPr>
  </w:style>
  <w:style w:type="character" w:customStyle="1" w:styleId="21">
    <w:name w:val="标题 1 Char"/>
    <w:link w:val="2"/>
    <w:qFormat/>
    <w:uiPriority w:val="0"/>
    <w:rPr>
      <w:rFonts w:eastAsia="宋体"/>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43295</Words>
  <Characters>43579</Characters>
  <Lines>0</Lines>
  <Paragraphs>0</Paragraphs>
  <TotalTime>1</TotalTime>
  <ScaleCrop>false</ScaleCrop>
  <LinksUpToDate>false</LinksUpToDate>
  <CharactersWithSpaces>45159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2020-05-25T02:13:00Z</dcterms:created>
  <dc:creator>Administrator</dc:creator>
  <cp:lastModifiedBy>Administrator</cp:lastModifiedBy>
  <cp:lastPrinted>2020-09-30T07:33:00Z</cp:lastPrinted>
  <dcterms:modified xsi:type="dcterms:W3CDTF">2023-07-10T03:19:26Z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CB217F669A7342A797A87F0F0DF16626</vt:lpwstr>
  </property>
</Properties>
</file>