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4"/>
          <w:szCs w:val="44"/>
        </w:rPr>
      </w:pPr>
      <w:r>
        <w:rPr>
          <w:sz w:val="52"/>
        </w:rPr>
        <mc:AlternateContent>
          <mc:Choice Requires="wps">
            <w:drawing>
              <wp:anchor distT="0" distB="0" distL="114300" distR="114300" simplePos="0" relativeHeight="251664384" behindDoc="0" locked="0" layoutInCell="1" allowOverlap="1">
                <wp:simplePos x="0" y="0"/>
                <wp:positionH relativeFrom="column">
                  <wp:posOffset>2181225</wp:posOffset>
                </wp:positionH>
                <wp:positionV relativeFrom="paragraph">
                  <wp:posOffset>-154305</wp:posOffset>
                </wp:positionV>
                <wp:extent cx="1828800" cy="7813675"/>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7813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仿宋" w:hAnsi="仿宋" w:cs="仿宋"/>
                                <w:b/>
                                <w:bCs/>
                                <w:color w:val="000000" w:themeColor="text1"/>
                                <w:sz w:val="96"/>
                                <w:szCs w:val="96"/>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pPr>
                            <w:r>
                              <w:rPr>
                                <w:rFonts w:hint="eastAsia" w:ascii="仿宋" w:hAnsi="仿宋" w:cs="仿宋"/>
                                <w:b/>
                                <w:bCs/>
                                <w:color w:val="000000" w:themeColor="text1"/>
                                <w:sz w:val="96"/>
                                <w:szCs w:val="96"/>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t>生</w:t>
                            </w:r>
                          </w:p>
                          <w:p>
                            <w:pPr>
                              <w:rPr>
                                <w:rFonts w:ascii="仿宋" w:hAnsi="仿宋" w:cs="仿宋"/>
                                <w:b/>
                                <w:bCs/>
                                <w:color w:val="000000" w:themeColor="text1"/>
                                <w:sz w:val="96"/>
                                <w:szCs w:val="96"/>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pPr>
                            <w:r>
                              <w:rPr>
                                <w:rFonts w:hint="eastAsia" w:ascii="仿宋" w:hAnsi="仿宋" w:cs="仿宋"/>
                                <w:b/>
                                <w:bCs/>
                                <w:color w:val="000000" w:themeColor="text1"/>
                                <w:sz w:val="96"/>
                                <w:szCs w:val="96"/>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t>态</w:t>
                            </w:r>
                          </w:p>
                          <w:p>
                            <w:pPr>
                              <w:rPr>
                                <w:rFonts w:ascii="仿宋" w:hAnsi="仿宋" w:cs="仿宋"/>
                                <w:b/>
                                <w:bCs/>
                                <w:color w:val="000000" w:themeColor="text1"/>
                                <w:sz w:val="96"/>
                                <w:szCs w:val="96"/>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pPr>
                            <w:r>
                              <w:rPr>
                                <w:rFonts w:hint="eastAsia" w:ascii="仿宋" w:hAnsi="仿宋" w:cs="仿宋"/>
                                <w:b/>
                                <w:bCs/>
                                <w:color w:val="000000" w:themeColor="text1"/>
                                <w:sz w:val="96"/>
                                <w:szCs w:val="96"/>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t>新</w:t>
                            </w:r>
                          </w:p>
                          <w:p>
                            <w:pPr>
                              <w:rPr>
                                <w:rFonts w:ascii="仿宋" w:hAnsi="仿宋" w:cs="仿宋"/>
                                <w:b/>
                                <w:bCs/>
                                <w:color w:val="000000" w:themeColor="text1"/>
                                <w:sz w:val="96"/>
                                <w:szCs w:val="96"/>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pPr>
                            <w:r>
                              <w:rPr>
                                <w:rFonts w:hint="eastAsia" w:ascii="仿宋" w:hAnsi="仿宋" w:cs="仿宋"/>
                                <w:b/>
                                <w:bCs/>
                                <w:color w:val="000000" w:themeColor="text1"/>
                                <w:sz w:val="96"/>
                                <w:szCs w:val="96"/>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t>区</w:t>
                            </w:r>
                          </w:p>
                          <w:p>
                            <w:pPr>
                              <w:rPr>
                                <w:rFonts w:ascii="仿宋" w:hAnsi="仿宋" w:cs="仿宋"/>
                                <w:b/>
                                <w:bCs/>
                                <w:color w:val="000000" w:themeColor="text1"/>
                                <w:sz w:val="96"/>
                                <w:szCs w:val="96"/>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pPr>
                            <w:r>
                              <w:rPr>
                                <w:rFonts w:hint="eastAsia" w:ascii="仿宋" w:hAnsi="仿宋" w:cs="仿宋"/>
                                <w:b/>
                                <w:bCs/>
                                <w:color w:val="000000" w:themeColor="text1"/>
                                <w:sz w:val="96"/>
                                <w:szCs w:val="96"/>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t>制</w:t>
                            </w:r>
                          </w:p>
                          <w:p>
                            <w:pPr>
                              <w:rPr>
                                <w:rFonts w:ascii="仿宋" w:hAnsi="仿宋" w:cs="仿宋"/>
                                <w:b/>
                                <w:bCs/>
                                <w:color w:val="000000" w:themeColor="text1"/>
                                <w:sz w:val="96"/>
                                <w:szCs w:val="96"/>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pPr>
                            <w:r>
                              <w:rPr>
                                <w:rFonts w:hint="eastAsia" w:ascii="仿宋" w:hAnsi="仿宋" w:cs="仿宋"/>
                                <w:b/>
                                <w:bCs/>
                                <w:color w:val="000000" w:themeColor="text1"/>
                                <w:sz w:val="96"/>
                                <w:szCs w:val="96"/>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t>度</w:t>
                            </w:r>
                          </w:p>
                          <w:p>
                            <w:pPr>
                              <w:rPr>
                                <w:rFonts w:ascii="仿宋" w:hAnsi="仿宋" w:cs="仿宋"/>
                                <w:b/>
                                <w:bCs/>
                                <w:color w:val="000000" w:themeColor="text1"/>
                                <w:sz w:val="96"/>
                                <w:szCs w:val="96"/>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pPr>
                            <w:r>
                              <w:rPr>
                                <w:rFonts w:hint="eastAsia" w:ascii="仿宋" w:hAnsi="仿宋" w:cs="仿宋"/>
                                <w:b/>
                                <w:bCs/>
                                <w:color w:val="000000" w:themeColor="text1"/>
                                <w:sz w:val="96"/>
                                <w:szCs w:val="96"/>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t>汇</w:t>
                            </w:r>
                          </w:p>
                          <w:p>
                            <w:pPr>
                              <w:rPr>
                                <w:b/>
                                <w:bCs/>
                                <w:color w:val="000000" w:themeColor="text1"/>
                                <w:sz w:val="72"/>
                                <w:szCs w:val="72"/>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pPr>
                            <w:r>
                              <w:rPr>
                                <w:rFonts w:hint="eastAsia" w:ascii="仿宋" w:hAnsi="仿宋" w:cs="仿宋"/>
                                <w:b/>
                                <w:bCs/>
                                <w:color w:val="000000" w:themeColor="text1"/>
                                <w:sz w:val="96"/>
                                <w:szCs w:val="96"/>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t>编</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75pt;margin-top:-12.15pt;height:615.25pt;width:144pt;mso-wrap-style:none;z-index:251664384;mso-width-relative:page;mso-height-relative:page;" filled="f" stroked="f" coordsize="21600,21600" o:gfxdata="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Fcx+N0AAAAMAQAADwAAAAAAAAABACAAAAAiAAAA&#10;ZHJzL2Rvd25yZXYueG1sUEsBAhQAFAAAAAgAh07iQKXJmPo7AgAAaQQAAA4AAAAAAAAAAQAgAAAA&#10;LAEAAGRycy9lMm9Eb2MueG1sUEsFBgAAAAAGAAYAWQEAANkFAAAAAA==&#10;">
                <v:fill on="f" focussize="0,0"/>
                <v:stroke on="f" weight="0.5pt"/>
                <v:imagedata o:title=""/>
                <o:lock v:ext="edit" aspectratio="f"/>
                <v:textbox>
                  <w:txbxContent>
                    <w:p>
                      <w:pPr>
                        <w:rPr>
                          <w:rFonts w:ascii="仿宋" w:hAnsi="仿宋" w:cs="仿宋"/>
                          <w:b/>
                          <w:bCs/>
                          <w:color w:val="000000" w:themeColor="text1"/>
                          <w:sz w:val="96"/>
                          <w:szCs w:val="96"/>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pPr>
                      <w:r>
                        <w:rPr>
                          <w:rFonts w:hint="eastAsia" w:ascii="仿宋" w:hAnsi="仿宋" w:cs="仿宋"/>
                          <w:b/>
                          <w:bCs/>
                          <w:color w:val="000000" w:themeColor="text1"/>
                          <w:sz w:val="96"/>
                          <w:szCs w:val="96"/>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t>生</w:t>
                      </w:r>
                    </w:p>
                    <w:p>
                      <w:pPr>
                        <w:rPr>
                          <w:rFonts w:ascii="仿宋" w:hAnsi="仿宋" w:cs="仿宋"/>
                          <w:b/>
                          <w:bCs/>
                          <w:color w:val="000000" w:themeColor="text1"/>
                          <w:sz w:val="96"/>
                          <w:szCs w:val="96"/>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pPr>
                      <w:r>
                        <w:rPr>
                          <w:rFonts w:hint="eastAsia" w:ascii="仿宋" w:hAnsi="仿宋" w:cs="仿宋"/>
                          <w:b/>
                          <w:bCs/>
                          <w:color w:val="000000" w:themeColor="text1"/>
                          <w:sz w:val="96"/>
                          <w:szCs w:val="96"/>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t>态</w:t>
                      </w:r>
                    </w:p>
                    <w:p>
                      <w:pPr>
                        <w:rPr>
                          <w:rFonts w:ascii="仿宋" w:hAnsi="仿宋" w:cs="仿宋"/>
                          <w:b/>
                          <w:bCs/>
                          <w:color w:val="000000" w:themeColor="text1"/>
                          <w:sz w:val="96"/>
                          <w:szCs w:val="96"/>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pPr>
                      <w:r>
                        <w:rPr>
                          <w:rFonts w:hint="eastAsia" w:ascii="仿宋" w:hAnsi="仿宋" w:cs="仿宋"/>
                          <w:b/>
                          <w:bCs/>
                          <w:color w:val="000000" w:themeColor="text1"/>
                          <w:sz w:val="96"/>
                          <w:szCs w:val="96"/>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t>新</w:t>
                      </w:r>
                    </w:p>
                    <w:p>
                      <w:pPr>
                        <w:rPr>
                          <w:rFonts w:ascii="仿宋" w:hAnsi="仿宋" w:cs="仿宋"/>
                          <w:b/>
                          <w:bCs/>
                          <w:color w:val="000000" w:themeColor="text1"/>
                          <w:sz w:val="96"/>
                          <w:szCs w:val="96"/>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pPr>
                      <w:r>
                        <w:rPr>
                          <w:rFonts w:hint="eastAsia" w:ascii="仿宋" w:hAnsi="仿宋" w:cs="仿宋"/>
                          <w:b/>
                          <w:bCs/>
                          <w:color w:val="000000" w:themeColor="text1"/>
                          <w:sz w:val="96"/>
                          <w:szCs w:val="96"/>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t>区</w:t>
                      </w:r>
                    </w:p>
                    <w:p>
                      <w:pPr>
                        <w:rPr>
                          <w:rFonts w:ascii="仿宋" w:hAnsi="仿宋" w:cs="仿宋"/>
                          <w:b/>
                          <w:bCs/>
                          <w:color w:val="000000" w:themeColor="text1"/>
                          <w:sz w:val="96"/>
                          <w:szCs w:val="96"/>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pPr>
                      <w:r>
                        <w:rPr>
                          <w:rFonts w:hint="eastAsia" w:ascii="仿宋" w:hAnsi="仿宋" w:cs="仿宋"/>
                          <w:b/>
                          <w:bCs/>
                          <w:color w:val="000000" w:themeColor="text1"/>
                          <w:sz w:val="96"/>
                          <w:szCs w:val="96"/>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t>制</w:t>
                      </w:r>
                    </w:p>
                    <w:p>
                      <w:pPr>
                        <w:rPr>
                          <w:rFonts w:ascii="仿宋" w:hAnsi="仿宋" w:cs="仿宋"/>
                          <w:b/>
                          <w:bCs/>
                          <w:color w:val="000000" w:themeColor="text1"/>
                          <w:sz w:val="96"/>
                          <w:szCs w:val="96"/>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pPr>
                      <w:r>
                        <w:rPr>
                          <w:rFonts w:hint="eastAsia" w:ascii="仿宋" w:hAnsi="仿宋" w:cs="仿宋"/>
                          <w:b/>
                          <w:bCs/>
                          <w:color w:val="000000" w:themeColor="text1"/>
                          <w:sz w:val="96"/>
                          <w:szCs w:val="96"/>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t>度</w:t>
                      </w:r>
                    </w:p>
                    <w:p>
                      <w:pPr>
                        <w:rPr>
                          <w:rFonts w:ascii="仿宋" w:hAnsi="仿宋" w:cs="仿宋"/>
                          <w:b/>
                          <w:bCs/>
                          <w:color w:val="000000" w:themeColor="text1"/>
                          <w:sz w:val="96"/>
                          <w:szCs w:val="96"/>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pPr>
                      <w:r>
                        <w:rPr>
                          <w:rFonts w:hint="eastAsia" w:ascii="仿宋" w:hAnsi="仿宋" w:cs="仿宋"/>
                          <w:b/>
                          <w:bCs/>
                          <w:color w:val="000000" w:themeColor="text1"/>
                          <w:sz w:val="96"/>
                          <w:szCs w:val="96"/>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t>汇</w:t>
                      </w:r>
                    </w:p>
                    <w:p>
                      <w:pPr>
                        <w:rPr>
                          <w:b/>
                          <w:bCs/>
                          <w:color w:val="000000" w:themeColor="text1"/>
                          <w:sz w:val="72"/>
                          <w:szCs w:val="72"/>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pPr>
                      <w:r>
                        <w:rPr>
                          <w:rFonts w:hint="eastAsia" w:ascii="仿宋" w:hAnsi="仿宋" w:cs="仿宋"/>
                          <w:b/>
                          <w:bCs/>
                          <w:color w:val="000000" w:themeColor="text1"/>
                          <w:sz w:val="96"/>
                          <w:szCs w:val="96"/>
                          <w14:shadow w14:blurRad="50800" w14:dist="38100" w14:dir="2700000" w14:sx="100000" w14:sy="100000" w14:kx="0" w14:ky="0" w14:algn="tl">
                            <w14:srgbClr w14:val="000000">
                              <w14:alpha w14:val="60000"/>
                            </w14:srgbClr>
                          </w14:shadow>
                          <w14:textFill>
                            <w14:solidFill>
                              <w14:schemeClr w14:val="tx1"/>
                            </w14:solidFill>
                          </w14:textFill>
                          <w14:props3d w14:extrusionH="0" w14:contourW="0" w14:prstMaterial="clear"/>
                        </w:rPr>
                        <w:t>编</w:t>
                      </w:r>
                    </w:p>
                  </w:txbxContent>
                </v:textbox>
              </v:shape>
            </w:pict>
          </mc:Fallback>
        </mc:AlternateContent>
      </w:r>
    </w:p>
    <w:p>
      <w:pPr>
        <w:rPr>
          <w:rFonts w:ascii="宋体" w:hAnsi="宋体"/>
          <w:b/>
          <w:sz w:val="44"/>
          <w:szCs w:val="44"/>
        </w:rPr>
      </w:pPr>
    </w:p>
    <w:p>
      <w:pPr>
        <w:jc w:val="center"/>
        <w:rPr>
          <w:rFonts w:ascii="宋体" w:hAnsi="宋体"/>
          <w:b/>
          <w:sz w:val="44"/>
          <w:szCs w:val="44"/>
        </w:rPr>
      </w:pPr>
    </w:p>
    <w:p>
      <w:pPr>
        <w:jc w:val="center"/>
        <w:rPr>
          <w:rFonts w:ascii="黑体" w:hAnsi="宋体" w:eastAsia="黑体"/>
          <w:b/>
          <w:sz w:val="52"/>
          <w:szCs w:val="52"/>
        </w:rPr>
      </w:pPr>
    </w:p>
    <w:p>
      <w:pPr>
        <w:jc w:val="center"/>
        <w:rPr>
          <w:rFonts w:ascii="黑体" w:hAnsi="宋体" w:eastAsia="黑体"/>
          <w:b/>
          <w:sz w:val="52"/>
          <w:szCs w:val="52"/>
        </w:rPr>
      </w:pPr>
    </w:p>
    <w:p>
      <w:pPr>
        <w:jc w:val="center"/>
        <w:rPr>
          <w:rFonts w:ascii="宋体" w:hAnsi="宋体"/>
          <w:b/>
          <w:sz w:val="44"/>
          <w:szCs w:val="44"/>
        </w:rPr>
      </w:pPr>
    </w:p>
    <w:p>
      <w:pPr>
        <w:jc w:val="center"/>
        <w:rPr>
          <w:rFonts w:ascii="宋体" w:hAnsi="宋体"/>
          <w:b/>
          <w:sz w:val="44"/>
          <w:szCs w:val="44"/>
        </w:rPr>
      </w:pPr>
    </w:p>
    <w:p>
      <w:pPr>
        <w:jc w:val="center"/>
        <w:rPr>
          <w:rFonts w:ascii="宋体" w:hAnsi="宋体"/>
          <w:b/>
          <w:sz w:val="44"/>
          <w:szCs w:val="44"/>
        </w:rPr>
      </w:pPr>
    </w:p>
    <w:p>
      <w:pPr>
        <w:jc w:val="center"/>
        <w:rPr>
          <w:rFonts w:ascii="宋体" w:hAnsi="宋体"/>
          <w:b/>
          <w:sz w:val="44"/>
          <w:szCs w:val="44"/>
        </w:rPr>
      </w:pPr>
    </w:p>
    <w:p>
      <w:pPr>
        <w:jc w:val="center"/>
        <w:rPr>
          <w:rFonts w:ascii="宋体" w:hAnsi="宋体"/>
          <w:b/>
          <w:sz w:val="44"/>
          <w:szCs w:val="44"/>
        </w:rPr>
      </w:pPr>
    </w:p>
    <w:p>
      <w:pPr>
        <w:jc w:val="center"/>
        <w:rPr>
          <w:rFonts w:ascii="宋体" w:hAnsi="宋体"/>
          <w:b/>
          <w:sz w:val="44"/>
          <w:szCs w:val="44"/>
        </w:rPr>
      </w:pPr>
    </w:p>
    <w:p>
      <w:pPr>
        <w:jc w:val="center"/>
        <w:rPr>
          <w:rFonts w:ascii="宋体" w:hAnsi="宋体"/>
          <w:b/>
          <w:sz w:val="44"/>
          <w:szCs w:val="44"/>
        </w:rPr>
      </w:pPr>
    </w:p>
    <w:p>
      <w:pPr>
        <w:jc w:val="center"/>
        <w:rPr>
          <w:rFonts w:ascii="宋体" w:hAnsi="宋体"/>
          <w:b/>
          <w:sz w:val="44"/>
          <w:szCs w:val="44"/>
        </w:rPr>
      </w:pPr>
    </w:p>
    <w:p>
      <w:pPr>
        <w:jc w:val="center"/>
        <w:rPr>
          <w:rFonts w:ascii="宋体" w:hAnsi="宋体"/>
          <w:b/>
          <w:sz w:val="44"/>
          <w:szCs w:val="44"/>
        </w:rPr>
      </w:pPr>
    </w:p>
    <w:p>
      <w:pPr>
        <w:ind w:right="640"/>
        <w:jc w:val="center"/>
        <w:rPr>
          <w:rFonts w:ascii="仿宋_GB2312" w:hAnsi="宋体" w:eastAsia="仿宋_GB2312"/>
          <w:sz w:val="36"/>
          <w:szCs w:val="36"/>
        </w:rPr>
      </w:pPr>
      <w:r>
        <w:rPr>
          <w:rFonts w:hint="eastAsia" w:ascii="仿宋_GB2312" w:hAnsi="宋体" w:eastAsia="仿宋_GB2312"/>
          <w:sz w:val="36"/>
          <w:szCs w:val="36"/>
        </w:rPr>
        <w:t xml:space="preserve">     </w:t>
      </w:r>
    </w:p>
    <w:p>
      <w:pPr>
        <w:ind w:right="640"/>
        <w:jc w:val="center"/>
        <w:rPr>
          <w:rFonts w:ascii="仿宋_GB2312" w:hAnsi="宋体" w:eastAsia="仿宋_GB2312"/>
          <w:sz w:val="36"/>
          <w:szCs w:val="36"/>
        </w:rPr>
      </w:pPr>
    </w:p>
    <w:p>
      <w:pPr>
        <w:ind w:right="640"/>
        <w:jc w:val="center"/>
        <w:rPr>
          <w:rFonts w:ascii="仿宋_GB2312" w:hAnsi="宋体" w:eastAsia="仿宋_GB2312"/>
          <w:sz w:val="36"/>
          <w:szCs w:val="36"/>
        </w:rPr>
      </w:pPr>
    </w:p>
    <w:p>
      <w:pPr>
        <w:ind w:right="640"/>
        <w:jc w:val="center"/>
        <w:rPr>
          <w:rFonts w:ascii="仿宋_GB2312" w:hAnsi="宋体" w:eastAsia="仿宋_GB2312"/>
          <w:sz w:val="36"/>
          <w:szCs w:val="36"/>
        </w:rPr>
      </w:pPr>
    </w:p>
    <w:p>
      <w:pPr>
        <w:rPr>
          <w:rFonts w:asciiTheme="majorEastAsia" w:hAnsiTheme="majorEastAsia" w:eastAsiaTheme="majorEastAsia" w:cstheme="majorEastAsia"/>
          <w:b/>
          <w:bCs/>
          <w:sz w:val="44"/>
          <w:szCs w:val="44"/>
        </w:rPr>
      </w:pPr>
      <w:r>
        <w:rPr>
          <w:sz w:val="36"/>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97155</wp:posOffset>
                </wp:positionV>
                <wp:extent cx="5218430" cy="12192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5218430" cy="1219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楷体" w:hAnsi="楷体" w:eastAsia="楷体" w:cs="楷体"/>
                                <w:b/>
                                <w:bCs/>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jc w:val="center"/>
                              <w:rPr>
                                <w:rFonts w:ascii="楷体" w:hAnsi="楷体" w:eastAsia="楷体" w:cs="楷体"/>
                                <w:b/>
                                <w:bCs/>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 w:hAnsi="楷体" w:eastAsia="楷体" w:cs="楷体"/>
                                <w:b/>
                                <w:bCs/>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白城市生态新区建设领导小组办公室</w:t>
                            </w:r>
                          </w:p>
                          <w:p>
                            <w:pPr>
                              <w:jc w:val="center"/>
                              <w:rPr>
                                <w:rFonts w:ascii="楷体" w:hAnsi="楷体" w:eastAsia="楷体" w:cs="楷体"/>
                                <w:b/>
                                <w:bCs/>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 w:hAnsi="楷体" w:eastAsia="楷体" w:cs="楷体"/>
                                <w:b/>
                                <w:bCs/>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2020年9月制</w:t>
                            </w:r>
                          </w:p>
                          <w:p>
                            <w:pPr>
                              <w:jc w:val="center"/>
                              <w:rPr>
                                <w:rFonts w:ascii="楷体" w:hAnsi="楷体" w:eastAsia="楷体" w:cs="楷体"/>
                                <w:b/>
                                <w:bCs/>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jc w:val="center"/>
                              <w:rPr>
                                <w:rFonts w:ascii="楷体" w:hAnsi="楷体" w:eastAsia="楷体" w:cs="楷体"/>
                                <w:b/>
                                <w:bCs/>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jc w:val="center"/>
                              <w:rPr>
                                <w:rFonts w:ascii="楷体" w:hAnsi="楷体" w:eastAsia="楷体" w:cs="楷体"/>
                                <w:b/>
                                <w:bCs/>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7.65pt;height:96pt;width:410.9pt;z-index:251665408;mso-width-relative:page;mso-height-relative:page;" filled="f" stroked="f" coordsize="21600,21600" o:gfxdata="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1j829gAAAAHAQAADwAAAAAAAAABACAAAAAiAAAAZHJz&#10;L2Rvd25yZXYueG1sUEsBAhQAFAAAAAgAh07iQJLRrMU9AgAAawQAAA4AAAAAAAAAAQAgAAAAJwEA&#10;AGRycy9lMm9Eb2MueG1sUEsFBgAAAAAGAAYAWQEAANYFAAAAAA==&#10;">
                <v:fill on="f" focussize="0,0"/>
                <v:stroke on="f" weight="0.5pt"/>
                <v:imagedata o:title=""/>
                <o:lock v:ext="edit" aspectratio="f"/>
                <v:textbox>
                  <w:txbxContent>
                    <w:p>
                      <w:pPr>
                        <w:jc w:val="center"/>
                        <w:rPr>
                          <w:rFonts w:ascii="楷体" w:hAnsi="楷体" w:eastAsia="楷体" w:cs="楷体"/>
                          <w:b/>
                          <w:bCs/>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jc w:val="center"/>
                        <w:rPr>
                          <w:rFonts w:ascii="楷体" w:hAnsi="楷体" w:eastAsia="楷体" w:cs="楷体"/>
                          <w:b/>
                          <w:bCs/>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 w:hAnsi="楷体" w:eastAsia="楷体" w:cs="楷体"/>
                          <w:b/>
                          <w:bCs/>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白城市生态新区建设领导小组办公室</w:t>
                      </w:r>
                    </w:p>
                    <w:p>
                      <w:pPr>
                        <w:jc w:val="center"/>
                        <w:rPr>
                          <w:rFonts w:ascii="楷体" w:hAnsi="楷体" w:eastAsia="楷体" w:cs="楷体"/>
                          <w:b/>
                          <w:bCs/>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 w:hAnsi="楷体" w:eastAsia="楷体" w:cs="楷体"/>
                          <w:b/>
                          <w:bCs/>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2020年9月制</w:t>
                      </w:r>
                    </w:p>
                    <w:p>
                      <w:pPr>
                        <w:jc w:val="center"/>
                        <w:rPr>
                          <w:rFonts w:ascii="楷体" w:hAnsi="楷体" w:eastAsia="楷体" w:cs="楷体"/>
                          <w:b/>
                          <w:bCs/>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jc w:val="center"/>
                        <w:rPr>
                          <w:rFonts w:ascii="楷体" w:hAnsi="楷体" w:eastAsia="楷体" w:cs="楷体"/>
                          <w:b/>
                          <w:bCs/>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jc w:val="center"/>
                        <w:rPr>
                          <w:rFonts w:ascii="楷体" w:hAnsi="楷体" w:eastAsia="楷体" w:cs="楷体"/>
                          <w:b/>
                          <w:bCs/>
                          <w:color w:val="000000" w:themeColor="text1"/>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txbxContent>
                </v:textbox>
              </v:shape>
            </w:pict>
          </mc:Fallback>
        </mc:AlternateContent>
      </w:r>
      <w:r>
        <w:rPr>
          <w:rFonts w:hint="eastAsia" w:asciiTheme="majorEastAsia" w:hAnsiTheme="majorEastAsia" w:eastAsiaTheme="majorEastAsia" w:cstheme="majorEastAsia"/>
          <w:b/>
          <w:bCs/>
          <w:sz w:val="44"/>
          <w:szCs w:val="44"/>
        </w:rPr>
        <w:t xml:space="preserve"> </w:t>
      </w:r>
    </w:p>
    <w:p>
      <w:pPr>
        <w:jc w:val="center"/>
        <w:rPr>
          <w:rFonts w:asciiTheme="majorEastAsia" w:hAnsiTheme="majorEastAsia" w:eastAsiaTheme="majorEastAsia" w:cstheme="majorEastAsia"/>
          <w:b/>
          <w:bCs/>
          <w:sz w:val="44"/>
          <w:szCs w:val="44"/>
        </w:rPr>
      </w:pPr>
    </w:p>
    <w:p>
      <w:pPr>
        <w:jc w:val="center"/>
        <w:rPr>
          <w:rFonts w:asciiTheme="majorEastAsia" w:hAnsiTheme="majorEastAsia" w:eastAsiaTheme="majorEastAsia" w:cstheme="majorEastAsia"/>
          <w:b/>
          <w:bCs/>
          <w:sz w:val="44"/>
          <w:szCs w:val="44"/>
        </w:rPr>
        <w:sectPr>
          <w:headerReference r:id="rId3" w:type="default"/>
          <w:pgSz w:w="11906" w:h="16838"/>
          <w:pgMar w:top="1440" w:right="1800" w:bottom="1440" w:left="1800" w:header="851" w:footer="992" w:gutter="0"/>
          <w:pgNumType w:fmt="numberInDash"/>
          <w:cols w:space="425" w:num="1"/>
          <w:docGrid w:type="lines" w:linePitch="312" w:charSpace="0"/>
        </w:sectPr>
      </w:pPr>
    </w:p>
    <w:p>
      <w:pPr>
        <w:spacing w:line="360" w:lineRule="auto"/>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前   言</w:t>
      </w:r>
    </w:p>
    <w:p>
      <w:pPr>
        <w:spacing w:line="360" w:lineRule="auto"/>
        <w:jc w:val="center"/>
        <w:rPr>
          <w:rFonts w:asciiTheme="majorEastAsia" w:hAnsiTheme="majorEastAsia" w:eastAsiaTheme="majorEastAsia" w:cstheme="majorEastAsia"/>
          <w:b/>
          <w:bCs/>
          <w:sz w:val="44"/>
          <w:szCs w:val="44"/>
        </w:rPr>
      </w:pPr>
    </w:p>
    <w:p>
      <w:pPr>
        <w:spacing w:line="360" w:lineRule="auto"/>
        <w:rPr>
          <w:rFonts w:ascii="仿宋" w:hAnsi="仿宋" w:cs="仿宋"/>
          <w:szCs w:val="32"/>
        </w:rPr>
      </w:pPr>
      <w:r>
        <w:rPr>
          <w:rFonts w:hint="eastAsia" w:ascii="方正仿宋_GBK" w:hAnsi="仿宋" w:eastAsia="方正仿宋_GBK"/>
          <w:szCs w:val="32"/>
        </w:rPr>
        <w:t xml:space="preserve">   按照市委下发《关于开展“制度建设年”活动的工作方案》（白办字[2020]9号）文件要求，生态新区党委高度重视制度化建设工作，</w:t>
      </w:r>
      <w:r>
        <w:rPr>
          <w:rFonts w:hint="eastAsia" w:ascii="仿宋" w:hAnsi="仿宋" w:cs="仿宋"/>
          <w:szCs w:val="32"/>
        </w:rPr>
        <w:t>为进一步推进生态新区工作规范化，使各局、办各项工作职责明确，权限清晰，层次分明，管理科学，充分发挥配合、协调、和谐、统一的整体优势，严肃工作纪律，切实转变作风，提高工作效率，树立良好形象。</w:t>
      </w:r>
    </w:p>
    <w:p>
      <w:pPr>
        <w:spacing w:line="360" w:lineRule="auto"/>
        <w:ind w:firstLine="640" w:firstLineChars="200"/>
        <w:rPr>
          <w:rFonts w:ascii="仿宋" w:hAnsi="仿宋" w:cs="仿宋"/>
          <w:szCs w:val="32"/>
          <w:u w:val="thick"/>
        </w:rPr>
      </w:pPr>
      <w:r>
        <w:rPr>
          <w:rFonts w:hint="eastAsia" w:ascii="仿宋" w:hAnsi="仿宋" w:cs="仿宋"/>
          <w:szCs w:val="32"/>
        </w:rPr>
        <w:t>新区党委在梳理和总结已有制度的基础上，结合生态新区各局、办工作实际情况，围绕领导决策、事务管理、权力运行、行政执法等方面，建立和完善了生态新区党建工作制度、行政办公制度、财政审计制度、项目审批制度、建设工程制度、安全生产制度等共计21条规章制度，形成了《生态新区制度汇编》，供大家在工作中遵照执行。</w:t>
      </w:r>
    </w:p>
    <w:p>
      <w:pPr>
        <w:jc w:val="left"/>
      </w:pPr>
    </w:p>
    <w:p>
      <w:pPr>
        <w:jc w:val="left"/>
      </w:pPr>
    </w:p>
    <w:p>
      <w:pPr>
        <w:jc w:val="left"/>
      </w:pPr>
    </w:p>
    <w:p>
      <w:pPr>
        <w:jc w:val="left"/>
      </w:pPr>
    </w:p>
    <w:p>
      <w:pPr>
        <w:jc w:val="left"/>
      </w:pPr>
    </w:p>
    <w:p>
      <w:pPr>
        <w:jc w:val="left"/>
      </w:pPr>
    </w:p>
    <w:p>
      <w:pPr>
        <w:jc w:val="center"/>
        <w:rPr>
          <w:rFonts w:asciiTheme="majorEastAsia" w:hAnsiTheme="majorEastAsia" w:eastAsiaTheme="majorEastAsia" w:cstheme="majorEastAsia"/>
          <w:b/>
          <w:bCs/>
          <w:sz w:val="44"/>
          <w:szCs w:val="44"/>
        </w:rPr>
        <w:sectPr>
          <w:footerReference r:id="rId4" w:type="default"/>
          <w:pgSz w:w="11906" w:h="16838"/>
          <w:pgMar w:top="1440" w:right="1800" w:bottom="1440" w:left="1800" w:header="851" w:footer="992" w:gutter="0"/>
          <w:pgNumType w:fmt="numberInDash" w:start="1"/>
          <w:cols w:space="425" w:num="1"/>
          <w:docGrid w:type="lines" w:linePitch="312" w:charSpace="0"/>
        </w:sectPr>
      </w:pPr>
    </w:p>
    <w:sdt>
      <w:sdtPr>
        <w:rPr>
          <w:rFonts w:ascii="宋体" w:hAnsi="宋体" w:eastAsia="宋体"/>
          <w:sz w:val="21"/>
          <w:szCs w:val="24"/>
        </w:rPr>
        <w:id w:val="147455348"/>
        <w15:color w:val="DBDBDB"/>
        <w:docPartObj>
          <w:docPartGallery w:val="Table of Contents"/>
          <w:docPartUnique/>
        </w:docPartObj>
      </w:sdtPr>
      <w:sdtEndPr>
        <w:rPr>
          <w:rFonts w:ascii="宋体" w:hAnsi="宋体" w:eastAsia="宋体"/>
          <w:sz w:val="21"/>
          <w:szCs w:val="24"/>
        </w:rPr>
      </w:sdtEndPr>
      <w:sdtContent>
        <w:p>
          <w:pPr>
            <w:pStyle w:val="7"/>
            <w:tabs>
              <w:tab w:val="right" w:leader="dot" w:pos="8306"/>
              <w:tab w:val="clear" w:pos="8494"/>
            </w:tabs>
            <w:jc w:val="center"/>
          </w:pPr>
          <w:r>
            <w:rPr>
              <w:rFonts w:hint="eastAsia" w:ascii="黑体" w:hAnsi="黑体" w:eastAsia="黑体" w:cs="黑体"/>
              <w:sz w:val="40"/>
              <w:szCs w:val="40"/>
            </w:rPr>
            <w:t>目   录</w:t>
          </w:r>
          <w:r>
            <w:fldChar w:fldCharType="begin"/>
          </w:r>
          <w:r>
            <w:instrText xml:space="preserve">TOC \o "1-1" \h \u </w:instrText>
          </w:r>
          <w:r>
            <w:fldChar w:fldCharType="separate"/>
          </w:r>
        </w:p>
        <w:p>
          <w:pPr>
            <w:pStyle w:val="7"/>
            <w:tabs>
              <w:tab w:val="right" w:leader="dot" w:pos="8306"/>
              <w:tab w:val="clear" w:pos="8494"/>
            </w:tabs>
            <w:rPr>
              <w:rFonts w:asciiTheme="minorEastAsia" w:hAnsiTheme="minorEastAsia" w:eastAsiaTheme="minorEastAsia" w:cstheme="minorEastAsia"/>
            </w:rPr>
          </w:pPr>
          <w:r>
            <w:fldChar w:fldCharType="begin"/>
          </w:r>
          <w:r>
            <w:instrText xml:space="preserve"> HYPERLINK \l "_Toc30137" </w:instrText>
          </w:r>
          <w:r>
            <w:fldChar w:fldCharType="separate"/>
          </w:r>
          <w:r>
            <w:rPr>
              <w:rFonts w:hint="eastAsia" w:asciiTheme="minorEastAsia" w:hAnsiTheme="minorEastAsia" w:eastAsiaTheme="minorEastAsia" w:cstheme="minorEastAsia"/>
            </w:rPr>
            <w:t>1、党委会会议议事规则</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_Toc30137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- 1 -</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7"/>
            <w:tabs>
              <w:tab w:val="right" w:leader="dot" w:pos="8306"/>
              <w:tab w:val="clear" w:pos="8494"/>
            </w:tabs>
            <w:rPr>
              <w:rFonts w:asciiTheme="minorEastAsia" w:hAnsiTheme="minorEastAsia" w:eastAsiaTheme="minorEastAsia" w:cstheme="minorEastAsia"/>
            </w:rPr>
          </w:pPr>
          <w:r>
            <w:fldChar w:fldCharType="begin"/>
          </w:r>
          <w:r>
            <w:instrText xml:space="preserve"> HYPERLINK \l "_Toc22867" </w:instrText>
          </w:r>
          <w:r>
            <w:fldChar w:fldCharType="separate"/>
          </w:r>
          <w:r>
            <w:rPr>
              <w:rFonts w:hint="eastAsia" w:asciiTheme="minorEastAsia" w:hAnsiTheme="minorEastAsia" w:eastAsiaTheme="minorEastAsia" w:cstheme="minorEastAsia"/>
            </w:rPr>
            <w:t>2、主任办公会议事规则</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_Toc22867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- 10 -</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7"/>
            <w:tabs>
              <w:tab w:val="right" w:leader="dot" w:pos="8306"/>
              <w:tab w:val="clear" w:pos="8494"/>
            </w:tabs>
            <w:rPr>
              <w:rFonts w:asciiTheme="minorEastAsia" w:hAnsiTheme="minorEastAsia" w:eastAsiaTheme="minorEastAsia" w:cstheme="minorEastAsia"/>
            </w:rPr>
          </w:pPr>
          <w:r>
            <w:fldChar w:fldCharType="begin"/>
          </w:r>
          <w:r>
            <w:instrText xml:space="preserve"> HYPERLINK \l "_Toc23099" </w:instrText>
          </w:r>
          <w:r>
            <w:fldChar w:fldCharType="separate"/>
          </w:r>
          <w:r>
            <w:rPr>
              <w:rFonts w:hint="eastAsia" w:asciiTheme="minorEastAsia" w:hAnsiTheme="minorEastAsia" w:eastAsiaTheme="minorEastAsia" w:cstheme="minorEastAsia"/>
              <w:sz w:val="28"/>
              <w:szCs w:val="28"/>
            </w:rPr>
            <w:t>3、“一把手”“五个不直接分管”和末位表态工作制度</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_Toc23099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- 13 -</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7"/>
            <w:tabs>
              <w:tab w:val="right" w:leader="dot" w:pos="8306"/>
              <w:tab w:val="clear" w:pos="8494"/>
            </w:tabs>
            <w:rPr>
              <w:rFonts w:asciiTheme="minorEastAsia" w:hAnsiTheme="minorEastAsia" w:eastAsiaTheme="minorEastAsia" w:cstheme="minorEastAsia"/>
            </w:rPr>
          </w:pPr>
          <w:r>
            <w:fldChar w:fldCharType="begin"/>
          </w:r>
          <w:r>
            <w:instrText xml:space="preserve"> HYPERLINK \l "_Toc15028" </w:instrText>
          </w:r>
          <w:r>
            <w:fldChar w:fldCharType="separate"/>
          </w:r>
          <w:r>
            <w:rPr>
              <w:rFonts w:hint="eastAsia" w:asciiTheme="minorEastAsia" w:hAnsiTheme="minorEastAsia" w:eastAsiaTheme="minorEastAsia" w:cstheme="minorEastAsia"/>
            </w:rPr>
            <w:t>4、“三重一大”事项决策制度</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_Toc15028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- 18 -</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7"/>
            <w:tabs>
              <w:tab w:val="right" w:leader="dot" w:pos="8306"/>
              <w:tab w:val="clear" w:pos="8494"/>
            </w:tabs>
            <w:rPr>
              <w:rFonts w:asciiTheme="minorEastAsia" w:hAnsiTheme="minorEastAsia" w:eastAsiaTheme="minorEastAsia" w:cstheme="minorEastAsia"/>
            </w:rPr>
          </w:pPr>
          <w:r>
            <w:fldChar w:fldCharType="begin"/>
          </w:r>
          <w:r>
            <w:instrText xml:space="preserve"> HYPERLINK \l "_Toc23012" </w:instrText>
          </w:r>
          <w:r>
            <w:fldChar w:fldCharType="separate"/>
          </w:r>
          <w:r>
            <w:rPr>
              <w:rFonts w:hint="eastAsia" w:asciiTheme="minorEastAsia" w:hAnsiTheme="minorEastAsia" w:eastAsiaTheme="minorEastAsia" w:cstheme="minorEastAsia"/>
              <w:bCs/>
              <w:szCs w:val="44"/>
            </w:rPr>
            <w:t>5、领导干部不允许插手工程项目和招投标</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_Toc23012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- 24 -</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7"/>
            <w:tabs>
              <w:tab w:val="right" w:leader="dot" w:pos="8306"/>
              <w:tab w:val="clear" w:pos="8494"/>
            </w:tabs>
            <w:rPr>
              <w:rFonts w:asciiTheme="minorEastAsia" w:hAnsiTheme="minorEastAsia" w:eastAsiaTheme="minorEastAsia" w:cstheme="minorEastAsia"/>
            </w:rPr>
          </w:pPr>
          <w:r>
            <w:fldChar w:fldCharType="begin"/>
          </w:r>
          <w:r>
            <w:instrText xml:space="preserve"> HYPERLINK \l "_Toc19799" </w:instrText>
          </w:r>
          <w:r>
            <w:fldChar w:fldCharType="separate"/>
          </w:r>
          <w:r>
            <w:rPr>
              <w:rFonts w:hint="eastAsia" w:asciiTheme="minorEastAsia" w:hAnsiTheme="minorEastAsia" w:eastAsiaTheme="minorEastAsia" w:cstheme="minorEastAsia"/>
            </w:rPr>
            <w:t>6、党风廉政建设“一岗双责”制度</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_Toc19799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- 28 -</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7"/>
            <w:tabs>
              <w:tab w:val="right" w:leader="dot" w:pos="8306"/>
              <w:tab w:val="clear" w:pos="8494"/>
            </w:tabs>
            <w:rPr>
              <w:rFonts w:asciiTheme="minorEastAsia" w:hAnsiTheme="minorEastAsia" w:eastAsiaTheme="minorEastAsia" w:cstheme="minorEastAsia"/>
            </w:rPr>
          </w:pPr>
          <w:r>
            <w:fldChar w:fldCharType="begin"/>
          </w:r>
          <w:r>
            <w:instrText xml:space="preserve"> HYPERLINK \l "_Toc26301" </w:instrText>
          </w:r>
          <w:r>
            <w:fldChar w:fldCharType="separate"/>
          </w:r>
          <w:r>
            <w:rPr>
              <w:rFonts w:hint="eastAsia" w:asciiTheme="minorEastAsia" w:hAnsiTheme="minorEastAsia" w:eastAsiaTheme="minorEastAsia" w:cstheme="minorEastAsia"/>
            </w:rPr>
            <w:t>7、选人用人监督管理制度(试行)</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_Toc26301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- 32 -</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7"/>
            <w:tabs>
              <w:tab w:val="right" w:leader="dot" w:pos="8306"/>
              <w:tab w:val="clear" w:pos="8494"/>
            </w:tabs>
            <w:rPr>
              <w:rFonts w:asciiTheme="minorEastAsia" w:hAnsiTheme="minorEastAsia" w:eastAsiaTheme="minorEastAsia" w:cstheme="minorEastAsia"/>
            </w:rPr>
          </w:pPr>
          <w:r>
            <w:fldChar w:fldCharType="begin"/>
          </w:r>
          <w:r>
            <w:instrText xml:space="preserve"> HYPERLINK \l "_Toc25191" </w:instrText>
          </w:r>
          <w:r>
            <w:fldChar w:fldCharType="separate"/>
          </w:r>
          <w:r>
            <w:rPr>
              <w:rFonts w:hint="eastAsia" w:asciiTheme="minorEastAsia" w:hAnsiTheme="minorEastAsia" w:eastAsiaTheme="minorEastAsia" w:cstheme="minorEastAsia"/>
            </w:rPr>
            <w:t>8、聘用人员管理制度</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_Toc25191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- 37 -</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7"/>
            <w:tabs>
              <w:tab w:val="right" w:leader="dot" w:pos="8306"/>
              <w:tab w:val="clear" w:pos="8494"/>
            </w:tabs>
            <w:rPr>
              <w:rFonts w:asciiTheme="minorEastAsia" w:hAnsiTheme="minorEastAsia" w:eastAsiaTheme="minorEastAsia" w:cstheme="minorEastAsia"/>
            </w:rPr>
          </w:pPr>
          <w:r>
            <w:fldChar w:fldCharType="begin"/>
          </w:r>
          <w:r>
            <w:instrText xml:space="preserve"> HYPERLINK \l "_Toc10226" </w:instrText>
          </w:r>
          <w:r>
            <w:fldChar w:fldCharType="separate"/>
          </w:r>
          <w:r>
            <w:rPr>
              <w:rFonts w:hint="eastAsia" w:asciiTheme="minorEastAsia" w:hAnsiTheme="minorEastAsia" w:eastAsiaTheme="minorEastAsia" w:cstheme="minorEastAsia"/>
            </w:rPr>
            <w:t>9、财务管理制度</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_Toc10226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- 45 -</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7"/>
            <w:tabs>
              <w:tab w:val="right" w:leader="dot" w:pos="8306"/>
              <w:tab w:val="clear" w:pos="8494"/>
            </w:tabs>
            <w:rPr>
              <w:rFonts w:asciiTheme="minorEastAsia" w:hAnsiTheme="minorEastAsia" w:eastAsiaTheme="minorEastAsia" w:cstheme="minorEastAsia"/>
            </w:rPr>
          </w:pPr>
          <w:r>
            <w:fldChar w:fldCharType="begin"/>
          </w:r>
          <w:r>
            <w:instrText xml:space="preserve"> HYPERLINK \l "_Toc2350" </w:instrText>
          </w:r>
          <w:r>
            <w:fldChar w:fldCharType="separate"/>
          </w:r>
          <w:r>
            <w:rPr>
              <w:rFonts w:hint="eastAsia" w:asciiTheme="minorEastAsia" w:hAnsiTheme="minorEastAsia" w:eastAsiaTheme="minorEastAsia" w:cstheme="minorEastAsia"/>
            </w:rPr>
            <w:t>10、公务接待管理制度</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_Toc2350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- 65 -</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7"/>
            <w:tabs>
              <w:tab w:val="right" w:leader="dot" w:pos="8306"/>
              <w:tab w:val="clear" w:pos="8494"/>
            </w:tabs>
            <w:rPr>
              <w:rFonts w:asciiTheme="minorEastAsia" w:hAnsiTheme="minorEastAsia" w:eastAsiaTheme="minorEastAsia" w:cstheme="minorEastAsia"/>
            </w:rPr>
          </w:pPr>
          <w:r>
            <w:fldChar w:fldCharType="begin"/>
          </w:r>
          <w:r>
            <w:instrText xml:space="preserve"> HYPERLINK \l "_Toc6551" </w:instrText>
          </w:r>
          <w:r>
            <w:fldChar w:fldCharType="separate"/>
          </w:r>
          <w:r>
            <w:rPr>
              <w:rFonts w:hint="eastAsia" w:asciiTheme="minorEastAsia" w:hAnsiTheme="minorEastAsia" w:eastAsiaTheme="minorEastAsia" w:cstheme="minorEastAsia"/>
            </w:rPr>
            <w:t>11、生态新区差旅费管理办法</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_Toc6551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- 69 -</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7"/>
            <w:tabs>
              <w:tab w:val="right" w:leader="dot" w:pos="8306"/>
              <w:tab w:val="clear" w:pos="8494"/>
            </w:tabs>
            <w:rPr>
              <w:rFonts w:asciiTheme="minorEastAsia" w:hAnsiTheme="minorEastAsia" w:eastAsiaTheme="minorEastAsia" w:cstheme="minorEastAsia"/>
            </w:rPr>
          </w:pPr>
          <w:r>
            <w:fldChar w:fldCharType="begin"/>
          </w:r>
          <w:r>
            <w:instrText xml:space="preserve"> HYPERLINK \l "_Toc25370" </w:instrText>
          </w:r>
          <w:r>
            <w:fldChar w:fldCharType="separate"/>
          </w:r>
          <w:r>
            <w:rPr>
              <w:rFonts w:hint="eastAsia" w:asciiTheme="minorEastAsia" w:hAnsiTheme="minorEastAsia" w:eastAsiaTheme="minorEastAsia" w:cstheme="minorEastAsia"/>
            </w:rPr>
            <w:t>12、公务用车管理制度</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_Toc25370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- 80 -</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7"/>
            <w:tabs>
              <w:tab w:val="right" w:leader="dot" w:pos="8306"/>
              <w:tab w:val="clear" w:pos="8494"/>
            </w:tabs>
            <w:rPr>
              <w:rFonts w:asciiTheme="minorEastAsia" w:hAnsiTheme="minorEastAsia" w:eastAsiaTheme="minorEastAsia" w:cstheme="minorEastAsia"/>
            </w:rPr>
          </w:pPr>
          <w:r>
            <w:fldChar w:fldCharType="begin"/>
          </w:r>
          <w:r>
            <w:instrText xml:space="preserve"> HYPERLINK \l "_Toc22937" </w:instrText>
          </w:r>
          <w:r>
            <w:fldChar w:fldCharType="separate"/>
          </w:r>
          <w:r>
            <w:rPr>
              <w:rFonts w:hint="eastAsia" w:asciiTheme="minorEastAsia" w:hAnsiTheme="minorEastAsia" w:eastAsiaTheme="minorEastAsia" w:cstheme="minorEastAsia"/>
            </w:rPr>
            <w:t>13、办公用品统一采购管理制度</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_Toc22937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- 86 -</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7"/>
            <w:tabs>
              <w:tab w:val="right" w:leader="dot" w:pos="8306"/>
              <w:tab w:val="clear" w:pos="8494"/>
            </w:tabs>
            <w:rPr>
              <w:rFonts w:asciiTheme="minorEastAsia" w:hAnsiTheme="minorEastAsia" w:eastAsiaTheme="minorEastAsia" w:cstheme="minorEastAsia"/>
            </w:rPr>
          </w:pPr>
          <w:r>
            <w:fldChar w:fldCharType="begin"/>
          </w:r>
          <w:r>
            <w:instrText xml:space="preserve"> HYPERLINK \l "_Toc11863" </w:instrText>
          </w:r>
          <w:r>
            <w:fldChar w:fldCharType="separate"/>
          </w:r>
          <w:r>
            <w:rPr>
              <w:rFonts w:hint="eastAsia" w:asciiTheme="minorEastAsia" w:hAnsiTheme="minorEastAsia" w:eastAsiaTheme="minorEastAsia" w:cstheme="minorEastAsia"/>
            </w:rPr>
            <w:t>14、固定资产管理办法（暂行）</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_Toc11863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- 88 -</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7"/>
            <w:tabs>
              <w:tab w:val="right" w:leader="dot" w:pos="8306"/>
              <w:tab w:val="clear" w:pos="8494"/>
            </w:tabs>
            <w:rPr>
              <w:rFonts w:asciiTheme="minorEastAsia" w:hAnsiTheme="minorEastAsia" w:eastAsiaTheme="minorEastAsia" w:cstheme="minorEastAsia"/>
            </w:rPr>
          </w:pPr>
          <w:r>
            <w:fldChar w:fldCharType="begin"/>
          </w:r>
          <w:r>
            <w:instrText xml:space="preserve"> HYPERLINK \l "_Toc7778" </w:instrText>
          </w:r>
          <w:r>
            <w:fldChar w:fldCharType="separate"/>
          </w:r>
          <w:r>
            <w:rPr>
              <w:rFonts w:hint="eastAsia" w:asciiTheme="minorEastAsia" w:hAnsiTheme="minorEastAsia" w:eastAsiaTheme="minorEastAsia" w:cstheme="minorEastAsia"/>
            </w:rPr>
            <w:t>15、集中采购管理制度</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_Toc7778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- 93 -</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7"/>
            <w:tabs>
              <w:tab w:val="right" w:leader="dot" w:pos="8306"/>
              <w:tab w:val="clear" w:pos="8494"/>
            </w:tabs>
            <w:rPr>
              <w:rFonts w:asciiTheme="minorEastAsia" w:hAnsiTheme="minorEastAsia" w:eastAsiaTheme="minorEastAsia" w:cstheme="minorEastAsia"/>
            </w:rPr>
          </w:pPr>
          <w:r>
            <w:fldChar w:fldCharType="begin"/>
          </w:r>
          <w:r>
            <w:instrText xml:space="preserve"> HYPERLINK \l "_Toc32643" </w:instrText>
          </w:r>
          <w:r>
            <w:fldChar w:fldCharType="separate"/>
          </w:r>
          <w:r>
            <w:rPr>
              <w:rFonts w:hint="eastAsia" w:asciiTheme="minorEastAsia" w:hAnsiTheme="minorEastAsia" w:eastAsiaTheme="minorEastAsia" w:cstheme="minorEastAsia"/>
            </w:rPr>
            <w:t>16、项目核准、审批转报工作制度</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_Toc32643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- 100 -</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7"/>
            <w:tabs>
              <w:tab w:val="right" w:leader="dot" w:pos="8306"/>
              <w:tab w:val="clear" w:pos="8494"/>
            </w:tabs>
            <w:rPr>
              <w:rFonts w:asciiTheme="minorEastAsia" w:hAnsiTheme="minorEastAsia" w:eastAsiaTheme="minorEastAsia" w:cstheme="minorEastAsia"/>
            </w:rPr>
          </w:pPr>
          <w:r>
            <w:fldChar w:fldCharType="begin"/>
          </w:r>
          <w:r>
            <w:instrText xml:space="preserve"> HYPERLINK \l "_Toc19565" </w:instrText>
          </w:r>
          <w:r>
            <w:fldChar w:fldCharType="separate"/>
          </w:r>
          <w:r>
            <w:rPr>
              <w:rFonts w:hint="eastAsia" w:asciiTheme="minorEastAsia" w:hAnsiTheme="minorEastAsia" w:eastAsiaTheme="minorEastAsia" w:cstheme="minorEastAsia"/>
            </w:rPr>
            <w:t>17、建设工程安全生产检查工作制度</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_Toc19565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- 107 -</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7"/>
            <w:tabs>
              <w:tab w:val="right" w:leader="dot" w:pos="8306"/>
              <w:tab w:val="clear" w:pos="8494"/>
            </w:tabs>
            <w:rPr>
              <w:rFonts w:asciiTheme="minorEastAsia" w:hAnsiTheme="minorEastAsia" w:eastAsiaTheme="minorEastAsia" w:cstheme="minorEastAsia"/>
            </w:rPr>
          </w:pPr>
          <w:r>
            <w:fldChar w:fldCharType="begin"/>
          </w:r>
          <w:r>
            <w:instrText xml:space="preserve"> HYPERLINK \l "_Toc2739" </w:instrText>
          </w:r>
          <w:r>
            <w:fldChar w:fldCharType="separate"/>
          </w:r>
          <w:r>
            <w:rPr>
              <w:rFonts w:hint="eastAsia" w:asciiTheme="minorEastAsia" w:hAnsiTheme="minorEastAsia" w:eastAsiaTheme="minorEastAsia" w:cstheme="minorEastAsia"/>
            </w:rPr>
            <w:t>18、土地、房屋征收补偿工作制度</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_Toc2739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- 110 -</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7"/>
            <w:tabs>
              <w:tab w:val="right" w:leader="dot" w:pos="8306"/>
              <w:tab w:val="clear" w:pos="8494"/>
            </w:tabs>
            <w:rPr>
              <w:rFonts w:asciiTheme="minorEastAsia" w:hAnsiTheme="minorEastAsia" w:eastAsiaTheme="minorEastAsia" w:cstheme="minorEastAsia"/>
            </w:rPr>
          </w:pPr>
          <w:r>
            <w:fldChar w:fldCharType="begin"/>
          </w:r>
          <w:r>
            <w:instrText xml:space="preserve"> HYPERLINK \l "_Toc5121" </w:instrText>
          </w:r>
          <w:r>
            <w:fldChar w:fldCharType="separate"/>
          </w:r>
          <w:r>
            <w:rPr>
              <w:rFonts w:hint="eastAsia" w:asciiTheme="minorEastAsia" w:hAnsiTheme="minorEastAsia" w:eastAsiaTheme="minorEastAsia" w:cstheme="minorEastAsia"/>
            </w:rPr>
            <w:t>19、安全生产监督管理现场检查制度</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_Toc5121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- 113 -</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7"/>
            <w:tabs>
              <w:tab w:val="right" w:leader="dot" w:pos="8306"/>
              <w:tab w:val="clear" w:pos="8494"/>
            </w:tabs>
            <w:rPr>
              <w:rFonts w:asciiTheme="minorEastAsia" w:hAnsiTheme="minorEastAsia" w:eastAsiaTheme="minorEastAsia" w:cstheme="minorEastAsia"/>
            </w:rPr>
          </w:pPr>
          <w:r>
            <w:fldChar w:fldCharType="begin"/>
          </w:r>
          <w:r>
            <w:instrText xml:space="preserve"> HYPERLINK \l "_Toc21761" </w:instrText>
          </w:r>
          <w:r>
            <w:fldChar w:fldCharType="separate"/>
          </w:r>
          <w:r>
            <w:rPr>
              <w:rFonts w:hint="eastAsia" w:asciiTheme="minorEastAsia" w:hAnsiTheme="minorEastAsia" w:eastAsiaTheme="minorEastAsia" w:cstheme="minorEastAsia"/>
            </w:rPr>
            <w:t>20、信访工作制度</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_Toc21761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- 118 -</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7"/>
            <w:tabs>
              <w:tab w:val="right" w:leader="dot" w:pos="8306"/>
              <w:tab w:val="clear" w:pos="8494"/>
            </w:tabs>
          </w:pPr>
          <w:r>
            <w:fldChar w:fldCharType="begin"/>
          </w:r>
          <w:r>
            <w:instrText xml:space="preserve"> HYPERLINK \l "_Toc22101" </w:instrText>
          </w:r>
          <w:r>
            <w:fldChar w:fldCharType="separate"/>
          </w:r>
          <w:r>
            <w:rPr>
              <w:rFonts w:hint="eastAsia" w:asciiTheme="minorEastAsia" w:hAnsiTheme="minorEastAsia" w:eastAsiaTheme="minorEastAsia" w:cstheme="minorEastAsia"/>
            </w:rPr>
            <w:t>21、后勤管理制度</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_Toc22101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- 123 -</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tabs>
              <w:tab w:val="right" w:leader="dot" w:pos="8306"/>
            </w:tabs>
            <w:sectPr>
              <w:footerReference r:id="rId5" w:type="default"/>
              <w:pgSz w:w="11906" w:h="16838"/>
              <w:pgMar w:top="1440" w:right="1800" w:bottom="1440" w:left="1800" w:header="851" w:footer="992" w:gutter="0"/>
              <w:pgNumType w:fmt="numberInDash" w:start="1"/>
              <w:cols w:space="720" w:num="1"/>
              <w:docGrid w:type="lines" w:linePitch="312" w:charSpace="0"/>
            </w:sectPr>
          </w:pPr>
        </w:p>
        <w:p>
          <w:pPr>
            <w:tabs>
              <w:tab w:val="right" w:leader="dot" w:pos="8306"/>
            </w:tabs>
          </w:pPr>
          <w:r>
            <w:fldChar w:fldCharType="end"/>
          </w:r>
        </w:p>
      </w:sdtContent>
    </w:sdt>
    <w:p>
      <w:pPr>
        <w:pStyle w:val="2"/>
      </w:pPr>
      <w:bookmarkStart w:id="0" w:name="_Toc30137"/>
      <w:r>
        <w:rPr>
          <w:rFonts w:hint="eastAsia"/>
        </w:rPr>
        <w:t>1、党委会会议议事规则</w:t>
      </w:r>
      <w:bookmarkEnd w:id="0"/>
    </w:p>
    <w:p>
      <w:pPr>
        <w:adjustRightInd w:val="0"/>
        <w:snapToGrid w:val="0"/>
        <w:spacing w:line="360" w:lineRule="auto"/>
        <w:ind w:firstLine="640" w:firstLineChars="200"/>
        <w:outlineLvl w:val="0"/>
        <w:rPr>
          <w:rFonts w:ascii="黑体" w:hAnsi="黑体" w:eastAsia="黑体" w:cs="黑体"/>
          <w:bCs/>
          <w:szCs w:val="32"/>
        </w:rPr>
      </w:pPr>
      <w:bookmarkStart w:id="1" w:name="_Toc19820"/>
      <w:bookmarkStart w:id="2" w:name="_Toc654"/>
      <w:bookmarkStart w:id="3" w:name="_Toc16972"/>
      <w:bookmarkStart w:id="4" w:name="_Toc28206"/>
      <w:bookmarkStart w:id="5" w:name="_Toc3291"/>
      <w:r>
        <w:rPr>
          <w:rFonts w:hint="eastAsia" w:ascii="黑体" w:hAnsi="黑体" w:eastAsia="黑体" w:cs="黑体"/>
          <w:bCs/>
          <w:szCs w:val="32"/>
        </w:rPr>
        <w:t>一、议事原则</w:t>
      </w:r>
      <w:bookmarkEnd w:id="1"/>
      <w:bookmarkEnd w:id="2"/>
      <w:bookmarkEnd w:id="3"/>
      <w:bookmarkEnd w:id="4"/>
      <w:bookmarkEnd w:id="5"/>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1、坚持高举中国特色社会主义伟大旗帜，坚决贯彻党的理论路线和方针政策。严守政治纪律和政治规矩，坚决维护党中央权威，始终在思想上政治上行动上同以习近平同志为核心的党中央保持高度一致。</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2、坚持立党为公、执政为民，认真践行全心全意为人民服务的宗旨和群众路线，始终把人民利益放在第一位，把实现好、维护好、发展好最广大人民根本利益作为一切工作的出发点和落脚点，切实做到为民、务实、清廉。</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3、坚持解放思想、实事求是、与时俱进、求真务实，结合新区实际创造性开展工作。</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4、坚持民主集中制，议事决策应当坚持集体领导、民主集中、个别酝酿、会议决定，实行科学决策、民主决策、依法决策，切实增强党委领导集体活力和党的团结统一。</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5、坚持党要管党、从严治党，认真履行抓党建主体责任，始终保持党的先进性和纯洁性。</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6、坚持党委总揽全局、协调各方，把方向、管大局、作决策、保落实、从政治上思想上组织上加强对全新区工作的领导。</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7、坚持在宪法和法律范围内活动，依据党章和其他党内法规履职尽责。</w:t>
      </w:r>
    </w:p>
    <w:p>
      <w:pPr>
        <w:adjustRightInd w:val="0"/>
        <w:snapToGrid w:val="0"/>
        <w:spacing w:line="360" w:lineRule="auto"/>
        <w:ind w:firstLine="640" w:firstLineChars="200"/>
        <w:outlineLvl w:val="0"/>
        <w:rPr>
          <w:rFonts w:ascii="黑体" w:hAnsi="黑体" w:eastAsia="黑体" w:cs="黑体"/>
          <w:bCs/>
          <w:szCs w:val="32"/>
        </w:rPr>
      </w:pPr>
      <w:bookmarkStart w:id="6" w:name="_Toc13173"/>
      <w:bookmarkStart w:id="7" w:name="_Toc26570"/>
      <w:bookmarkStart w:id="8" w:name="_Toc511"/>
      <w:bookmarkStart w:id="9" w:name="_Toc11977"/>
      <w:bookmarkStart w:id="10" w:name="_Toc700"/>
      <w:r>
        <w:rPr>
          <w:rFonts w:hint="eastAsia" w:ascii="黑体" w:hAnsi="黑体" w:eastAsia="黑体" w:cs="黑体"/>
          <w:bCs/>
          <w:szCs w:val="32"/>
        </w:rPr>
        <w:t>二、工作职责</w:t>
      </w:r>
      <w:bookmarkEnd w:id="6"/>
      <w:bookmarkEnd w:id="7"/>
      <w:bookmarkEnd w:id="8"/>
      <w:bookmarkEnd w:id="9"/>
      <w:bookmarkEnd w:id="10"/>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新区办党委会的主要职责是：</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1、研究部署中央路线、方针、政策的贯彻执行；传达学习党中央重要会议、重要文件、重大决策部署和重要指示精神，结合新区实际，提出具体贯彻落实意见。</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2、召开党委会研究决定涉及党的路线、方针、政策和上级重要文件、重要会议精神和重大工作部署、重大资金、重大项目、干部的任免报批、职称评定与聘任方案、人事调动、党员发展工作，每次党委会都要有明确的议程，一般由5名党委委员参会，必要时视具体情况可召开党委扩大会议。每年至少召开2次专题议党会议，遇有重要情况可以随时召开。</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3、向上级党组织请示报告工作；讨论需报请市委组织部、市人社局审批的人事事项。</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4、切实抓好新区党的建设，研究制定全面从严治党的重要举措，推动党风廉政建设党委主体责任和纪委监督责任的落实。讨论决定新区党的思想建设、组织建设、作风建设、制度建设和反腐倡廉建设的重要部署、重大事项。定期研究党建工作，每年至少向上级党组织上报1次抓党建工作专题报告。</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5、切实履行党内法规制度建设主体责任，每年听取一次党内法规制度建设专题汇报。党委书记履行第一责任人职责，把党内法规制度建设与党的建设其他工作一同部署、抓好落实。</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6、切实加强对新区建设发展工作的领导、高度重视保障和改善民生问题，党委会每季度听取一次关于新区建设发展情况的汇报；每半年听取一次关于安全生产情况汇报；适时听取重要民生问题相关情况的汇报，研究决定重要民生事项。</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7、对新区宣传思想文化工作、组织工作、纪律检查工作、群众工作、统一战线工作、政法工作等方面经常性工作中的重要问题作出决定。党委会每年听取一次关于群团工作汇报。</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8、听取机关一支部、机关二支部、新开集团支部和新城投公司支部、能源公司党支部重要工作的汇报，并就请示的事项作出决定。</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9、按照干部管理权限和规定程序，对干部的推荐、提名、任免和奖惩作出决定或提出建议，根据有关规定对重要干部的任免征求党委委员意见；教育、管理、监督干部；研究决定党员干部纪律处分有关事项；讨论决定新区局办的设置、调整。</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10、党委委员代表党委的讲话和报告，署名发表或者出版同工作有关的文章、著作、言论，应当事先经过党委会会议审定或者党委书记批准。</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党委委员在调查研究、检查指导工作或者参加其他公务活动时发表的个人意见，应当符合党委集体决定精神。</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11、审定召开全体党员大会及其他有关重要会议事项，检查会议决定、决议的贯彻落实情况。</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12、对应当由党委会决定的其他重要事项作出决定。</w:t>
      </w:r>
    </w:p>
    <w:p>
      <w:pPr>
        <w:adjustRightInd w:val="0"/>
        <w:snapToGrid w:val="0"/>
        <w:spacing w:line="360" w:lineRule="auto"/>
        <w:ind w:firstLine="640" w:firstLineChars="200"/>
        <w:outlineLvl w:val="0"/>
        <w:rPr>
          <w:rFonts w:ascii="黑体" w:hAnsi="黑体" w:eastAsia="黑体" w:cs="黑体"/>
          <w:bCs/>
          <w:szCs w:val="32"/>
        </w:rPr>
      </w:pPr>
      <w:bookmarkStart w:id="11" w:name="_Toc26608"/>
      <w:bookmarkStart w:id="12" w:name="_Toc8638"/>
      <w:bookmarkStart w:id="13" w:name="_Toc20186"/>
      <w:bookmarkStart w:id="14" w:name="_Toc14529"/>
      <w:bookmarkStart w:id="15" w:name="_Toc17238"/>
      <w:r>
        <w:rPr>
          <w:rFonts w:hint="eastAsia" w:ascii="黑体" w:hAnsi="黑体" w:eastAsia="黑体" w:cs="黑体"/>
          <w:bCs/>
          <w:szCs w:val="32"/>
        </w:rPr>
        <w:t>三、会议制度</w:t>
      </w:r>
      <w:bookmarkEnd w:id="11"/>
      <w:bookmarkEnd w:id="12"/>
      <w:bookmarkEnd w:id="13"/>
      <w:bookmarkEnd w:id="14"/>
      <w:bookmarkEnd w:id="15"/>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1、党委会实行例会制度，一般每月召开1次，遇有重要情况可以随时召开。</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2、党委会由党委书记召集并主持。党委书记不能参加会议的，可以委托其他党委委员召集并主持。遇重大突发事件、抢险救灾等紧急情况，不能及时召开党委会决策的，书记或者其他党委委员可以临机处置，事后应当及时向党委会报告。</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3、党委会的议题由党委书记提出，或者由党委会其他委员提出建议，党委书记综合考虑后确定。</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凡需提请党委会讨论的议题，提请局办、公司必须报经分管党委委员同意，并及时向党委报送请示件，同时报送相关汇报材料。由党办按程序办理，经党办主任审核，报党委书记审定后，列入党委会会议议题。</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4、凡提交党委会讨论的议题，应事先做好充分准备。会议召开的时间、议题一般应提前2天通知出席列席会议人员。除重要干部人事任免、处理违纪干部等重大重项外，党委会讨论决策重大事项，一般应在会前2天将有关材料送达各位党委委员，为党委委员充分发表意见、履行职责创造条件。</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会议议题应当适量安排，重要、紧急议题优先安排。会议议题确定后一般不再变动，对确有必要提交党委会研究的临时性议题，由党委书记决定是否提交党委会。</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5、党委会讨论决定重要事项之前，可以先召开党委书记专题会议进行充分酝酿。党委书记专题会议由党委书记主持，其他有关党委委员等参加。党委书记专题会议不得以任何形式代替党委会会议作出决策。</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涉及干部人事任免事项，要按照《党政领导干部选拔任用工作条例》规定，在民主推荐、组织考察的基础上，经党委书记以及分管组织工作的党委委员共同酝酿后向党委会会议提名，为党委会会议决定或建议干部任免做准备。</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6、党委会应当有半数以上党委委员到会方可召开。讨论和决定干部任免事项必须有三分之二以上党委委员到会。党委委员因故不能参加会议的应当在会前请假，其意见可以用书面形式表达；对会议的议题如有意见或建议，可在会议召开之前提出。</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党委会讨论决定的问题，如涉及常委本人或其亲属，常委本人应回避。</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7、党委会表决可以根据讨论和决定事项的不同，采用口头、举手、无记名投票或者记名投票等方式进行，赞成票超过应到会党委委员半数为通过。未到党委委员的意见不得计入票数。党委会讨论和决定多个事项，应当逐项表决。</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8、党委会出席人员为党委委员。根据议题需要，确定有关局办、公司的主要负责人参加。</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9、党委会要健全决策咨询机制，重大决策一般应当在调查研究基础上提出方案，充分听取各方面意见，进行风险评估和合法合规性审查。对涉及新区建设发展全局的重大事项，要广泛征求意见，充分进行协商；对专业性较强的重大事项，要认真进行专家论证、技术咨询、决策评估；对同群众利益密切相关的重大事项，要实行公示、听证等制度，扩大群众参与度。坚持和完善与民主党派、工商联和党外人士民主协商制度，注意听取人大代表和政协委员的意见和建议。要重视发挥党代表的作用，注意听取他们的意见和建议。</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10、党委会应当坚持民主集中制，实行集体领导和个人分工负责相结合的制度。凡属应当由党委会讨论和决定的事项，必须由集体研究决定，任何个人或者少数人无权擅自决定或者改变集体作出的决定。在集体讨论和决定问题时，个人应当充分发表意见。个人对集体作出的决定必须坚决执行，有不同意见的可以保留，也可以向上级党组织报告。</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11、党委会由专门人员如实记录，决定事项应当编发会议纪要。党委会会议纪要一般由党委书记签发。</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12、与会人员要严格遵守保密纪律，不得向外泄露应当保密的会议内容和讨论情况。未经允许，不得将秘密文件或要求留在会场的材料带出会场。</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13、坚持和健全新区办党委民主生活会制度。民主生活会每年召开一次，根据实际需要也可增加次数。民主生活会要认真准备，保证质量。召开民主生活会前，应广泛征求意见，认真撰写分析检查材料，会上开展积极的善意的实事求是的批评和自我批评，会后如实上报民主生活会情况和整改措施。</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14、坚持和完善党委中心组理论学习制度，认真贯彻党中央部署和要求，牢牢把握学习的方向、主题和重点，不断提升新区党委中心组学习的质量和水平，切实加强党委会自身思想理论建设。</w:t>
      </w:r>
    </w:p>
    <w:p>
      <w:pPr>
        <w:adjustRightInd w:val="0"/>
        <w:snapToGrid w:val="0"/>
        <w:spacing w:line="360" w:lineRule="auto"/>
        <w:ind w:firstLine="640" w:firstLineChars="200"/>
        <w:outlineLvl w:val="0"/>
        <w:rPr>
          <w:rFonts w:ascii="黑体" w:hAnsi="黑体" w:eastAsia="黑体" w:cs="黑体"/>
          <w:bCs/>
          <w:szCs w:val="32"/>
        </w:rPr>
      </w:pPr>
      <w:bookmarkStart w:id="16" w:name="_Toc13464"/>
      <w:bookmarkStart w:id="17" w:name="_Toc10573"/>
      <w:bookmarkStart w:id="18" w:name="_Toc13123"/>
      <w:bookmarkStart w:id="19" w:name="_Toc13214"/>
      <w:bookmarkStart w:id="20" w:name="_Toc19273"/>
      <w:r>
        <w:rPr>
          <w:rFonts w:hint="eastAsia" w:ascii="黑体" w:hAnsi="黑体" w:eastAsia="黑体" w:cs="黑体"/>
          <w:bCs/>
          <w:szCs w:val="32"/>
        </w:rPr>
        <w:t>四、执行及监督</w:t>
      </w:r>
      <w:bookmarkEnd w:id="16"/>
      <w:bookmarkEnd w:id="17"/>
      <w:bookmarkEnd w:id="18"/>
      <w:bookmarkEnd w:id="19"/>
      <w:bookmarkEnd w:id="20"/>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1、党委委员应当根据党委会职责清单制度、工作分工和集体决定，勇于担当、敢于负责，切实履行职责；对不属于自己分管的工作，也应当从全局出发关心支持，加强研究，积极提出意见和建议。</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2、党委会作出的决策，由党委委员分工负责组织实施，党委书记对组织实施工作负总责。</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3、党委会决定的事项，由党办及时通知承办局办、公司抓好落实，并会同有关部门对贯彻落实情况进行督查，并将落实情况及时向党委作出书面报告。</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4、党委委员必须坚决执行党委会的决议、决定，在执行中如发现新的情况需要复议，经党委书记同意后，可在党委会上复议。但在重新作出决定前，不得有任何与党委会决议、决定相违背的言论和行动。</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5、党委委员应当在党性原则基础上维护团结，互相信任、互相谅解、互相支持、互相监督。</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6、党委会所通过的决议和文件，凡可以传达的，经批准，应及时传达到规定的范围。宜于公开发布的决议和文件，经批准后，可通过新闻媒介及时公开发布。</w:t>
      </w:r>
    </w:p>
    <w:p>
      <w:pPr>
        <w:adjustRightInd w:val="0"/>
        <w:snapToGrid w:val="0"/>
        <w:spacing w:line="360" w:lineRule="auto"/>
        <w:ind w:firstLine="640" w:firstLineChars="200"/>
        <w:outlineLvl w:val="0"/>
        <w:rPr>
          <w:rFonts w:ascii="楷体_GB2312" w:hAnsi="仿宋" w:eastAsia="楷体_GB2312"/>
          <w:b/>
          <w:szCs w:val="32"/>
        </w:rPr>
      </w:pPr>
      <w:bookmarkStart w:id="21" w:name="_Toc12090"/>
      <w:bookmarkStart w:id="22" w:name="_Toc1120"/>
      <w:bookmarkStart w:id="23" w:name="_Toc21178"/>
      <w:bookmarkStart w:id="24" w:name="_Toc1482"/>
      <w:bookmarkStart w:id="25" w:name="_Toc10100"/>
      <w:r>
        <w:rPr>
          <w:rFonts w:hint="eastAsia" w:ascii="黑体" w:hAnsi="黑体" w:eastAsia="黑体" w:cs="黑体"/>
          <w:bCs/>
          <w:szCs w:val="32"/>
        </w:rPr>
        <w:t>五、文件审批制度</w:t>
      </w:r>
      <w:bookmarkEnd w:id="21"/>
      <w:bookmarkEnd w:id="22"/>
      <w:bookmarkEnd w:id="23"/>
      <w:bookmarkEnd w:id="24"/>
      <w:bookmarkEnd w:id="25"/>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1、以党委名义上报上级党组织的请示报告和下发的全局性工作的方针、政策性文件，原则上应当经党委会讨论通过后，由党委书记签发。</w:t>
      </w:r>
    </w:p>
    <w:p>
      <w:pPr>
        <w:adjustRightInd w:val="0"/>
        <w:snapToGrid w:val="0"/>
        <w:spacing w:line="360" w:lineRule="auto"/>
        <w:ind w:firstLine="640" w:firstLineChars="200"/>
        <w:rPr>
          <w:rFonts w:ascii="仿宋" w:hAnsi="仿宋" w:cs="仿宋"/>
          <w:szCs w:val="32"/>
        </w:rPr>
      </w:pPr>
      <w:r>
        <w:rPr>
          <w:rFonts w:hint="eastAsia" w:ascii="仿宋" w:hAnsi="仿宋" w:cs="仿宋"/>
          <w:szCs w:val="32"/>
        </w:rPr>
        <w:t>2、以党委名义上报或下发的涉及某个方面的文件，经党委书记、有关党委委员审阅同意后，由党委书记签发。</w:t>
      </w:r>
    </w:p>
    <w:p>
      <w:pPr>
        <w:adjustRightInd w:val="0"/>
        <w:snapToGrid w:val="0"/>
        <w:spacing w:line="360" w:lineRule="auto"/>
        <w:ind w:firstLine="640" w:firstLineChars="200"/>
        <w:rPr>
          <w:rFonts w:ascii="仿宋" w:hAnsi="仿宋" w:cs="仿宋"/>
          <w:szCs w:val="32"/>
        </w:rPr>
      </w:pPr>
    </w:p>
    <w:p>
      <w:pPr>
        <w:adjustRightInd w:val="0"/>
        <w:snapToGrid w:val="0"/>
        <w:spacing w:line="360" w:lineRule="auto"/>
        <w:ind w:firstLine="640" w:firstLineChars="200"/>
        <w:rPr>
          <w:rFonts w:ascii="仿宋" w:hAnsi="仿宋" w:cs="仿宋"/>
          <w:szCs w:val="32"/>
        </w:rPr>
      </w:pPr>
    </w:p>
    <w:p>
      <w:pPr>
        <w:adjustRightInd w:val="0"/>
        <w:snapToGrid w:val="0"/>
        <w:spacing w:line="360" w:lineRule="auto"/>
        <w:ind w:firstLine="640" w:firstLineChars="200"/>
        <w:rPr>
          <w:rFonts w:ascii="仿宋" w:hAnsi="仿宋" w:cs="仿宋"/>
          <w:szCs w:val="32"/>
        </w:rPr>
      </w:pPr>
    </w:p>
    <w:p>
      <w:pPr>
        <w:adjustRightInd w:val="0"/>
        <w:snapToGrid w:val="0"/>
        <w:spacing w:line="360" w:lineRule="auto"/>
        <w:ind w:firstLine="640" w:firstLineChars="200"/>
        <w:rPr>
          <w:rFonts w:ascii="仿宋" w:hAnsi="仿宋" w:cs="仿宋"/>
          <w:szCs w:val="32"/>
        </w:rPr>
      </w:pPr>
    </w:p>
    <w:p>
      <w:pPr>
        <w:adjustRightInd w:val="0"/>
        <w:snapToGrid w:val="0"/>
        <w:spacing w:line="360" w:lineRule="auto"/>
        <w:ind w:firstLine="640" w:firstLineChars="200"/>
        <w:rPr>
          <w:rFonts w:ascii="仿宋" w:hAnsi="仿宋" w:cs="仿宋"/>
          <w:szCs w:val="32"/>
        </w:rPr>
      </w:pPr>
    </w:p>
    <w:p>
      <w:pPr>
        <w:adjustRightInd w:val="0"/>
        <w:snapToGrid w:val="0"/>
        <w:spacing w:line="360" w:lineRule="auto"/>
        <w:ind w:firstLine="640" w:firstLineChars="200"/>
        <w:jc w:val="left"/>
        <w:rPr>
          <w:rFonts w:ascii="仿宋" w:hAnsi="仿宋" w:cs="仿宋"/>
          <w:szCs w:val="32"/>
        </w:rPr>
      </w:pPr>
      <w:r>
        <w:rPr>
          <w:rFonts w:hint="eastAsia" w:ascii="仿宋" w:hAnsi="仿宋" w:cs="仿宋"/>
          <w:szCs w:val="32"/>
        </w:rPr>
        <w:drawing>
          <wp:anchor distT="0" distB="0" distL="114300" distR="114300" simplePos="0" relativeHeight="251666432" behindDoc="0" locked="0" layoutInCell="1" allowOverlap="1">
            <wp:simplePos x="0" y="0"/>
            <wp:positionH relativeFrom="column">
              <wp:posOffset>-174625</wp:posOffset>
            </wp:positionH>
            <wp:positionV relativeFrom="paragraph">
              <wp:posOffset>-209550</wp:posOffset>
            </wp:positionV>
            <wp:extent cx="5618480" cy="7338060"/>
            <wp:effectExtent l="0" t="0" r="1270" b="15240"/>
            <wp:wrapNone/>
            <wp:docPr id="31" name="图片 31" descr="未命名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未命名文件"/>
                    <pic:cNvPicPr>
                      <a:picLocks noChangeAspect="1"/>
                    </pic:cNvPicPr>
                  </pic:nvPicPr>
                  <pic:blipFill>
                    <a:blip r:embed="rId12"/>
                    <a:stretch>
                      <a:fillRect/>
                    </a:stretch>
                  </pic:blipFill>
                  <pic:spPr>
                    <a:xfrm>
                      <a:off x="0" y="0"/>
                      <a:ext cx="5618480" cy="7338060"/>
                    </a:xfrm>
                    <a:prstGeom prst="rect">
                      <a:avLst/>
                    </a:prstGeom>
                  </pic:spPr>
                </pic:pic>
              </a:graphicData>
            </a:graphic>
          </wp:anchor>
        </w:drawing>
      </w:r>
    </w:p>
    <w:p>
      <w:pPr>
        <w:jc w:val="center"/>
        <w:rPr>
          <w:rFonts w:ascii="宋体" w:hAnsi="宋体"/>
          <w:b/>
          <w:sz w:val="44"/>
          <w:szCs w:val="44"/>
        </w:rPr>
      </w:pPr>
    </w:p>
    <w:p>
      <w:pPr>
        <w:jc w:val="center"/>
        <w:rPr>
          <w:rFonts w:ascii="宋体" w:hAnsi="宋体"/>
          <w:b/>
          <w:sz w:val="44"/>
          <w:szCs w:val="44"/>
        </w:rPr>
      </w:pPr>
    </w:p>
    <w:p>
      <w:pPr>
        <w:jc w:val="center"/>
        <w:rPr>
          <w:rFonts w:ascii="宋体" w:hAnsi="宋体"/>
          <w:b/>
          <w:sz w:val="44"/>
          <w:szCs w:val="44"/>
        </w:rPr>
      </w:pPr>
    </w:p>
    <w:p>
      <w:pPr>
        <w:jc w:val="center"/>
        <w:rPr>
          <w:rFonts w:ascii="宋体" w:hAnsi="宋体"/>
          <w:b/>
          <w:sz w:val="44"/>
          <w:szCs w:val="44"/>
        </w:rPr>
      </w:pPr>
    </w:p>
    <w:p>
      <w:pPr>
        <w:rPr>
          <w:rFonts w:ascii="宋体" w:hAnsi="宋体"/>
          <w:b/>
          <w:sz w:val="44"/>
          <w:szCs w:val="44"/>
        </w:rPr>
      </w:pPr>
    </w:p>
    <w:p>
      <w:pPr>
        <w:rPr>
          <w:rFonts w:ascii="宋体" w:hAnsi="宋体"/>
          <w:b/>
          <w:sz w:val="44"/>
          <w:szCs w:val="44"/>
        </w:rPr>
      </w:pPr>
    </w:p>
    <w:p>
      <w:pPr>
        <w:rPr>
          <w:rFonts w:ascii="宋体" w:hAnsi="宋体"/>
          <w:b/>
          <w:sz w:val="44"/>
          <w:szCs w:val="44"/>
        </w:rPr>
      </w:pPr>
    </w:p>
    <w:p>
      <w:pPr>
        <w:rPr>
          <w:rFonts w:ascii="宋体" w:hAnsi="宋体"/>
          <w:b/>
          <w:sz w:val="44"/>
          <w:szCs w:val="44"/>
        </w:rPr>
      </w:pPr>
    </w:p>
    <w:p>
      <w:pPr>
        <w:rPr>
          <w:rFonts w:ascii="宋体" w:hAnsi="宋体"/>
          <w:b/>
          <w:sz w:val="44"/>
          <w:szCs w:val="44"/>
        </w:rPr>
      </w:pPr>
    </w:p>
    <w:p>
      <w:pPr>
        <w:rPr>
          <w:rFonts w:ascii="宋体" w:hAnsi="宋体"/>
          <w:b/>
          <w:sz w:val="44"/>
          <w:szCs w:val="44"/>
        </w:rPr>
      </w:pPr>
    </w:p>
    <w:p>
      <w:pPr>
        <w:rPr>
          <w:rFonts w:ascii="宋体" w:hAnsi="宋体"/>
          <w:b/>
          <w:sz w:val="44"/>
          <w:szCs w:val="44"/>
        </w:rPr>
      </w:pPr>
    </w:p>
    <w:p>
      <w:pPr>
        <w:rPr>
          <w:rFonts w:ascii="宋体" w:hAnsi="宋体"/>
          <w:b/>
          <w:sz w:val="44"/>
          <w:szCs w:val="44"/>
        </w:rPr>
      </w:pPr>
    </w:p>
    <w:p>
      <w:pPr>
        <w:rPr>
          <w:rFonts w:ascii="宋体" w:hAnsi="宋体"/>
          <w:b/>
          <w:sz w:val="44"/>
          <w:szCs w:val="44"/>
        </w:rPr>
      </w:pPr>
    </w:p>
    <w:p>
      <w:pPr>
        <w:rPr>
          <w:rFonts w:ascii="宋体" w:hAnsi="宋体"/>
          <w:b/>
          <w:sz w:val="44"/>
          <w:szCs w:val="44"/>
        </w:rPr>
      </w:pPr>
    </w:p>
    <w:p>
      <w:pPr>
        <w:rPr>
          <w:rFonts w:ascii="宋体" w:hAnsi="宋体"/>
          <w:b/>
          <w:sz w:val="44"/>
          <w:szCs w:val="44"/>
        </w:rPr>
      </w:pPr>
    </w:p>
    <w:p>
      <w:pPr>
        <w:rPr>
          <w:rFonts w:ascii="宋体" w:hAnsi="宋体"/>
          <w:b/>
          <w:sz w:val="44"/>
          <w:szCs w:val="44"/>
        </w:rPr>
      </w:pPr>
    </w:p>
    <w:p>
      <w:pPr>
        <w:rPr>
          <w:rFonts w:ascii="宋体" w:hAnsi="宋体"/>
          <w:b/>
          <w:sz w:val="44"/>
          <w:szCs w:val="44"/>
        </w:rPr>
      </w:pPr>
    </w:p>
    <w:p>
      <w:pPr>
        <w:rPr>
          <w:rFonts w:ascii="宋体" w:hAnsi="宋体"/>
          <w:b/>
          <w:sz w:val="44"/>
          <w:szCs w:val="44"/>
        </w:rPr>
      </w:pPr>
    </w:p>
    <w:p>
      <w:pPr>
        <w:rPr>
          <w:rFonts w:ascii="宋体" w:hAnsi="宋体"/>
          <w:b/>
          <w:sz w:val="44"/>
          <w:szCs w:val="44"/>
        </w:rPr>
      </w:pPr>
    </w:p>
    <w:p>
      <w:pPr>
        <w:rPr>
          <w:rFonts w:ascii="宋体" w:hAnsi="宋体"/>
          <w:b/>
          <w:sz w:val="44"/>
          <w:szCs w:val="44"/>
        </w:rPr>
      </w:pPr>
    </w:p>
    <w:p>
      <w:pPr>
        <w:pStyle w:val="2"/>
      </w:pPr>
      <w:bookmarkStart w:id="26" w:name="_Toc22867"/>
      <w:r>
        <w:rPr>
          <w:rFonts w:hint="eastAsia"/>
        </w:rPr>
        <w:t>2、主任办公会议事规则</w:t>
      </w:r>
      <w:bookmarkEnd w:id="26"/>
    </w:p>
    <w:p>
      <w:pPr>
        <w:ind w:firstLine="640" w:firstLineChars="200"/>
        <w:outlineLvl w:val="0"/>
        <w:rPr>
          <w:rFonts w:ascii="黑体" w:eastAsia="黑体"/>
          <w:szCs w:val="32"/>
        </w:rPr>
      </w:pPr>
      <w:bookmarkStart w:id="27" w:name="_Toc13925"/>
      <w:bookmarkStart w:id="28" w:name="_Toc27023"/>
      <w:bookmarkStart w:id="29" w:name="_Toc1841"/>
      <w:bookmarkStart w:id="30" w:name="_Toc15989"/>
      <w:bookmarkStart w:id="31" w:name="_Toc8385"/>
      <w:r>
        <w:rPr>
          <w:rFonts w:hint="eastAsia" w:ascii="黑体" w:eastAsia="黑体"/>
          <w:szCs w:val="32"/>
        </w:rPr>
        <w:t>一、会议总体要求</w:t>
      </w:r>
      <w:bookmarkEnd w:id="27"/>
      <w:bookmarkEnd w:id="28"/>
      <w:bookmarkEnd w:id="29"/>
      <w:bookmarkEnd w:id="30"/>
      <w:bookmarkEnd w:id="31"/>
    </w:p>
    <w:p>
      <w:pPr>
        <w:ind w:firstLine="640" w:firstLineChars="200"/>
        <w:rPr>
          <w:rFonts w:ascii="仿宋" w:hAnsi="仿宋" w:cs="仿宋"/>
          <w:szCs w:val="32"/>
        </w:rPr>
      </w:pPr>
      <w:r>
        <w:rPr>
          <w:rFonts w:hint="eastAsia" w:ascii="仿宋" w:hAnsi="仿宋" w:cs="仿宋"/>
          <w:szCs w:val="32"/>
        </w:rPr>
        <w:t>（一）行政办公室负责会议管理，新区主任办公会需主要领导批准，其他各局办召开的会议需分管领导批准。</w:t>
      </w:r>
    </w:p>
    <w:p>
      <w:pPr>
        <w:ind w:firstLine="640" w:firstLineChars="200"/>
        <w:rPr>
          <w:rFonts w:ascii="仿宋" w:hAnsi="仿宋" w:cs="仿宋"/>
          <w:szCs w:val="32"/>
        </w:rPr>
      </w:pPr>
      <w:r>
        <w:rPr>
          <w:rFonts w:hint="eastAsia" w:ascii="仿宋" w:hAnsi="仿宋" w:cs="仿宋"/>
          <w:szCs w:val="32"/>
        </w:rPr>
        <w:t>（二）会务工作主要由行政办公室承办，其他部门主办或召集的会议，行政办公室应予以协助。</w:t>
      </w:r>
    </w:p>
    <w:p>
      <w:pPr>
        <w:adjustRightInd w:val="0"/>
        <w:ind w:firstLine="640" w:firstLineChars="200"/>
        <w:rPr>
          <w:rFonts w:ascii="仿宋" w:hAnsi="仿宋" w:cs="仿宋"/>
          <w:szCs w:val="32"/>
        </w:rPr>
      </w:pPr>
      <w:r>
        <w:rPr>
          <w:rFonts w:hint="eastAsia" w:ascii="仿宋" w:hAnsi="仿宋" w:cs="仿宋"/>
          <w:szCs w:val="32"/>
        </w:rPr>
        <w:t>（三）各局办组织的会议，在召开前要向行政办公室提报会议召开时间、提交人、汇报人、会议名称及参加人员等相关信息，由行政办公室审核后方可召开，一般情况下每个议题汇报时间不得超过10分钟，会议持续时间不得超过2个小时。</w:t>
      </w:r>
    </w:p>
    <w:p>
      <w:pPr>
        <w:adjustRightInd w:val="0"/>
        <w:snapToGrid w:val="0"/>
        <w:spacing w:line="360" w:lineRule="auto"/>
        <w:ind w:firstLine="640" w:firstLineChars="200"/>
        <w:outlineLvl w:val="0"/>
        <w:rPr>
          <w:rFonts w:ascii="黑体" w:hAnsi="仿宋" w:eastAsia="黑体"/>
          <w:szCs w:val="32"/>
        </w:rPr>
      </w:pPr>
      <w:bookmarkStart w:id="32" w:name="_Toc23096"/>
      <w:bookmarkStart w:id="33" w:name="_Toc13525"/>
      <w:bookmarkStart w:id="34" w:name="_Toc1711"/>
      <w:bookmarkStart w:id="35" w:name="_Toc2612"/>
      <w:bookmarkStart w:id="36" w:name="_Toc28869"/>
      <w:r>
        <w:rPr>
          <w:rFonts w:hint="eastAsia" w:ascii="黑体" w:eastAsia="黑体"/>
          <w:szCs w:val="32"/>
        </w:rPr>
        <w:t>二、主任办公会</w:t>
      </w:r>
      <w:bookmarkEnd w:id="32"/>
      <w:bookmarkEnd w:id="33"/>
      <w:bookmarkEnd w:id="34"/>
      <w:bookmarkEnd w:id="35"/>
      <w:bookmarkEnd w:id="36"/>
    </w:p>
    <w:p>
      <w:pPr>
        <w:pStyle w:val="8"/>
        <w:widowControl w:val="0"/>
        <w:shd w:val="clear" w:color="auto" w:fill="FFFFFF"/>
        <w:adjustRightInd w:val="0"/>
        <w:snapToGrid w:val="0"/>
        <w:spacing w:before="0" w:beforeAutospacing="0" w:after="0" w:afterAutospacing="0"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rPr>
        <w:t>（一）主任办公会由主任主持召开，副主任参加，必要时可视会议的不同由涉及到的局（办）负责人参加，主任因故不能出席会议时，由主任委托副主任主持。</w:t>
      </w:r>
    </w:p>
    <w:p>
      <w:pPr>
        <w:pStyle w:val="8"/>
        <w:widowControl w:val="0"/>
        <w:shd w:val="clear" w:color="auto" w:fill="FFFFFF"/>
        <w:adjustRightInd w:val="0"/>
        <w:snapToGrid w:val="0"/>
        <w:spacing w:before="0" w:beforeAutospacing="0" w:after="0" w:afterAutospacing="0"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rPr>
        <w:t>（二）参加主任办公会的人员应在会前做好议事的准备工作，凡因故不能出席会议的须会前向主持人请假。各参会人员要严格掌控发言时间，无特殊情况会议时间不得超过3小时。</w:t>
      </w:r>
    </w:p>
    <w:p>
      <w:pPr>
        <w:pStyle w:val="8"/>
        <w:widowControl w:val="0"/>
        <w:shd w:val="clear" w:color="auto" w:fill="FFFFFF"/>
        <w:adjustRightInd w:val="0"/>
        <w:snapToGrid w:val="0"/>
        <w:spacing w:before="0" w:beforeAutospacing="0" w:after="0" w:afterAutospacing="0" w:line="360" w:lineRule="auto"/>
        <w:ind w:firstLine="640" w:firstLineChars="200"/>
        <w:jc w:val="both"/>
        <w:rPr>
          <w:rStyle w:val="13"/>
          <w:rFonts w:ascii="仿宋" w:hAnsi="仿宋" w:eastAsia="仿宋" w:cs="仿宋"/>
          <w:b w:val="0"/>
          <w:bCs w:val="0"/>
          <w:sz w:val="32"/>
          <w:szCs w:val="32"/>
        </w:rPr>
      </w:pPr>
      <w:r>
        <w:rPr>
          <w:rStyle w:val="13"/>
          <w:rFonts w:hint="eastAsia" w:ascii="仿宋" w:hAnsi="仿宋" w:eastAsia="仿宋" w:cs="仿宋"/>
          <w:b w:val="0"/>
          <w:sz w:val="32"/>
          <w:szCs w:val="32"/>
        </w:rPr>
        <w:t>（三）</w:t>
      </w:r>
      <w:r>
        <w:rPr>
          <w:rFonts w:hint="eastAsia" w:ascii="仿宋" w:hAnsi="仿宋" w:eastAsia="仿宋" w:cs="仿宋"/>
          <w:sz w:val="32"/>
          <w:szCs w:val="32"/>
        </w:rPr>
        <w:t>主任办公会每月召开1次，召开时间为每月月初举行。如遇特殊或紧急情况可随时召开。</w:t>
      </w:r>
    </w:p>
    <w:p>
      <w:pPr>
        <w:pStyle w:val="8"/>
        <w:widowControl w:val="0"/>
        <w:shd w:val="clear" w:color="auto" w:fill="FFFFFF"/>
        <w:adjustRightInd w:val="0"/>
        <w:snapToGrid w:val="0"/>
        <w:spacing w:before="0" w:beforeAutospacing="0" w:after="0" w:afterAutospacing="0" w:line="360" w:lineRule="auto"/>
        <w:ind w:firstLine="640" w:firstLineChars="200"/>
        <w:jc w:val="both"/>
        <w:rPr>
          <w:rFonts w:ascii="仿宋" w:hAnsi="仿宋" w:eastAsia="仿宋" w:cs="仿宋"/>
          <w:sz w:val="32"/>
          <w:szCs w:val="32"/>
        </w:rPr>
      </w:pPr>
      <w:r>
        <w:rPr>
          <w:rStyle w:val="13"/>
          <w:rFonts w:hint="eastAsia" w:ascii="仿宋" w:hAnsi="仿宋" w:eastAsia="仿宋" w:cs="仿宋"/>
          <w:b w:val="0"/>
          <w:sz w:val="32"/>
          <w:szCs w:val="32"/>
        </w:rPr>
        <w:t>（四）主任办公会议事范围和内容包括：</w:t>
      </w:r>
      <w:r>
        <w:rPr>
          <w:rFonts w:hint="eastAsia" w:ascii="仿宋" w:hAnsi="仿宋" w:eastAsia="仿宋" w:cs="仿宋"/>
          <w:sz w:val="32"/>
          <w:szCs w:val="32"/>
        </w:rPr>
        <w:t>贯彻学习党和国家的方针政策及上级主管部门重要指示、工作部署和决定；讨论制定新区工作安排、</w:t>
      </w:r>
      <w:r>
        <w:fldChar w:fldCharType="begin"/>
      </w:r>
      <w:r>
        <w:instrText xml:space="preserve"> HYPERLINK "http://www.gwyoo.com/article/shuzhibaogao/" </w:instrText>
      </w:r>
      <w:r>
        <w:fldChar w:fldCharType="separate"/>
      </w:r>
      <w:r>
        <w:rPr>
          <w:rFonts w:hint="eastAsia" w:ascii="仿宋" w:hAnsi="仿宋" w:eastAsia="仿宋" w:cs="仿宋"/>
          <w:sz w:val="32"/>
          <w:szCs w:val="32"/>
        </w:rPr>
        <w:t>工作</w:t>
      </w:r>
      <w:r>
        <w:rPr>
          <w:rFonts w:hint="eastAsia" w:ascii="仿宋" w:hAnsi="仿宋" w:eastAsia="仿宋" w:cs="仿宋"/>
          <w:sz w:val="32"/>
          <w:szCs w:val="32"/>
        </w:rPr>
        <w:fldChar w:fldCharType="end"/>
      </w:r>
      <w:r>
        <w:fldChar w:fldCharType="begin"/>
      </w:r>
      <w:r>
        <w:instrText xml:space="preserve"> HYPERLINK "http://www.gwyoo.com/article/shuzhibaogao/" </w:instrText>
      </w:r>
      <w:r>
        <w:fldChar w:fldCharType="separate"/>
      </w:r>
      <w:r>
        <w:rPr>
          <w:rFonts w:hint="eastAsia" w:ascii="仿宋" w:hAnsi="仿宋" w:eastAsia="仿宋" w:cs="仿宋"/>
          <w:sz w:val="32"/>
          <w:szCs w:val="32"/>
        </w:rPr>
        <w:t>总结</w:t>
      </w:r>
      <w:r>
        <w:rPr>
          <w:rFonts w:hint="eastAsia" w:ascii="仿宋" w:hAnsi="仿宋" w:eastAsia="仿宋" w:cs="仿宋"/>
          <w:sz w:val="32"/>
          <w:szCs w:val="32"/>
        </w:rPr>
        <w:fldChar w:fldCharType="end"/>
      </w:r>
      <w:r>
        <w:rPr>
          <w:rFonts w:hint="eastAsia" w:ascii="仿宋" w:hAnsi="仿宋" w:eastAsia="仿宋" w:cs="仿宋"/>
          <w:sz w:val="32"/>
          <w:szCs w:val="32"/>
        </w:rPr>
        <w:t>及临时性的</w:t>
      </w:r>
      <w:r>
        <w:fldChar w:fldCharType="begin"/>
      </w:r>
      <w:r>
        <w:instrText xml:space="preserve"> HYPERLINK "http://www.gwyoo.com/lunwen/xingzhenglunwen/" </w:instrText>
      </w:r>
      <w:r>
        <w:fldChar w:fldCharType="separate"/>
      </w:r>
      <w:r>
        <w:rPr>
          <w:rFonts w:hint="eastAsia" w:ascii="仿宋" w:hAnsi="仿宋" w:eastAsia="仿宋" w:cs="仿宋"/>
          <w:sz w:val="32"/>
          <w:szCs w:val="32"/>
        </w:rPr>
        <w:t>行政</w:t>
      </w:r>
      <w:r>
        <w:rPr>
          <w:rFonts w:hint="eastAsia" w:ascii="仿宋" w:hAnsi="仿宋" w:eastAsia="仿宋" w:cs="仿宋"/>
          <w:sz w:val="32"/>
          <w:szCs w:val="32"/>
        </w:rPr>
        <w:fldChar w:fldCharType="end"/>
      </w:r>
      <w:r>
        <w:rPr>
          <w:rFonts w:hint="eastAsia" w:ascii="仿宋" w:hAnsi="仿宋" w:eastAsia="仿宋" w:cs="仿宋"/>
          <w:sz w:val="32"/>
          <w:szCs w:val="32"/>
        </w:rPr>
        <w:t>管理工作任务；研究新区招商引资、工程</w:t>
      </w:r>
      <w:r>
        <w:fldChar w:fldCharType="begin"/>
      </w:r>
      <w:r>
        <w:instrText xml:space="preserve"> HYPERLINK "http://www.gwyoo.com/lunwen/jsztlw/" </w:instrText>
      </w:r>
      <w:r>
        <w:fldChar w:fldCharType="separate"/>
      </w:r>
      <w:r>
        <w:rPr>
          <w:rFonts w:hint="eastAsia" w:ascii="仿宋" w:hAnsi="仿宋" w:eastAsia="仿宋" w:cs="仿宋"/>
          <w:sz w:val="32"/>
          <w:szCs w:val="32"/>
        </w:rPr>
        <w:t>建设</w:t>
      </w:r>
      <w:r>
        <w:rPr>
          <w:rFonts w:hint="eastAsia" w:ascii="仿宋" w:hAnsi="仿宋" w:eastAsia="仿宋" w:cs="仿宋"/>
          <w:sz w:val="32"/>
          <w:szCs w:val="32"/>
        </w:rPr>
        <w:fldChar w:fldCharType="end"/>
      </w:r>
      <w:r>
        <w:rPr>
          <w:rFonts w:hint="eastAsia" w:ascii="仿宋" w:hAnsi="仿宋" w:eastAsia="仿宋" w:cs="仿宋"/>
          <w:sz w:val="32"/>
          <w:szCs w:val="32"/>
        </w:rPr>
        <w:t>、安全生产、项目争取、征地拆迁、城市管理、规划审批、社区建设管理等工作；讨论、决定涉及新区需要协调的重要事宜及日常工作中的突出问题；听取</w:t>
      </w:r>
      <w:r>
        <w:fldChar w:fldCharType="begin"/>
      </w:r>
      <w:r>
        <w:instrText xml:space="preserve"> HYPERLINK "http://www.gwyoo.com/lunwen/jjgl/caiwu/" </w:instrText>
      </w:r>
      <w:r>
        <w:fldChar w:fldCharType="separate"/>
      </w:r>
      <w:r>
        <w:rPr>
          <w:rFonts w:hint="eastAsia" w:ascii="仿宋" w:hAnsi="仿宋" w:eastAsia="仿宋" w:cs="仿宋"/>
          <w:sz w:val="32"/>
          <w:szCs w:val="32"/>
        </w:rPr>
        <w:t>财务</w:t>
      </w:r>
      <w:r>
        <w:rPr>
          <w:rFonts w:hint="eastAsia" w:ascii="仿宋" w:hAnsi="仿宋" w:eastAsia="仿宋" w:cs="仿宋"/>
          <w:sz w:val="32"/>
          <w:szCs w:val="32"/>
        </w:rPr>
        <w:fldChar w:fldCharType="end"/>
      </w:r>
      <w:r>
        <w:rPr>
          <w:rFonts w:hint="eastAsia" w:ascii="仿宋" w:hAnsi="仿宋" w:eastAsia="仿宋" w:cs="仿宋"/>
          <w:sz w:val="32"/>
          <w:szCs w:val="32"/>
        </w:rPr>
        <w:t>收支状况汇报，研究较大财务开支等问题。</w:t>
      </w:r>
    </w:p>
    <w:p>
      <w:pPr>
        <w:pStyle w:val="8"/>
        <w:widowControl w:val="0"/>
        <w:shd w:val="clear" w:color="auto" w:fill="FFFFFF"/>
        <w:adjustRightInd w:val="0"/>
        <w:snapToGrid w:val="0"/>
        <w:spacing w:before="0" w:beforeAutospacing="0" w:after="0" w:afterAutospacing="0"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rPr>
        <w:t>（五）每月由行政办公室负责向各分管领导收集议题，并整理后报主任或受委托副主任审定；主任或受委托副主任应在开会前一个工作日内确定上会议题；上会议题由提议的分管领导和提议局办以书面形式列出议事提纲并提出初步意见上会议定。</w:t>
      </w:r>
    </w:p>
    <w:p>
      <w:pPr>
        <w:pStyle w:val="8"/>
        <w:widowControl w:val="0"/>
        <w:shd w:val="clear" w:color="auto" w:fill="FFFFFF"/>
        <w:adjustRightInd w:val="0"/>
        <w:snapToGrid w:val="0"/>
        <w:spacing w:before="0" w:beforeAutospacing="0" w:after="0" w:afterAutospacing="0"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rPr>
        <w:t>（六）无论上会议题被议定或否定，都应记录在册。重大事项或需要上报下发的决定，形成会议纪要报主任审签后行文。</w:t>
      </w:r>
    </w:p>
    <w:p>
      <w:pPr>
        <w:pStyle w:val="8"/>
        <w:widowControl w:val="0"/>
        <w:shd w:val="clear" w:color="auto" w:fill="FFFFFF"/>
        <w:adjustRightInd w:val="0"/>
        <w:snapToGrid w:val="0"/>
        <w:spacing w:before="0" w:beforeAutospacing="0" w:after="0" w:afterAutospacing="0" w:line="360" w:lineRule="auto"/>
        <w:ind w:firstLine="640" w:firstLineChars="200"/>
        <w:jc w:val="both"/>
        <w:rPr>
          <w:rFonts w:ascii="仿宋_GB2312" w:hAnsi="仿宋" w:eastAsia="仿宋_GB2312"/>
          <w:sz w:val="32"/>
          <w:szCs w:val="32"/>
        </w:rPr>
      </w:pPr>
      <w:r>
        <w:rPr>
          <w:rFonts w:hint="eastAsia" w:ascii="仿宋" w:hAnsi="仿宋" w:eastAsia="仿宋" w:cs="仿宋"/>
          <w:sz w:val="32"/>
          <w:szCs w:val="32"/>
        </w:rPr>
        <w:t>（七）主任办公会形成的决定决议事项由行政办公室负责督办，并将督办情况及时向领导成员反馈,并在下次主任办公会上进行通报，对未完成决定和决议的局办则由主任办公会提出批评，承办局办作出说明。</w:t>
      </w:r>
    </w:p>
    <w:p>
      <w:pPr>
        <w:adjustRightInd w:val="0"/>
        <w:snapToGrid w:val="0"/>
        <w:spacing w:line="360" w:lineRule="auto"/>
        <w:ind w:firstLine="630"/>
        <w:rPr>
          <w:rFonts w:ascii="仿宋" w:hAnsi="仿宋" w:cs="仿宋"/>
          <w:szCs w:val="32"/>
        </w:rPr>
      </w:pPr>
      <w:r>
        <w:rPr>
          <w:rFonts w:hint="eastAsia" w:ascii="仿宋" w:hAnsi="仿宋" w:cs="仿宋"/>
          <w:szCs w:val="32"/>
        </w:rPr>
        <w:t>本规则自发布之日起实施。</w:t>
      </w:r>
    </w:p>
    <w:p>
      <w:pPr>
        <w:adjustRightInd w:val="0"/>
        <w:snapToGrid w:val="0"/>
        <w:spacing w:line="360" w:lineRule="auto"/>
        <w:ind w:firstLine="630"/>
        <w:rPr>
          <w:rFonts w:ascii="仿宋" w:hAnsi="仿宋" w:cs="仿宋"/>
          <w:szCs w:val="32"/>
        </w:rPr>
      </w:pPr>
    </w:p>
    <w:p>
      <w:pPr>
        <w:adjustRightInd w:val="0"/>
        <w:snapToGrid w:val="0"/>
        <w:spacing w:line="360" w:lineRule="auto"/>
        <w:ind w:firstLine="630"/>
        <w:rPr>
          <w:rFonts w:ascii="仿宋" w:hAnsi="仿宋" w:cs="仿宋"/>
          <w:szCs w:val="32"/>
        </w:rPr>
      </w:pPr>
    </w:p>
    <w:p>
      <w:pPr>
        <w:adjustRightInd w:val="0"/>
        <w:snapToGrid w:val="0"/>
        <w:spacing w:line="360" w:lineRule="auto"/>
        <w:ind w:firstLine="630"/>
        <w:rPr>
          <w:rFonts w:ascii="仿宋" w:hAnsi="仿宋" w:cs="仿宋"/>
          <w:szCs w:val="32"/>
        </w:rPr>
      </w:pPr>
      <w:r>
        <w:rPr>
          <w:rFonts w:hint="eastAsia" w:ascii="仿宋" w:hAnsi="仿宋" w:cs="仿宋"/>
          <w:szCs w:val="32"/>
        </w:rPr>
        <w:drawing>
          <wp:inline distT="0" distB="0" distL="114300" distR="114300">
            <wp:extent cx="5270500" cy="7440930"/>
            <wp:effectExtent l="0" t="0" r="6350" b="7620"/>
            <wp:docPr id="106" name="图片 106" descr="主任办公会议事规则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主任办公会议事规则流程"/>
                    <pic:cNvPicPr>
                      <a:picLocks noChangeAspect="1"/>
                    </pic:cNvPicPr>
                  </pic:nvPicPr>
                  <pic:blipFill>
                    <a:blip r:embed="rId13"/>
                    <a:stretch>
                      <a:fillRect/>
                    </a:stretch>
                  </pic:blipFill>
                  <pic:spPr>
                    <a:xfrm>
                      <a:off x="0" y="0"/>
                      <a:ext cx="5270500" cy="7440930"/>
                    </a:xfrm>
                    <a:prstGeom prst="rect">
                      <a:avLst/>
                    </a:prstGeom>
                  </pic:spPr>
                </pic:pic>
              </a:graphicData>
            </a:graphic>
          </wp:inline>
        </w:drawing>
      </w:r>
    </w:p>
    <w:p>
      <w:pPr>
        <w:adjustRightInd w:val="0"/>
        <w:snapToGrid w:val="0"/>
        <w:spacing w:line="360" w:lineRule="auto"/>
        <w:ind w:firstLine="630"/>
        <w:rPr>
          <w:rFonts w:ascii="仿宋" w:hAnsi="仿宋" w:cs="仿宋"/>
          <w:szCs w:val="32"/>
        </w:rPr>
      </w:pPr>
    </w:p>
    <w:p>
      <w:pPr>
        <w:pStyle w:val="2"/>
        <w:rPr>
          <w:rFonts w:ascii="仿宋" w:hAnsi="仿宋" w:eastAsia="仿宋"/>
          <w:sz w:val="32"/>
          <w:szCs w:val="32"/>
        </w:rPr>
      </w:pPr>
      <w:bookmarkStart w:id="37" w:name="_Toc23099"/>
      <w:r>
        <w:rPr>
          <w:rFonts w:hint="eastAsia"/>
        </w:rPr>
        <w:t>3、“一把手”“五个不直接分管”和末位表态工作制度</w:t>
      </w:r>
      <w:bookmarkEnd w:id="37"/>
    </w:p>
    <w:p>
      <w:pPr>
        <w:adjustRightInd w:val="0"/>
        <w:snapToGrid w:val="0"/>
        <w:spacing w:line="360" w:lineRule="auto"/>
        <w:ind w:firstLine="640" w:firstLineChars="200"/>
        <w:rPr>
          <w:rFonts w:ascii="仿宋" w:hAnsi="仿宋"/>
          <w:szCs w:val="32"/>
        </w:rPr>
      </w:pPr>
      <w:r>
        <w:rPr>
          <w:rFonts w:hint="eastAsia" w:ascii="仿宋" w:hAnsi="仿宋"/>
          <w:szCs w:val="32"/>
        </w:rPr>
        <w:t>为进一步规范新区的权力公开透明运行机制，强化对“一把手”权力的监督制约，加大源头预防和治理腐败工作的力度，根据《中国共产党党内监督条例（试行）》等有关党纪法规等文件精神，实行新区“一把手”“五个不直接分管”和末位表态工作制度</w:t>
      </w:r>
    </w:p>
    <w:p>
      <w:pPr>
        <w:adjustRightInd w:val="0"/>
        <w:snapToGrid w:val="0"/>
        <w:spacing w:line="360" w:lineRule="auto"/>
        <w:outlineLvl w:val="0"/>
        <w:rPr>
          <w:rFonts w:ascii="黑体" w:hAnsi="黑体" w:eastAsia="黑体"/>
          <w:b/>
          <w:szCs w:val="32"/>
        </w:rPr>
      </w:pPr>
      <w:r>
        <w:rPr>
          <w:rFonts w:hint="eastAsia" w:ascii="黑体" w:hAnsi="黑体" w:eastAsia="黑体"/>
          <w:b/>
          <w:szCs w:val="32"/>
        </w:rPr>
        <w:t>　　</w:t>
      </w:r>
      <w:bookmarkStart w:id="38" w:name="_Toc495"/>
      <w:bookmarkStart w:id="39" w:name="_Toc19237"/>
      <w:bookmarkStart w:id="40" w:name="_Toc11784"/>
      <w:bookmarkStart w:id="41" w:name="_Toc32740"/>
      <w:bookmarkStart w:id="42" w:name="_Toc1014"/>
      <w:r>
        <w:rPr>
          <w:rFonts w:hint="eastAsia" w:ascii="黑体" w:hAnsi="黑体" w:eastAsia="黑体"/>
          <w:bCs/>
          <w:szCs w:val="32"/>
        </w:rPr>
        <w:t>一、指导思想</w:t>
      </w:r>
      <w:bookmarkEnd w:id="38"/>
      <w:bookmarkEnd w:id="39"/>
      <w:bookmarkEnd w:id="40"/>
      <w:bookmarkEnd w:id="41"/>
      <w:bookmarkEnd w:id="42"/>
    </w:p>
    <w:p>
      <w:pPr>
        <w:adjustRightInd w:val="0"/>
        <w:snapToGrid w:val="0"/>
        <w:spacing w:line="360" w:lineRule="auto"/>
        <w:rPr>
          <w:rFonts w:ascii="仿宋" w:hAnsi="仿宋"/>
          <w:szCs w:val="32"/>
        </w:rPr>
      </w:pPr>
      <w:r>
        <w:rPr>
          <w:rFonts w:hint="eastAsia" w:ascii="仿宋" w:hAnsi="仿宋"/>
          <w:szCs w:val="32"/>
        </w:rPr>
        <w:t>　　以推进惩治和预防腐败体系建设为主线，以强化腐败风险防范机制为重点，按照决策、执行、监督既相互制约又相互协调的原则，建立健全“结构合理、配置科学、程序严密、制约有效”的权力运行机制，从制度上、机制上防止腐败现象的发生。</w:t>
      </w:r>
    </w:p>
    <w:p>
      <w:pPr>
        <w:adjustRightInd w:val="0"/>
        <w:snapToGrid w:val="0"/>
        <w:spacing w:line="360" w:lineRule="auto"/>
        <w:ind w:firstLine="630"/>
        <w:outlineLvl w:val="0"/>
        <w:rPr>
          <w:rFonts w:ascii="黑体" w:hAnsi="黑体" w:eastAsia="黑体"/>
          <w:bCs/>
          <w:szCs w:val="32"/>
        </w:rPr>
      </w:pPr>
      <w:bookmarkStart w:id="43" w:name="_Toc17509"/>
      <w:bookmarkStart w:id="44" w:name="_Toc1748"/>
      <w:bookmarkStart w:id="45" w:name="_Toc30349"/>
      <w:bookmarkStart w:id="46" w:name="_Toc24492"/>
      <w:bookmarkStart w:id="47" w:name="_Toc19661"/>
      <w:r>
        <w:rPr>
          <w:rFonts w:hint="eastAsia" w:ascii="黑体" w:hAnsi="黑体" w:eastAsia="黑体"/>
          <w:bCs/>
          <w:szCs w:val="32"/>
        </w:rPr>
        <w:t>二、主要内容</w:t>
      </w:r>
      <w:bookmarkEnd w:id="43"/>
      <w:bookmarkEnd w:id="44"/>
      <w:bookmarkEnd w:id="45"/>
      <w:bookmarkEnd w:id="46"/>
      <w:bookmarkEnd w:id="47"/>
    </w:p>
    <w:p>
      <w:pPr>
        <w:adjustRightInd w:val="0"/>
        <w:snapToGrid w:val="0"/>
        <w:spacing w:line="360" w:lineRule="auto"/>
        <w:ind w:firstLine="630"/>
        <w:rPr>
          <w:rFonts w:ascii="楷体" w:hAnsi="楷体" w:eastAsia="楷体"/>
          <w:b/>
          <w:szCs w:val="32"/>
        </w:rPr>
      </w:pPr>
      <w:r>
        <w:rPr>
          <w:rFonts w:hint="eastAsia" w:ascii="楷体" w:hAnsi="楷体" w:eastAsia="楷体"/>
          <w:b/>
          <w:szCs w:val="32"/>
        </w:rPr>
        <w:t xml:space="preserve">末位表态制度        </w:t>
      </w:r>
    </w:p>
    <w:p>
      <w:pPr>
        <w:adjustRightInd w:val="0"/>
        <w:snapToGrid w:val="0"/>
        <w:spacing w:line="360" w:lineRule="auto"/>
        <w:ind w:firstLine="640" w:firstLineChars="200"/>
        <w:rPr>
          <w:rFonts w:ascii="仿宋" w:hAnsi="仿宋"/>
          <w:szCs w:val="32"/>
        </w:rPr>
      </w:pPr>
      <w:r>
        <w:rPr>
          <w:rFonts w:hint="eastAsia" w:ascii="仿宋" w:hAnsi="仿宋"/>
          <w:szCs w:val="32"/>
        </w:rPr>
        <w:t xml:space="preserve">为保证决策正确、科学，避免盲目决策、临时动议，特制定该末位表态制度。 </w:t>
      </w:r>
    </w:p>
    <w:p>
      <w:pPr>
        <w:adjustRightInd w:val="0"/>
        <w:snapToGrid w:val="0"/>
        <w:spacing w:line="360" w:lineRule="auto"/>
        <w:ind w:firstLine="480" w:firstLineChars="150"/>
        <w:rPr>
          <w:rFonts w:ascii="仿宋" w:hAnsi="仿宋"/>
          <w:szCs w:val="32"/>
        </w:rPr>
      </w:pPr>
      <w:r>
        <w:rPr>
          <w:rFonts w:hint="eastAsia" w:ascii="仿宋" w:hAnsi="仿宋"/>
          <w:szCs w:val="32"/>
        </w:rPr>
        <w:t xml:space="preserve"> 一、“党委议事制度、民主集中、个别酝酿、会议决定”的原则。 </w:t>
      </w:r>
    </w:p>
    <w:p>
      <w:pPr>
        <w:adjustRightInd w:val="0"/>
        <w:snapToGrid w:val="0"/>
        <w:spacing w:line="360" w:lineRule="auto"/>
        <w:ind w:firstLine="480" w:firstLineChars="150"/>
        <w:rPr>
          <w:rFonts w:ascii="仿宋" w:hAnsi="仿宋"/>
          <w:szCs w:val="32"/>
        </w:rPr>
      </w:pPr>
      <w:r>
        <w:rPr>
          <w:rFonts w:hint="eastAsia" w:ascii="仿宋" w:hAnsi="仿宋"/>
          <w:szCs w:val="32"/>
        </w:rPr>
        <w:t xml:space="preserve">二、党委议事程序按照“事前告发、充分讨论、末位定论、如实记录”程序进行。      </w:t>
      </w:r>
    </w:p>
    <w:p>
      <w:pPr>
        <w:adjustRightInd w:val="0"/>
        <w:snapToGrid w:val="0"/>
        <w:spacing w:line="360" w:lineRule="auto"/>
        <w:ind w:firstLine="640" w:firstLineChars="200"/>
        <w:rPr>
          <w:rFonts w:ascii="仿宋" w:hAnsi="仿宋"/>
          <w:szCs w:val="32"/>
        </w:rPr>
      </w:pPr>
      <w:r>
        <w:rPr>
          <w:rFonts w:hint="eastAsia" w:ascii="仿宋" w:hAnsi="仿宋"/>
          <w:szCs w:val="32"/>
        </w:rPr>
        <w:t xml:space="preserve">1、事前告知：召开党委会议前，实现必须将议题告知班子成员，做到议事时心中有数，凡事前未告知的事项一律不上会，任何人不得临时动议。      </w:t>
      </w:r>
    </w:p>
    <w:p>
      <w:pPr>
        <w:adjustRightInd w:val="0"/>
        <w:snapToGrid w:val="0"/>
        <w:spacing w:line="360" w:lineRule="auto"/>
        <w:ind w:firstLine="640" w:firstLineChars="200"/>
        <w:rPr>
          <w:rFonts w:ascii="仿宋" w:hAnsi="仿宋"/>
          <w:szCs w:val="32"/>
        </w:rPr>
      </w:pPr>
      <w:r>
        <w:rPr>
          <w:rFonts w:hint="eastAsia" w:ascii="仿宋" w:hAnsi="仿宋"/>
          <w:szCs w:val="32"/>
        </w:rPr>
        <w:t xml:space="preserve">2、充分讨论：凡集体研究重要事项，必须充分发扬民主。“一把手”不得先定调子，划定框架，班子成员就事论事，畅所欲言，各抒己见，认真磋商，人和人不得压制民主，思谋串通。     </w:t>
      </w:r>
    </w:p>
    <w:p>
      <w:pPr>
        <w:adjustRightInd w:val="0"/>
        <w:snapToGrid w:val="0"/>
        <w:spacing w:line="360" w:lineRule="auto"/>
        <w:ind w:firstLine="640" w:firstLineChars="200"/>
        <w:rPr>
          <w:rFonts w:ascii="仿宋" w:hAnsi="仿宋"/>
          <w:szCs w:val="32"/>
        </w:rPr>
      </w:pPr>
      <w:r>
        <w:rPr>
          <w:rFonts w:hint="eastAsia" w:ascii="仿宋" w:hAnsi="仿宋"/>
          <w:szCs w:val="32"/>
        </w:rPr>
        <w:t xml:space="preserve">3、末位定义：班子集体研究重大事项，重大问题时，在充分发扬民主的基础上，最后由“一把手”综合集体意见作最后陈述表态，当意见不一，出现明显分歧时，按照少数服从多数原则，实行班子成员集体表决，但仍由“一把手”按照集体表决意见作最终表态。      </w:t>
      </w:r>
    </w:p>
    <w:p>
      <w:pPr>
        <w:adjustRightInd w:val="0"/>
        <w:snapToGrid w:val="0"/>
        <w:spacing w:line="360" w:lineRule="auto"/>
        <w:ind w:firstLine="640" w:firstLineChars="200"/>
        <w:rPr>
          <w:rFonts w:ascii="仿宋" w:hAnsi="仿宋"/>
          <w:szCs w:val="32"/>
        </w:rPr>
      </w:pPr>
      <w:r>
        <w:rPr>
          <w:rFonts w:hint="eastAsia" w:ascii="仿宋" w:hAnsi="仿宋"/>
          <w:szCs w:val="32"/>
        </w:rPr>
        <w:t>4、如实记录：对集体研究重大问题和事项，必须指定专人进行会议记录，对每位班子成员的陈述意见，特别是对最终决策内容必须详细，如实记录在案，作为决策责任的依据。</w:t>
      </w:r>
    </w:p>
    <w:p>
      <w:pPr>
        <w:adjustRightInd w:val="0"/>
        <w:snapToGrid w:val="0"/>
        <w:spacing w:line="360" w:lineRule="auto"/>
        <w:rPr>
          <w:rFonts w:ascii="楷体" w:hAnsi="楷体" w:eastAsia="楷体"/>
          <w:b/>
          <w:szCs w:val="32"/>
        </w:rPr>
      </w:pPr>
      <w:r>
        <w:rPr>
          <w:rFonts w:hint="eastAsia" w:ascii="仿宋" w:hAnsi="仿宋"/>
          <w:szCs w:val="32"/>
        </w:rPr>
        <w:t xml:space="preserve">    </w:t>
      </w:r>
      <w:r>
        <w:rPr>
          <w:rFonts w:hint="eastAsia" w:ascii="楷体" w:hAnsi="楷体" w:eastAsia="楷体"/>
          <w:b/>
          <w:szCs w:val="32"/>
        </w:rPr>
        <w:t xml:space="preserve">“五个不直接分管”制度      </w:t>
      </w:r>
    </w:p>
    <w:p>
      <w:pPr>
        <w:adjustRightInd w:val="0"/>
        <w:snapToGrid w:val="0"/>
        <w:spacing w:line="360" w:lineRule="auto"/>
        <w:ind w:firstLine="640" w:firstLineChars="200"/>
        <w:rPr>
          <w:rFonts w:ascii="仿宋" w:hAnsi="仿宋"/>
          <w:szCs w:val="32"/>
        </w:rPr>
      </w:pPr>
      <w:r>
        <w:rPr>
          <w:rFonts w:hint="eastAsia" w:ascii="仿宋" w:hAnsi="仿宋"/>
          <w:szCs w:val="32"/>
        </w:rPr>
        <w:t xml:space="preserve">1、“一把手”不直接分管财务工作。“一把手”不直接分管、审批财务工作，由分管领导具体负责，完善财务管理制度，明确审批程序，实行分级负责制度，数额较小的由分管财务领导的审批，数额较大的开支须经领导班子集体审批。定期向全体班子成员报告单位财务运行情况，及时进行财务公开，接受民主监督。    </w:t>
      </w:r>
    </w:p>
    <w:p>
      <w:pPr>
        <w:adjustRightInd w:val="0"/>
        <w:snapToGrid w:val="0"/>
        <w:spacing w:line="360" w:lineRule="auto"/>
        <w:ind w:firstLine="640" w:firstLineChars="200"/>
        <w:rPr>
          <w:rFonts w:ascii="仿宋" w:hAnsi="仿宋"/>
          <w:szCs w:val="32"/>
        </w:rPr>
      </w:pPr>
      <w:r>
        <w:rPr>
          <w:rFonts w:hint="eastAsia" w:ascii="仿宋" w:hAnsi="仿宋"/>
          <w:szCs w:val="32"/>
        </w:rPr>
        <w:t xml:space="preserve">2、“一把手”不直接分管组织人事工作。组织人事工作由分管领导具体负责，中层干部提拔任用、干部人事调动及重要岗位人员变动等，要经班子集体讨论决定。中层干部提拔任用要根据干部管理权限，严格按照干部选拔任用工作规定的原则、标准、程序进行。    </w:t>
      </w:r>
    </w:p>
    <w:p>
      <w:pPr>
        <w:adjustRightInd w:val="0"/>
        <w:snapToGrid w:val="0"/>
        <w:spacing w:line="360" w:lineRule="auto"/>
        <w:ind w:firstLine="640" w:firstLineChars="200"/>
        <w:rPr>
          <w:rFonts w:ascii="仿宋" w:hAnsi="仿宋"/>
          <w:szCs w:val="32"/>
        </w:rPr>
      </w:pPr>
      <w:r>
        <w:rPr>
          <w:rFonts w:hint="eastAsia" w:ascii="仿宋" w:hAnsi="仿宋"/>
          <w:szCs w:val="32"/>
        </w:rPr>
        <w:t xml:space="preserve">3、“一把手”不直接分管建设工程招投标工作。按规定应进行招投标的工程建设项目，依法进入有形建筑市场，按照国家、省和市有关规定进行招投标，实行公开、公平竞争，任何人不得插手和干预招投标活动。不需要进行招投标的工程，要经领导班子集体研究决定，不允许个人内定施工单位。工程建设、招投标及竞价承包等一些重大问题要经班子集体讨论决定。招投标及竞价承包的方法、程序、结果要及时向班子和干部职工公开，接受干部群众的监督。工程建设及招标组织工作要确定一名分管领导具体负责，“一把手”要对组织实施情况进行监督检查。   </w:t>
      </w:r>
    </w:p>
    <w:p>
      <w:pPr>
        <w:adjustRightInd w:val="0"/>
        <w:snapToGrid w:val="0"/>
        <w:spacing w:line="360" w:lineRule="auto"/>
        <w:ind w:firstLine="640" w:firstLineChars="200"/>
        <w:rPr>
          <w:rFonts w:ascii="仿宋" w:hAnsi="仿宋"/>
          <w:szCs w:val="32"/>
        </w:rPr>
      </w:pPr>
      <w:r>
        <w:rPr>
          <w:rFonts w:hint="eastAsia" w:ascii="仿宋" w:hAnsi="仿宋"/>
          <w:szCs w:val="32"/>
        </w:rPr>
        <w:t xml:space="preserve">4、“一把手”不直接分管行政审批工作。确定由分管领导具体负责，“一把手”要加强对行政审批工作的领导和监督，但不干涉行政审批的具体业务工作。   </w:t>
      </w:r>
    </w:p>
    <w:p>
      <w:pPr>
        <w:ind w:firstLine="640" w:firstLineChars="200"/>
        <w:rPr>
          <w:rFonts w:ascii="仿宋" w:hAnsi="仿宋"/>
          <w:szCs w:val="32"/>
        </w:rPr>
      </w:pPr>
      <w:r>
        <w:rPr>
          <w:rFonts w:hint="eastAsia" w:ascii="仿宋" w:hAnsi="仿宋"/>
          <w:szCs w:val="32"/>
        </w:rPr>
        <w:t>5、“一把手”不直接分管物资采购工作。小额度的物资采购，由各局、办提出计划，经分管领导批准后，由各局、办负责采购。较大额度的物资采购，分管领导应请示主要领导同意后执行。凡采购列入政府采购目录的物资，要经班子集体研究后，由采购中心实行集中采购。“一把手”不得直接决定和从事任何大宗物资采购事宜。</w:t>
      </w:r>
    </w:p>
    <w:p>
      <w:pPr>
        <w:ind w:firstLine="640" w:firstLineChars="200"/>
        <w:rPr>
          <w:rFonts w:ascii="仿宋" w:hAnsi="仿宋"/>
          <w:szCs w:val="32"/>
        </w:rPr>
      </w:pPr>
    </w:p>
    <w:p>
      <w:pPr>
        <w:ind w:firstLine="640" w:firstLineChars="200"/>
        <w:rPr>
          <w:rFonts w:ascii="仿宋" w:hAnsi="仿宋"/>
          <w:szCs w:val="32"/>
        </w:rPr>
      </w:pPr>
    </w:p>
    <w:p>
      <w:pPr>
        <w:ind w:firstLine="640" w:firstLineChars="200"/>
        <w:rPr>
          <w:rFonts w:ascii="仿宋" w:hAnsi="仿宋"/>
          <w:szCs w:val="32"/>
        </w:rPr>
      </w:pPr>
    </w:p>
    <w:p>
      <w:pPr>
        <w:ind w:firstLine="640" w:firstLineChars="200"/>
        <w:rPr>
          <w:rFonts w:ascii="仿宋" w:hAnsi="仿宋"/>
          <w:szCs w:val="32"/>
        </w:rPr>
      </w:pPr>
    </w:p>
    <w:p>
      <w:pPr>
        <w:ind w:firstLine="640" w:firstLineChars="200"/>
        <w:rPr>
          <w:rFonts w:ascii="仿宋" w:hAnsi="仿宋"/>
          <w:szCs w:val="32"/>
        </w:rPr>
      </w:pPr>
    </w:p>
    <w:p>
      <w:pPr>
        <w:ind w:firstLine="640" w:firstLineChars="200"/>
        <w:rPr>
          <w:rFonts w:ascii="仿宋" w:hAnsi="仿宋"/>
          <w:szCs w:val="32"/>
        </w:rPr>
      </w:pPr>
    </w:p>
    <w:p>
      <w:pPr>
        <w:ind w:firstLine="640" w:firstLineChars="200"/>
        <w:rPr>
          <w:rFonts w:ascii="仿宋" w:hAnsi="仿宋"/>
          <w:szCs w:val="32"/>
        </w:rPr>
      </w:pPr>
    </w:p>
    <w:p>
      <w:pPr>
        <w:ind w:firstLine="640" w:firstLineChars="200"/>
        <w:rPr>
          <w:rFonts w:ascii="仿宋" w:hAnsi="仿宋"/>
          <w:szCs w:val="32"/>
        </w:rPr>
      </w:pPr>
    </w:p>
    <w:p>
      <w:pPr>
        <w:ind w:firstLine="640" w:firstLineChars="200"/>
        <w:rPr>
          <w:rFonts w:ascii="仿宋" w:hAnsi="仿宋"/>
          <w:szCs w:val="32"/>
        </w:rPr>
      </w:pPr>
    </w:p>
    <w:p>
      <w:pPr>
        <w:ind w:firstLine="640" w:firstLineChars="200"/>
        <w:rPr>
          <w:rFonts w:ascii="仿宋" w:hAnsi="仿宋"/>
          <w:szCs w:val="32"/>
        </w:rPr>
      </w:pPr>
    </w:p>
    <w:p>
      <w:pPr>
        <w:ind w:firstLine="640" w:firstLineChars="200"/>
        <w:rPr>
          <w:rFonts w:ascii="仿宋" w:hAnsi="仿宋"/>
          <w:szCs w:val="32"/>
        </w:rPr>
        <w:sectPr>
          <w:footerReference r:id="rId6" w:type="default"/>
          <w:pgSz w:w="11906" w:h="16838"/>
          <w:pgMar w:top="1440" w:right="1800" w:bottom="1440" w:left="1800" w:header="851" w:footer="992" w:gutter="0"/>
          <w:pgNumType w:fmt="numberInDash" w:start="1"/>
          <w:cols w:space="720" w:num="1"/>
          <w:docGrid w:type="lines" w:linePitch="312" w:charSpace="0"/>
        </w:sectPr>
      </w:pPr>
    </w:p>
    <w:p>
      <w:pPr>
        <w:ind w:firstLine="640" w:firstLineChars="200"/>
        <w:rPr>
          <w:rFonts w:ascii="仿宋" w:hAnsi="仿宋"/>
          <w:szCs w:val="32"/>
        </w:rPr>
        <w:sectPr>
          <w:pgSz w:w="11906" w:h="16838"/>
          <w:pgMar w:top="1440" w:right="1800" w:bottom="1440" w:left="1800" w:header="851" w:footer="992" w:gutter="0"/>
          <w:pgNumType w:fmt="numberInDash"/>
          <w:cols w:space="720" w:num="1"/>
          <w:docGrid w:type="lines" w:linePitch="312" w:charSpace="0"/>
        </w:sectPr>
      </w:pPr>
      <w:r>
        <w:rPr>
          <w:rFonts w:hint="eastAsia" w:ascii="仿宋" w:hAnsi="仿宋"/>
          <w:szCs w:val="32"/>
        </w:rPr>
        <w:drawing>
          <wp:anchor distT="0" distB="0" distL="114300" distR="114300" simplePos="0" relativeHeight="251668480" behindDoc="0" locked="0" layoutInCell="1" allowOverlap="1">
            <wp:simplePos x="0" y="0"/>
            <wp:positionH relativeFrom="column">
              <wp:posOffset>-387350</wp:posOffset>
            </wp:positionH>
            <wp:positionV relativeFrom="paragraph">
              <wp:posOffset>-15240</wp:posOffset>
            </wp:positionV>
            <wp:extent cx="6031230" cy="7974330"/>
            <wp:effectExtent l="0" t="0" r="7620" b="7620"/>
            <wp:wrapNone/>
            <wp:docPr id="34" name="图片 34" descr="未命名文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未命名文件(2)"/>
                    <pic:cNvPicPr>
                      <a:picLocks noChangeAspect="1"/>
                    </pic:cNvPicPr>
                  </pic:nvPicPr>
                  <pic:blipFill>
                    <a:blip r:embed="rId14"/>
                    <a:stretch>
                      <a:fillRect/>
                    </a:stretch>
                  </pic:blipFill>
                  <pic:spPr>
                    <a:xfrm>
                      <a:off x="0" y="0"/>
                      <a:ext cx="6031230" cy="7974330"/>
                    </a:xfrm>
                    <a:prstGeom prst="rect">
                      <a:avLst/>
                    </a:prstGeom>
                  </pic:spPr>
                </pic:pic>
              </a:graphicData>
            </a:graphic>
          </wp:anchor>
        </w:drawing>
      </w:r>
    </w:p>
    <w:p>
      <w:pPr>
        <w:pStyle w:val="2"/>
      </w:pPr>
      <w:bookmarkStart w:id="48" w:name="_Toc15028"/>
      <w:r>
        <w:rPr>
          <w:rFonts w:hint="eastAsia"/>
        </w:rPr>
        <w:t>4、“三重一大”事项决策制度</w:t>
      </w:r>
      <w:bookmarkEnd w:id="48"/>
    </w:p>
    <w:p>
      <w:pPr>
        <w:adjustRightInd w:val="0"/>
        <w:snapToGrid w:val="0"/>
        <w:spacing w:line="360" w:lineRule="auto"/>
        <w:ind w:firstLine="640" w:firstLineChars="200"/>
        <w:rPr>
          <w:rFonts w:ascii="仿宋" w:hAnsi="仿宋"/>
          <w:szCs w:val="32"/>
        </w:rPr>
      </w:pPr>
      <w:r>
        <w:rPr>
          <w:rFonts w:hint="eastAsia" w:ascii="仿宋" w:hAnsi="仿宋"/>
          <w:szCs w:val="32"/>
        </w:rPr>
        <w:t>依据《中国共产党章程》、《中国共产党党内监督条例》的规定，为进一步提高领导班子民主、规范和科学决策水平，结合工作实际，特制定本规定。</w:t>
      </w:r>
    </w:p>
    <w:p>
      <w:pPr>
        <w:adjustRightInd w:val="0"/>
        <w:snapToGrid w:val="0"/>
        <w:spacing w:line="360" w:lineRule="auto"/>
        <w:ind w:firstLine="640" w:firstLineChars="200"/>
        <w:outlineLvl w:val="0"/>
        <w:rPr>
          <w:rFonts w:ascii="黑体" w:hAnsi="黑体" w:eastAsia="黑体" w:cs="黑体"/>
          <w:szCs w:val="32"/>
        </w:rPr>
      </w:pPr>
      <w:bookmarkStart w:id="49" w:name="_Toc3726"/>
      <w:bookmarkStart w:id="50" w:name="_Toc1153"/>
      <w:bookmarkStart w:id="51" w:name="_Toc4266"/>
      <w:bookmarkStart w:id="52" w:name="_Toc2092"/>
      <w:bookmarkStart w:id="53" w:name="_Toc22927"/>
      <w:r>
        <w:rPr>
          <w:rFonts w:hint="eastAsia" w:ascii="黑体" w:hAnsi="黑体" w:eastAsia="黑体" w:cs="黑体"/>
          <w:szCs w:val="32"/>
        </w:rPr>
        <w:t>一、“三重一大”事项的主要内容</w:t>
      </w:r>
      <w:bookmarkEnd w:id="49"/>
      <w:bookmarkEnd w:id="50"/>
      <w:bookmarkEnd w:id="51"/>
      <w:bookmarkEnd w:id="52"/>
      <w:bookmarkEnd w:id="53"/>
    </w:p>
    <w:p>
      <w:pPr>
        <w:adjustRightInd w:val="0"/>
        <w:snapToGrid w:val="0"/>
        <w:spacing w:line="360" w:lineRule="auto"/>
        <w:ind w:firstLine="640" w:firstLineChars="200"/>
        <w:rPr>
          <w:rFonts w:ascii="仿宋" w:hAnsi="仿宋"/>
          <w:szCs w:val="32"/>
        </w:rPr>
      </w:pPr>
      <w:r>
        <w:rPr>
          <w:rFonts w:hint="eastAsia" w:ascii="仿宋" w:hAnsi="仿宋"/>
          <w:szCs w:val="32"/>
        </w:rPr>
        <w:t>（一）重大事项决策</w:t>
      </w:r>
    </w:p>
    <w:p>
      <w:pPr>
        <w:adjustRightInd w:val="0"/>
        <w:snapToGrid w:val="0"/>
        <w:spacing w:line="360" w:lineRule="auto"/>
        <w:ind w:firstLine="640" w:firstLineChars="200"/>
        <w:rPr>
          <w:rFonts w:ascii="仿宋" w:hAnsi="仿宋"/>
          <w:szCs w:val="32"/>
        </w:rPr>
      </w:pPr>
      <w:r>
        <w:rPr>
          <w:rFonts w:hint="eastAsia" w:ascii="仿宋" w:hAnsi="仿宋"/>
          <w:szCs w:val="32"/>
        </w:rPr>
        <w:t>凡涉及本单位发展和稳定大局，关系干部切身利益的重大问题，均属于重大事项决策的范围，主要内容包括：</w:t>
      </w:r>
    </w:p>
    <w:p>
      <w:pPr>
        <w:adjustRightInd w:val="0"/>
        <w:snapToGrid w:val="0"/>
        <w:spacing w:line="360" w:lineRule="auto"/>
        <w:ind w:firstLine="640" w:firstLineChars="200"/>
        <w:rPr>
          <w:rFonts w:ascii="仿宋" w:hAnsi="仿宋"/>
          <w:szCs w:val="32"/>
        </w:rPr>
      </w:pPr>
      <w:r>
        <w:rPr>
          <w:rFonts w:hint="eastAsia" w:ascii="仿宋" w:hAnsi="仿宋"/>
          <w:szCs w:val="32"/>
        </w:rPr>
        <w:t>1.党和国家的路线、方针、政策，上级有关会议和文件精神的学习、贯彻和落实；</w:t>
      </w:r>
    </w:p>
    <w:p>
      <w:pPr>
        <w:adjustRightInd w:val="0"/>
        <w:snapToGrid w:val="0"/>
        <w:spacing w:line="360" w:lineRule="auto"/>
        <w:ind w:firstLine="640" w:firstLineChars="200"/>
        <w:rPr>
          <w:rFonts w:ascii="仿宋" w:hAnsi="仿宋"/>
          <w:szCs w:val="32"/>
        </w:rPr>
      </w:pPr>
      <w:r>
        <w:rPr>
          <w:rFonts w:hint="eastAsia" w:ascii="仿宋" w:hAnsi="仿宋"/>
          <w:szCs w:val="32"/>
        </w:rPr>
        <w:t>2.重大改革措施、重大行政措施及重大政策的制定；</w:t>
      </w:r>
    </w:p>
    <w:p>
      <w:pPr>
        <w:adjustRightInd w:val="0"/>
        <w:snapToGrid w:val="0"/>
        <w:spacing w:line="360" w:lineRule="auto"/>
        <w:ind w:firstLine="640" w:firstLineChars="200"/>
        <w:rPr>
          <w:rFonts w:ascii="仿宋" w:hAnsi="仿宋"/>
          <w:szCs w:val="32"/>
        </w:rPr>
      </w:pPr>
      <w:r>
        <w:rPr>
          <w:rFonts w:hint="eastAsia" w:ascii="仿宋" w:hAnsi="仿宋"/>
          <w:szCs w:val="32"/>
        </w:rPr>
        <w:t>3.全面从严治党、精神文明建设、政治学习以及各项管理制度的制定和修改等问题；</w:t>
      </w:r>
    </w:p>
    <w:p>
      <w:pPr>
        <w:adjustRightInd w:val="0"/>
        <w:snapToGrid w:val="0"/>
        <w:spacing w:line="360" w:lineRule="auto"/>
        <w:ind w:firstLine="640" w:firstLineChars="200"/>
        <w:rPr>
          <w:rFonts w:ascii="仿宋" w:hAnsi="仿宋"/>
          <w:szCs w:val="32"/>
        </w:rPr>
      </w:pPr>
      <w:r>
        <w:rPr>
          <w:rFonts w:hint="eastAsia" w:ascii="仿宋" w:hAnsi="仿宋"/>
          <w:szCs w:val="32"/>
        </w:rPr>
        <w:t>4.表彰奖惩以及违规、违纪的处理；</w:t>
      </w:r>
    </w:p>
    <w:p>
      <w:pPr>
        <w:adjustRightInd w:val="0"/>
        <w:snapToGrid w:val="0"/>
        <w:spacing w:line="360" w:lineRule="auto"/>
        <w:ind w:firstLine="640" w:firstLineChars="200"/>
        <w:rPr>
          <w:rFonts w:ascii="仿宋" w:hAnsi="仿宋"/>
          <w:szCs w:val="32"/>
        </w:rPr>
      </w:pPr>
      <w:r>
        <w:rPr>
          <w:rFonts w:hint="eastAsia" w:ascii="仿宋" w:hAnsi="仿宋"/>
          <w:szCs w:val="32"/>
        </w:rPr>
        <w:t>5.重大责任事故、突发事件的处置；</w:t>
      </w:r>
    </w:p>
    <w:p>
      <w:pPr>
        <w:adjustRightInd w:val="0"/>
        <w:snapToGrid w:val="0"/>
        <w:spacing w:line="360" w:lineRule="auto"/>
        <w:ind w:firstLine="640" w:firstLineChars="200"/>
        <w:rPr>
          <w:rFonts w:ascii="仿宋" w:hAnsi="仿宋"/>
          <w:szCs w:val="32"/>
        </w:rPr>
      </w:pPr>
      <w:r>
        <w:rPr>
          <w:rFonts w:ascii="仿宋" w:hAnsi="仿宋"/>
          <w:szCs w:val="32"/>
        </w:rPr>
        <w:t>6.工资、待遇等涉及干部职工切身利益的重大事项；</w:t>
      </w:r>
    </w:p>
    <w:p>
      <w:pPr>
        <w:adjustRightInd w:val="0"/>
        <w:snapToGrid w:val="0"/>
        <w:spacing w:line="360" w:lineRule="auto"/>
        <w:ind w:firstLine="640" w:firstLineChars="200"/>
        <w:rPr>
          <w:rFonts w:ascii="仿宋" w:hAnsi="仿宋"/>
          <w:szCs w:val="32"/>
        </w:rPr>
      </w:pPr>
      <w:r>
        <w:rPr>
          <w:rFonts w:ascii="仿宋" w:hAnsi="仿宋"/>
          <w:szCs w:val="32"/>
        </w:rPr>
        <w:t>7.领导班子成员认为应当集体研究决定的其他重要问题。</w:t>
      </w:r>
    </w:p>
    <w:p>
      <w:pPr>
        <w:adjustRightInd w:val="0"/>
        <w:snapToGrid w:val="0"/>
        <w:spacing w:line="360" w:lineRule="auto"/>
        <w:ind w:firstLine="640" w:firstLineChars="200"/>
        <w:rPr>
          <w:rFonts w:ascii="仿宋" w:hAnsi="仿宋"/>
          <w:szCs w:val="32"/>
        </w:rPr>
      </w:pPr>
      <w:r>
        <w:rPr>
          <w:rFonts w:ascii="仿宋" w:hAnsi="仿宋"/>
          <w:szCs w:val="32"/>
        </w:rPr>
        <w:t>（二）重要人事任免</w:t>
      </w:r>
    </w:p>
    <w:p>
      <w:pPr>
        <w:adjustRightInd w:val="0"/>
        <w:snapToGrid w:val="0"/>
        <w:spacing w:line="360" w:lineRule="auto"/>
        <w:ind w:firstLine="640" w:firstLineChars="200"/>
        <w:rPr>
          <w:rFonts w:ascii="仿宋" w:hAnsi="仿宋"/>
          <w:szCs w:val="32"/>
        </w:rPr>
      </w:pPr>
      <w:r>
        <w:rPr>
          <w:rFonts w:ascii="仿宋" w:hAnsi="仿宋"/>
          <w:szCs w:val="32"/>
        </w:rPr>
        <w:t>1.干部的任免；</w:t>
      </w:r>
    </w:p>
    <w:p>
      <w:pPr>
        <w:adjustRightInd w:val="0"/>
        <w:snapToGrid w:val="0"/>
        <w:spacing w:line="360" w:lineRule="auto"/>
        <w:ind w:firstLine="640" w:firstLineChars="200"/>
        <w:rPr>
          <w:rFonts w:ascii="仿宋" w:hAnsi="仿宋"/>
          <w:szCs w:val="32"/>
        </w:rPr>
      </w:pPr>
      <w:r>
        <w:rPr>
          <w:rFonts w:ascii="仿宋" w:hAnsi="仿宋"/>
          <w:szCs w:val="32"/>
        </w:rPr>
        <w:t>2.干部岗位的调整；</w:t>
      </w:r>
    </w:p>
    <w:p>
      <w:pPr>
        <w:adjustRightInd w:val="0"/>
        <w:snapToGrid w:val="0"/>
        <w:spacing w:line="360" w:lineRule="auto"/>
        <w:ind w:firstLine="640" w:firstLineChars="200"/>
        <w:rPr>
          <w:rFonts w:ascii="仿宋" w:hAnsi="仿宋"/>
          <w:szCs w:val="32"/>
        </w:rPr>
      </w:pPr>
      <w:r>
        <w:rPr>
          <w:rFonts w:ascii="仿宋" w:hAnsi="仿宋"/>
          <w:szCs w:val="32"/>
        </w:rPr>
        <w:t>3.后备干部的推荐和选拔；</w:t>
      </w:r>
    </w:p>
    <w:p>
      <w:pPr>
        <w:adjustRightInd w:val="0"/>
        <w:snapToGrid w:val="0"/>
        <w:spacing w:line="360" w:lineRule="auto"/>
        <w:ind w:firstLine="640" w:firstLineChars="200"/>
        <w:rPr>
          <w:rFonts w:ascii="仿宋" w:hAnsi="仿宋"/>
          <w:szCs w:val="32"/>
        </w:rPr>
      </w:pPr>
      <w:r>
        <w:rPr>
          <w:rFonts w:ascii="仿宋" w:hAnsi="仿宋"/>
          <w:szCs w:val="32"/>
        </w:rPr>
        <w:t>4.工作人员的调入和调出；</w:t>
      </w:r>
    </w:p>
    <w:p>
      <w:pPr>
        <w:adjustRightInd w:val="0"/>
        <w:snapToGrid w:val="0"/>
        <w:spacing w:line="360" w:lineRule="auto"/>
        <w:ind w:firstLine="640" w:firstLineChars="200"/>
        <w:rPr>
          <w:rFonts w:ascii="仿宋" w:hAnsi="仿宋"/>
          <w:szCs w:val="32"/>
        </w:rPr>
      </w:pPr>
      <w:r>
        <w:rPr>
          <w:rFonts w:ascii="仿宋" w:hAnsi="仿宋"/>
          <w:szCs w:val="32"/>
        </w:rPr>
        <w:t>5.需要集体决策的其他干部管理的重要事项。</w:t>
      </w:r>
    </w:p>
    <w:p>
      <w:pPr>
        <w:adjustRightInd w:val="0"/>
        <w:snapToGrid w:val="0"/>
        <w:spacing w:line="360" w:lineRule="auto"/>
        <w:ind w:firstLine="640" w:firstLineChars="200"/>
        <w:rPr>
          <w:rFonts w:ascii="仿宋" w:hAnsi="仿宋"/>
          <w:szCs w:val="32"/>
        </w:rPr>
      </w:pPr>
      <w:r>
        <w:rPr>
          <w:rFonts w:ascii="仿宋" w:hAnsi="仿宋"/>
          <w:szCs w:val="32"/>
        </w:rPr>
        <w:t>（三）重要项目安排</w:t>
      </w:r>
    </w:p>
    <w:p>
      <w:pPr>
        <w:adjustRightInd w:val="0"/>
        <w:snapToGrid w:val="0"/>
        <w:spacing w:line="360" w:lineRule="auto"/>
        <w:ind w:firstLine="640" w:firstLineChars="200"/>
        <w:rPr>
          <w:rFonts w:ascii="仿宋" w:hAnsi="仿宋"/>
          <w:szCs w:val="32"/>
        </w:rPr>
      </w:pPr>
      <w:r>
        <w:rPr>
          <w:rFonts w:ascii="仿宋" w:hAnsi="仿宋"/>
          <w:szCs w:val="32"/>
        </w:rPr>
        <w:t>1.重大建设项目的安排和调整及项目的融资；</w:t>
      </w:r>
    </w:p>
    <w:p>
      <w:pPr>
        <w:adjustRightInd w:val="0"/>
        <w:snapToGrid w:val="0"/>
        <w:spacing w:line="360" w:lineRule="auto"/>
        <w:ind w:firstLine="640" w:firstLineChars="200"/>
        <w:rPr>
          <w:rFonts w:ascii="仿宋" w:hAnsi="仿宋"/>
          <w:szCs w:val="32"/>
        </w:rPr>
      </w:pPr>
      <w:r>
        <w:rPr>
          <w:rFonts w:ascii="仿宋" w:hAnsi="仿宋"/>
          <w:szCs w:val="32"/>
        </w:rPr>
        <w:t>2.项目实施过程中涉及的重大规划调整，重要设计变更（含由于变更增加的工程量）。</w:t>
      </w:r>
    </w:p>
    <w:p>
      <w:pPr>
        <w:adjustRightInd w:val="0"/>
        <w:snapToGrid w:val="0"/>
        <w:spacing w:line="360" w:lineRule="auto"/>
        <w:ind w:firstLine="640" w:firstLineChars="200"/>
        <w:rPr>
          <w:rFonts w:ascii="仿宋" w:hAnsi="仿宋"/>
          <w:szCs w:val="32"/>
        </w:rPr>
      </w:pPr>
      <w:r>
        <w:rPr>
          <w:rFonts w:ascii="仿宋" w:hAnsi="仿宋"/>
          <w:szCs w:val="32"/>
        </w:rPr>
        <w:t>3.大宗物资及设备采购等（10万元以上）；</w:t>
      </w:r>
    </w:p>
    <w:p>
      <w:pPr>
        <w:adjustRightInd w:val="0"/>
        <w:snapToGrid w:val="0"/>
        <w:spacing w:line="360" w:lineRule="auto"/>
        <w:ind w:firstLine="640" w:firstLineChars="200"/>
        <w:rPr>
          <w:rFonts w:ascii="仿宋" w:hAnsi="仿宋"/>
          <w:szCs w:val="32"/>
        </w:rPr>
      </w:pPr>
      <w:r>
        <w:rPr>
          <w:rFonts w:ascii="仿宋" w:hAnsi="仿宋"/>
          <w:szCs w:val="32"/>
        </w:rPr>
        <w:t>4.其他应由集体决策的重大项目安排。</w:t>
      </w:r>
    </w:p>
    <w:p>
      <w:pPr>
        <w:adjustRightInd w:val="0"/>
        <w:snapToGrid w:val="0"/>
        <w:spacing w:line="360" w:lineRule="auto"/>
        <w:ind w:firstLine="640" w:firstLineChars="200"/>
        <w:rPr>
          <w:rFonts w:ascii="仿宋" w:hAnsi="仿宋"/>
          <w:szCs w:val="32"/>
        </w:rPr>
      </w:pPr>
      <w:r>
        <w:rPr>
          <w:rFonts w:ascii="仿宋" w:hAnsi="仿宋"/>
          <w:szCs w:val="32"/>
        </w:rPr>
        <w:t>（四）大额度资金使用</w:t>
      </w:r>
    </w:p>
    <w:p>
      <w:pPr>
        <w:adjustRightInd w:val="0"/>
        <w:snapToGrid w:val="0"/>
        <w:spacing w:line="360" w:lineRule="auto"/>
        <w:ind w:firstLine="640" w:firstLineChars="200"/>
        <w:rPr>
          <w:rFonts w:ascii="仿宋" w:hAnsi="仿宋"/>
          <w:szCs w:val="32"/>
        </w:rPr>
      </w:pPr>
      <w:r>
        <w:rPr>
          <w:rFonts w:ascii="仿宋" w:hAnsi="仿宋"/>
          <w:szCs w:val="32"/>
        </w:rPr>
        <w:t>1.单项经费支出在10万元以上的款项支出；</w:t>
      </w:r>
    </w:p>
    <w:p>
      <w:pPr>
        <w:adjustRightInd w:val="0"/>
        <w:snapToGrid w:val="0"/>
        <w:spacing w:line="360" w:lineRule="auto"/>
        <w:ind w:firstLine="640" w:firstLineChars="200"/>
        <w:rPr>
          <w:rFonts w:ascii="仿宋" w:hAnsi="仿宋"/>
          <w:szCs w:val="32"/>
        </w:rPr>
      </w:pPr>
      <w:r>
        <w:rPr>
          <w:rFonts w:ascii="仿宋" w:hAnsi="仿宋"/>
          <w:szCs w:val="32"/>
        </w:rPr>
        <w:t>2.专项经费拨付在20万元以上的；</w:t>
      </w:r>
    </w:p>
    <w:p>
      <w:pPr>
        <w:adjustRightInd w:val="0"/>
        <w:snapToGrid w:val="0"/>
        <w:spacing w:line="360" w:lineRule="auto"/>
        <w:ind w:firstLine="640" w:firstLineChars="200"/>
        <w:rPr>
          <w:rFonts w:ascii="仿宋" w:hAnsi="仿宋"/>
          <w:szCs w:val="32"/>
        </w:rPr>
      </w:pPr>
      <w:r>
        <w:rPr>
          <w:rFonts w:ascii="仿宋" w:hAnsi="仿宋"/>
          <w:szCs w:val="32"/>
        </w:rPr>
        <w:t>3.其他需要领导班子集体研究决定的资金使用。</w:t>
      </w:r>
    </w:p>
    <w:p>
      <w:pPr>
        <w:adjustRightInd w:val="0"/>
        <w:snapToGrid w:val="0"/>
        <w:spacing w:line="360" w:lineRule="auto"/>
        <w:ind w:firstLine="640" w:firstLineChars="200"/>
        <w:outlineLvl w:val="0"/>
        <w:rPr>
          <w:rFonts w:ascii="黑体" w:hAnsi="黑体" w:eastAsia="黑体" w:cs="黑体"/>
          <w:szCs w:val="32"/>
        </w:rPr>
      </w:pPr>
      <w:bookmarkStart w:id="54" w:name="_Toc5372"/>
      <w:bookmarkStart w:id="55" w:name="_Toc4652"/>
      <w:bookmarkStart w:id="56" w:name="_Toc9400"/>
      <w:bookmarkStart w:id="57" w:name="_Toc19465"/>
      <w:bookmarkStart w:id="58" w:name="_Toc29313"/>
      <w:r>
        <w:rPr>
          <w:rFonts w:hint="eastAsia" w:ascii="黑体" w:hAnsi="黑体" w:eastAsia="黑体" w:cs="黑体"/>
          <w:szCs w:val="32"/>
        </w:rPr>
        <w:t>二、集体决策的机制和程序</w:t>
      </w:r>
      <w:bookmarkEnd w:id="54"/>
      <w:bookmarkEnd w:id="55"/>
      <w:bookmarkEnd w:id="56"/>
      <w:bookmarkEnd w:id="57"/>
      <w:bookmarkEnd w:id="58"/>
    </w:p>
    <w:p>
      <w:pPr>
        <w:adjustRightInd w:val="0"/>
        <w:snapToGrid w:val="0"/>
        <w:spacing w:line="360" w:lineRule="auto"/>
        <w:ind w:firstLine="640" w:firstLineChars="200"/>
        <w:rPr>
          <w:rFonts w:ascii="仿宋" w:hAnsi="仿宋"/>
          <w:szCs w:val="32"/>
        </w:rPr>
      </w:pPr>
      <w:r>
        <w:rPr>
          <w:rFonts w:ascii="仿宋" w:hAnsi="仿宋"/>
          <w:szCs w:val="32"/>
        </w:rPr>
        <w:t>（一）集体决策机制和分工</w:t>
      </w:r>
    </w:p>
    <w:p>
      <w:pPr>
        <w:adjustRightInd w:val="0"/>
        <w:snapToGrid w:val="0"/>
        <w:spacing w:line="360" w:lineRule="auto"/>
        <w:ind w:firstLine="640" w:firstLineChars="200"/>
        <w:rPr>
          <w:rFonts w:ascii="仿宋" w:hAnsi="仿宋"/>
          <w:szCs w:val="32"/>
        </w:rPr>
      </w:pPr>
      <w:r>
        <w:rPr>
          <w:rFonts w:ascii="仿宋" w:hAnsi="仿宋"/>
          <w:szCs w:val="32"/>
        </w:rPr>
        <w:t>实行书记负责制，对重大问题通过</w:t>
      </w:r>
      <w:r>
        <w:rPr>
          <w:rFonts w:hint="eastAsia" w:ascii="仿宋" w:hAnsi="仿宋"/>
          <w:szCs w:val="32"/>
        </w:rPr>
        <w:t>党委</w:t>
      </w:r>
      <w:r>
        <w:rPr>
          <w:rFonts w:ascii="仿宋" w:hAnsi="仿宋"/>
          <w:szCs w:val="32"/>
        </w:rPr>
        <w:t>会议讨论决定。</w:t>
      </w:r>
    </w:p>
    <w:p>
      <w:pPr>
        <w:adjustRightInd w:val="0"/>
        <w:snapToGrid w:val="0"/>
        <w:spacing w:line="360" w:lineRule="auto"/>
        <w:ind w:firstLine="640" w:firstLineChars="200"/>
        <w:rPr>
          <w:rFonts w:ascii="仿宋" w:hAnsi="仿宋"/>
          <w:szCs w:val="32"/>
        </w:rPr>
      </w:pPr>
      <w:r>
        <w:rPr>
          <w:rFonts w:ascii="仿宋" w:hAnsi="仿宋"/>
          <w:szCs w:val="32"/>
        </w:rPr>
        <w:t>（二）参与集体决策的范围</w:t>
      </w:r>
    </w:p>
    <w:p>
      <w:pPr>
        <w:adjustRightInd w:val="0"/>
        <w:snapToGrid w:val="0"/>
        <w:spacing w:line="360" w:lineRule="auto"/>
        <w:ind w:firstLine="640" w:firstLineChars="200"/>
        <w:rPr>
          <w:rFonts w:ascii="仿宋" w:hAnsi="仿宋"/>
          <w:szCs w:val="32"/>
        </w:rPr>
      </w:pPr>
      <w:r>
        <w:rPr>
          <w:rFonts w:ascii="仿宋" w:hAnsi="仿宋"/>
          <w:szCs w:val="32"/>
        </w:rPr>
        <w:t>根据工作需要，在召开</w:t>
      </w:r>
      <w:r>
        <w:rPr>
          <w:rFonts w:hint="eastAsia" w:ascii="仿宋" w:hAnsi="仿宋"/>
          <w:szCs w:val="32"/>
        </w:rPr>
        <w:t>党委</w:t>
      </w:r>
      <w:r>
        <w:rPr>
          <w:rFonts w:ascii="仿宋" w:hAnsi="仿宋"/>
          <w:szCs w:val="32"/>
        </w:rPr>
        <w:t>会议时，可以邀请有关科室负责同志参加。</w:t>
      </w:r>
    </w:p>
    <w:p>
      <w:pPr>
        <w:adjustRightInd w:val="0"/>
        <w:snapToGrid w:val="0"/>
        <w:spacing w:line="360" w:lineRule="auto"/>
        <w:ind w:firstLine="640" w:firstLineChars="200"/>
        <w:rPr>
          <w:rFonts w:ascii="仿宋" w:hAnsi="仿宋"/>
          <w:szCs w:val="32"/>
        </w:rPr>
      </w:pPr>
      <w:r>
        <w:rPr>
          <w:rFonts w:ascii="仿宋" w:hAnsi="仿宋"/>
          <w:szCs w:val="32"/>
        </w:rPr>
        <w:t>（三）民主决策程序</w:t>
      </w:r>
    </w:p>
    <w:p>
      <w:pPr>
        <w:adjustRightInd w:val="0"/>
        <w:snapToGrid w:val="0"/>
        <w:spacing w:line="360" w:lineRule="auto"/>
        <w:ind w:firstLine="640" w:firstLineChars="200"/>
        <w:rPr>
          <w:rFonts w:ascii="仿宋" w:hAnsi="仿宋"/>
          <w:szCs w:val="32"/>
        </w:rPr>
      </w:pPr>
      <w:r>
        <w:rPr>
          <w:rFonts w:ascii="仿宋" w:hAnsi="仿宋"/>
          <w:szCs w:val="32"/>
        </w:rPr>
        <w:t>依照国家法律、法规，凡属“三重一大”事项，在提交</w:t>
      </w:r>
      <w:r>
        <w:rPr>
          <w:rFonts w:hint="eastAsia" w:ascii="仿宋" w:hAnsi="仿宋"/>
          <w:szCs w:val="32"/>
        </w:rPr>
        <w:t>党委</w:t>
      </w:r>
      <w:r>
        <w:rPr>
          <w:rFonts w:ascii="仿宋" w:hAnsi="仿宋"/>
          <w:szCs w:val="32"/>
        </w:rPr>
        <w:t>会议决策之前，要经过必要的民主程序认证，做到规范化、制度化、程序化，以保证决策过程的科学民主和结果的公正合理。</w:t>
      </w:r>
    </w:p>
    <w:p>
      <w:pPr>
        <w:adjustRightInd w:val="0"/>
        <w:snapToGrid w:val="0"/>
        <w:spacing w:line="360" w:lineRule="auto"/>
        <w:ind w:firstLine="640" w:firstLineChars="200"/>
        <w:rPr>
          <w:rFonts w:ascii="仿宋" w:hAnsi="仿宋"/>
          <w:szCs w:val="32"/>
        </w:rPr>
      </w:pPr>
      <w:r>
        <w:rPr>
          <w:rFonts w:ascii="仿宋" w:hAnsi="仿宋"/>
          <w:szCs w:val="32"/>
        </w:rPr>
        <w:t>1.酝酿决策</w:t>
      </w:r>
    </w:p>
    <w:p>
      <w:pPr>
        <w:adjustRightInd w:val="0"/>
        <w:snapToGrid w:val="0"/>
        <w:spacing w:line="360" w:lineRule="auto"/>
        <w:ind w:firstLine="640" w:firstLineChars="200"/>
        <w:rPr>
          <w:rFonts w:ascii="仿宋" w:hAnsi="仿宋"/>
          <w:szCs w:val="32"/>
        </w:rPr>
      </w:pPr>
      <w:r>
        <w:rPr>
          <w:rFonts w:ascii="仿宋" w:hAnsi="仿宋"/>
          <w:szCs w:val="32"/>
        </w:rPr>
        <w:t>（1）重大决策问题，应根据具体情况，经主要领导或分管领导酝酿，拿出初步意见，并进行广泛深入的调查研究，在充分听取各方面意见的基础上，提交</w:t>
      </w:r>
      <w:r>
        <w:rPr>
          <w:rFonts w:hint="eastAsia" w:ascii="仿宋" w:hAnsi="仿宋"/>
          <w:szCs w:val="32"/>
        </w:rPr>
        <w:t>党委</w:t>
      </w:r>
      <w:r>
        <w:rPr>
          <w:rFonts w:ascii="仿宋" w:hAnsi="仿宋"/>
          <w:szCs w:val="32"/>
        </w:rPr>
        <w:t>会议集体讨论。</w:t>
      </w:r>
    </w:p>
    <w:p>
      <w:pPr>
        <w:adjustRightInd w:val="0"/>
        <w:snapToGrid w:val="0"/>
        <w:spacing w:line="360" w:lineRule="auto"/>
        <w:ind w:firstLine="640" w:firstLineChars="200"/>
        <w:rPr>
          <w:rFonts w:ascii="仿宋" w:hAnsi="仿宋"/>
          <w:szCs w:val="32"/>
        </w:rPr>
      </w:pPr>
      <w:r>
        <w:rPr>
          <w:rFonts w:ascii="仿宋" w:hAnsi="仿宋"/>
          <w:szCs w:val="32"/>
        </w:rPr>
        <w:t>（2）重要干部任免，应根据《党政领导干部选拔任用工作条例》及相关规定中确定的程序执行。</w:t>
      </w:r>
    </w:p>
    <w:p>
      <w:pPr>
        <w:adjustRightInd w:val="0"/>
        <w:snapToGrid w:val="0"/>
        <w:spacing w:line="360" w:lineRule="auto"/>
        <w:ind w:firstLine="640" w:firstLineChars="200"/>
        <w:rPr>
          <w:rFonts w:ascii="仿宋" w:hAnsi="仿宋"/>
          <w:szCs w:val="32"/>
        </w:rPr>
      </w:pPr>
      <w:r>
        <w:rPr>
          <w:rFonts w:ascii="仿宋" w:hAnsi="仿宋"/>
          <w:szCs w:val="32"/>
        </w:rPr>
        <w:t>（3）重大项目安排，必须由承办科室在充分调查研究或论证的基础上提出方案和报告，经分管领导审阅同意后，在专题会议讨论通过的基础上，提交党</w:t>
      </w:r>
      <w:r>
        <w:rPr>
          <w:rFonts w:hint="eastAsia" w:ascii="仿宋" w:hAnsi="仿宋"/>
          <w:szCs w:val="32"/>
        </w:rPr>
        <w:t>委</w:t>
      </w:r>
      <w:r>
        <w:rPr>
          <w:rFonts w:ascii="仿宋" w:hAnsi="仿宋"/>
          <w:szCs w:val="32"/>
        </w:rPr>
        <w:t>会议讨论决定。</w:t>
      </w:r>
    </w:p>
    <w:p>
      <w:pPr>
        <w:adjustRightInd w:val="0"/>
        <w:snapToGrid w:val="0"/>
        <w:spacing w:line="360" w:lineRule="auto"/>
        <w:ind w:firstLine="640" w:firstLineChars="200"/>
        <w:rPr>
          <w:rFonts w:ascii="仿宋" w:hAnsi="仿宋"/>
          <w:szCs w:val="32"/>
        </w:rPr>
      </w:pPr>
      <w:r>
        <w:rPr>
          <w:rFonts w:ascii="仿宋" w:hAnsi="仿宋"/>
          <w:szCs w:val="32"/>
        </w:rPr>
        <w:t>（4）大额度资金使用，必须由使用科室拟定支出计划或报告，报分管领导审阅同意后，在</w:t>
      </w:r>
      <w:r>
        <w:rPr>
          <w:rFonts w:hint="eastAsia" w:ascii="仿宋" w:hAnsi="仿宋"/>
          <w:szCs w:val="32"/>
        </w:rPr>
        <w:t>主任</w:t>
      </w:r>
      <w:r>
        <w:rPr>
          <w:rFonts w:ascii="仿宋" w:hAnsi="仿宋"/>
          <w:szCs w:val="32"/>
        </w:rPr>
        <w:t>办公会讨论通过的基础上，提交</w:t>
      </w:r>
      <w:r>
        <w:rPr>
          <w:rFonts w:hint="eastAsia" w:ascii="仿宋" w:hAnsi="仿宋"/>
          <w:szCs w:val="32"/>
        </w:rPr>
        <w:t>党委</w:t>
      </w:r>
      <w:r>
        <w:rPr>
          <w:rFonts w:ascii="仿宋" w:hAnsi="仿宋"/>
          <w:szCs w:val="32"/>
        </w:rPr>
        <w:t>会议讨论决定。</w:t>
      </w:r>
    </w:p>
    <w:p>
      <w:pPr>
        <w:adjustRightInd w:val="0"/>
        <w:snapToGrid w:val="0"/>
        <w:spacing w:line="360" w:lineRule="auto"/>
        <w:ind w:firstLine="640" w:firstLineChars="200"/>
        <w:rPr>
          <w:rFonts w:ascii="仿宋" w:hAnsi="仿宋"/>
          <w:szCs w:val="32"/>
        </w:rPr>
      </w:pPr>
      <w:r>
        <w:rPr>
          <w:rFonts w:ascii="仿宋" w:hAnsi="仿宋"/>
          <w:szCs w:val="32"/>
        </w:rPr>
        <w:t>“三重一大”事项决策前，分管领导可通过适当形式对有关议题进行酝酿，但不得作出决定或影响集体决策。</w:t>
      </w:r>
    </w:p>
    <w:p>
      <w:pPr>
        <w:adjustRightInd w:val="0"/>
        <w:snapToGrid w:val="0"/>
        <w:spacing w:line="360" w:lineRule="auto"/>
        <w:ind w:firstLine="640" w:firstLineChars="200"/>
        <w:rPr>
          <w:rFonts w:ascii="仿宋" w:hAnsi="仿宋"/>
          <w:szCs w:val="32"/>
        </w:rPr>
      </w:pPr>
      <w:r>
        <w:rPr>
          <w:rFonts w:ascii="仿宋" w:hAnsi="仿宋"/>
          <w:szCs w:val="32"/>
        </w:rPr>
        <w:t>2.集体决策</w:t>
      </w:r>
    </w:p>
    <w:p>
      <w:pPr>
        <w:adjustRightInd w:val="0"/>
        <w:snapToGrid w:val="0"/>
        <w:spacing w:line="360" w:lineRule="auto"/>
        <w:ind w:firstLine="640" w:firstLineChars="200"/>
        <w:rPr>
          <w:rFonts w:ascii="仿宋" w:hAnsi="仿宋"/>
          <w:szCs w:val="32"/>
        </w:rPr>
      </w:pPr>
      <w:r>
        <w:rPr>
          <w:rFonts w:ascii="仿宋" w:hAnsi="仿宋"/>
          <w:szCs w:val="32"/>
        </w:rPr>
        <w:t>（1）在党</w:t>
      </w:r>
      <w:r>
        <w:rPr>
          <w:rFonts w:hint="eastAsia" w:ascii="仿宋" w:hAnsi="仿宋"/>
          <w:szCs w:val="32"/>
        </w:rPr>
        <w:t>委</w:t>
      </w:r>
      <w:r>
        <w:rPr>
          <w:rFonts w:ascii="仿宋" w:hAnsi="仿宋"/>
          <w:szCs w:val="32"/>
        </w:rPr>
        <w:t>决策“三重一大”事项的会议上，党</w:t>
      </w:r>
      <w:r>
        <w:rPr>
          <w:rFonts w:hint="eastAsia" w:ascii="仿宋" w:hAnsi="仿宋"/>
          <w:szCs w:val="32"/>
        </w:rPr>
        <w:t>委</w:t>
      </w:r>
      <w:r>
        <w:rPr>
          <w:rFonts w:ascii="仿宋" w:hAnsi="仿宋"/>
          <w:szCs w:val="32"/>
        </w:rPr>
        <w:t>会成员应对决策建议逐个明确表示同意、不同意或缓议的意见，要说明理由。</w:t>
      </w:r>
    </w:p>
    <w:p>
      <w:pPr>
        <w:adjustRightInd w:val="0"/>
        <w:snapToGrid w:val="0"/>
        <w:spacing w:line="360" w:lineRule="auto"/>
        <w:ind w:firstLine="640" w:firstLineChars="200"/>
        <w:rPr>
          <w:rFonts w:ascii="仿宋" w:hAnsi="仿宋"/>
          <w:szCs w:val="32"/>
        </w:rPr>
      </w:pPr>
      <w:r>
        <w:rPr>
          <w:rFonts w:ascii="仿宋" w:hAnsi="仿宋"/>
          <w:szCs w:val="32"/>
        </w:rPr>
        <w:t>（2）党</w:t>
      </w:r>
      <w:r>
        <w:rPr>
          <w:rFonts w:hint="eastAsia" w:ascii="仿宋" w:hAnsi="仿宋"/>
          <w:szCs w:val="32"/>
        </w:rPr>
        <w:t>委</w:t>
      </w:r>
      <w:r>
        <w:rPr>
          <w:rFonts w:ascii="仿宋" w:hAnsi="仿宋"/>
          <w:szCs w:val="32"/>
        </w:rPr>
        <w:t>会议主要负责人或主持会议的其他负责人应在其他成员充分发表意见的基础上，最后发表意见。对讨论中意见分歧较大或发现有重大问题尚不清楚的，除在紧急情况下按多数意见执行外，应暂缓决策，等进一步调查研究后再作决策。</w:t>
      </w:r>
    </w:p>
    <w:p>
      <w:pPr>
        <w:adjustRightInd w:val="0"/>
        <w:snapToGrid w:val="0"/>
        <w:spacing w:line="360" w:lineRule="auto"/>
        <w:ind w:firstLine="640" w:firstLineChars="200"/>
        <w:rPr>
          <w:rFonts w:ascii="仿宋" w:hAnsi="仿宋"/>
          <w:szCs w:val="32"/>
        </w:rPr>
      </w:pPr>
      <w:r>
        <w:rPr>
          <w:rFonts w:ascii="仿宋" w:hAnsi="仿宋"/>
          <w:szCs w:val="32"/>
        </w:rPr>
        <w:t>（3）党</w:t>
      </w:r>
      <w:r>
        <w:rPr>
          <w:rFonts w:hint="eastAsia" w:ascii="仿宋" w:hAnsi="仿宋"/>
          <w:szCs w:val="32"/>
        </w:rPr>
        <w:t>委</w:t>
      </w:r>
      <w:r>
        <w:rPr>
          <w:rFonts w:ascii="仿宋" w:hAnsi="仿宋"/>
          <w:szCs w:val="32"/>
        </w:rPr>
        <w:t>会成员的表决意见和理由等情况，应形成会议记录。</w:t>
      </w:r>
    </w:p>
    <w:p>
      <w:pPr>
        <w:adjustRightInd w:val="0"/>
        <w:snapToGrid w:val="0"/>
        <w:spacing w:line="360" w:lineRule="auto"/>
        <w:ind w:firstLine="640" w:firstLineChars="200"/>
        <w:rPr>
          <w:rFonts w:ascii="仿宋" w:hAnsi="仿宋"/>
          <w:szCs w:val="32"/>
        </w:rPr>
      </w:pPr>
      <w:r>
        <w:rPr>
          <w:rFonts w:ascii="仿宋" w:hAnsi="仿宋"/>
          <w:szCs w:val="32"/>
        </w:rPr>
        <w:t>3.执行决策</w:t>
      </w:r>
    </w:p>
    <w:p>
      <w:pPr>
        <w:adjustRightInd w:val="0"/>
        <w:snapToGrid w:val="0"/>
        <w:spacing w:line="360" w:lineRule="auto"/>
        <w:ind w:firstLine="640" w:firstLineChars="200"/>
        <w:rPr>
          <w:rFonts w:ascii="仿宋" w:hAnsi="仿宋"/>
          <w:szCs w:val="32"/>
        </w:rPr>
      </w:pPr>
      <w:r>
        <w:rPr>
          <w:rFonts w:ascii="仿宋" w:hAnsi="仿宋"/>
          <w:szCs w:val="32"/>
        </w:rPr>
        <w:t>（1）“三重一大”事项经党</w:t>
      </w:r>
      <w:r>
        <w:rPr>
          <w:rFonts w:hint="eastAsia" w:ascii="仿宋" w:hAnsi="仿宋"/>
          <w:szCs w:val="32"/>
        </w:rPr>
        <w:t>委</w:t>
      </w:r>
      <w:r>
        <w:rPr>
          <w:rFonts w:ascii="仿宋" w:hAnsi="仿宋"/>
          <w:szCs w:val="32"/>
        </w:rPr>
        <w:t>会决策后，由领导按分工和职责组织实施。遇有分工和职责分叉的，由党</w:t>
      </w:r>
      <w:r>
        <w:rPr>
          <w:rFonts w:hint="eastAsia" w:ascii="仿宋" w:hAnsi="仿宋"/>
          <w:szCs w:val="32"/>
        </w:rPr>
        <w:t>委</w:t>
      </w:r>
      <w:r>
        <w:rPr>
          <w:rFonts w:ascii="仿宋" w:hAnsi="仿宋"/>
          <w:szCs w:val="32"/>
        </w:rPr>
        <w:t>会明确一名领导牵头。</w:t>
      </w:r>
    </w:p>
    <w:p>
      <w:pPr>
        <w:adjustRightInd w:val="0"/>
        <w:snapToGrid w:val="0"/>
        <w:spacing w:line="360" w:lineRule="auto"/>
        <w:ind w:firstLine="640" w:firstLineChars="200"/>
        <w:rPr>
          <w:rFonts w:ascii="仿宋" w:hAnsi="仿宋"/>
          <w:szCs w:val="32"/>
        </w:rPr>
      </w:pPr>
      <w:r>
        <w:rPr>
          <w:rFonts w:ascii="仿宋" w:hAnsi="仿宋"/>
          <w:szCs w:val="32"/>
        </w:rPr>
        <w:t>（2）个人对集体决策有不同意见，可以保留，但在没有作出新的决策前，应无条件执行。同时，可按组织程序向上级党</w:t>
      </w:r>
      <w:r>
        <w:rPr>
          <w:rFonts w:hint="eastAsia" w:ascii="仿宋" w:hAnsi="仿宋"/>
          <w:szCs w:val="32"/>
        </w:rPr>
        <w:t>委</w:t>
      </w:r>
      <w:r>
        <w:rPr>
          <w:rFonts w:ascii="仿宋" w:hAnsi="仿宋"/>
          <w:szCs w:val="32"/>
        </w:rPr>
        <w:t>反映。</w:t>
      </w:r>
    </w:p>
    <w:p>
      <w:pPr>
        <w:adjustRightInd w:val="0"/>
        <w:snapToGrid w:val="0"/>
        <w:spacing w:line="360" w:lineRule="auto"/>
        <w:ind w:firstLine="640" w:firstLineChars="200"/>
        <w:rPr>
          <w:rFonts w:ascii="仿宋" w:hAnsi="仿宋"/>
          <w:szCs w:val="32"/>
        </w:rPr>
      </w:pPr>
      <w:r>
        <w:rPr>
          <w:rFonts w:ascii="仿宋" w:hAnsi="仿宋"/>
          <w:szCs w:val="32"/>
        </w:rPr>
        <w:t>（3）个人不得擅自改变集体决策，确需变更，应由党</w:t>
      </w:r>
      <w:r>
        <w:rPr>
          <w:rFonts w:hint="eastAsia" w:ascii="仿宋" w:hAnsi="仿宋"/>
          <w:szCs w:val="32"/>
        </w:rPr>
        <w:t>委</w:t>
      </w:r>
      <w:r>
        <w:rPr>
          <w:rFonts w:ascii="仿宋" w:hAnsi="仿宋"/>
          <w:szCs w:val="32"/>
        </w:rPr>
        <w:t>会重新作出决策。如遇重大突发事件和紧急情况作出临时处置的，应在事后及时向党</w:t>
      </w:r>
      <w:r>
        <w:rPr>
          <w:rFonts w:hint="eastAsia" w:ascii="仿宋" w:hAnsi="仿宋"/>
          <w:szCs w:val="32"/>
        </w:rPr>
        <w:t>委</w:t>
      </w:r>
      <w:r>
        <w:rPr>
          <w:rFonts w:ascii="仿宋" w:hAnsi="仿宋"/>
          <w:szCs w:val="32"/>
        </w:rPr>
        <w:t>会报告，未完成事项如需党</w:t>
      </w:r>
      <w:r>
        <w:rPr>
          <w:rFonts w:hint="eastAsia" w:ascii="仿宋" w:hAnsi="仿宋"/>
          <w:szCs w:val="32"/>
        </w:rPr>
        <w:t>委</w:t>
      </w:r>
      <w:r>
        <w:rPr>
          <w:rFonts w:ascii="仿宋" w:hAnsi="仿宋"/>
          <w:szCs w:val="32"/>
        </w:rPr>
        <w:t>会重新作出决策的，经再次决策后，按新的决策执行。</w:t>
      </w:r>
    </w:p>
    <w:p>
      <w:pPr>
        <w:adjustRightInd w:val="0"/>
        <w:snapToGrid w:val="0"/>
        <w:spacing w:line="360" w:lineRule="auto"/>
        <w:ind w:firstLine="640" w:firstLineChars="200"/>
        <w:outlineLvl w:val="0"/>
        <w:rPr>
          <w:rFonts w:ascii="黑体" w:hAnsi="黑体" w:eastAsia="黑体" w:cs="黑体"/>
          <w:szCs w:val="32"/>
        </w:rPr>
      </w:pPr>
      <w:bookmarkStart w:id="59" w:name="_Toc13317"/>
      <w:bookmarkStart w:id="60" w:name="_Toc13603"/>
      <w:bookmarkStart w:id="61" w:name="_Toc22558"/>
      <w:bookmarkStart w:id="62" w:name="_Toc21337"/>
      <w:bookmarkStart w:id="63" w:name="_Toc32264"/>
      <w:r>
        <w:rPr>
          <w:rFonts w:hint="eastAsia" w:ascii="黑体" w:hAnsi="黑体" w:eastAsia="黑体" w:cs="黑体"/>
          <w:szCs w:val="32"/>
        </w:rPr>
        <w:t>三、“三重一大”事项的监督检查</w:t>
      </w:r>
      <w:bookmarkEnd w:id="59"/>
      <w:bookmarkEnd w:id="60"/>
      <w:bookmarkEnd w:id="61"/>
      <w:bookmarkEnd w:id="62"/>
      <w:bookmarkEnd w:id="63"/>
    </w:p>
    <w:p>
      <w:pPr>
        <w:adjustRightInd w:val="0"/>
        <w:snapToGrid w:val="0"/>
        <w:spacing w:line="360" w:lineRule="auto"/>
        <w:ind w:firstLine="640" w:firstLineChars="200"/>
        <w:rPr>
          <w:rFonts w:ascii="仿宋" w:hAnsi="仿宋"/>
          <w:szCs w:val="32"/>
        </w:rPr>
      </w:pPr>
      <w:r>
        <w:rPr>
          <w:rFonts w:ascii="仿宋" w:hAnsi="仿宋"/>
          <w:szCs w:val="32"/>
        </w:rPr>
        <w:t>（一）为切实贯彻执行“三重一大”制度，由</w:t>
      </w:r>
      <w:r>
        <w:rPr>
          <w:rFonts w:hint="eastAsia" w:ascii="仿宋" w:hAnsi="仿宋"/>
          <w:szCs w:val="32"/>
        </w:rPr>
        <w:t>党办</w:t>
      </w:r>
      <w:r>
        <w:rPr>
          <w:rFonts w:ascii="仿宋" w:hAnsi="仿宋"/>
          <w:szCs w:val="32"/>
        </w:rPr>
        <w:t>建立相应的监督检查制度，从工作程序和实际效果等方面切实加强对“三重一大”事项决策、执行情况的监督检查。</w:t>
      </w:r>
    </w:p>
    <w:p>
      <w:pPr>
        <w:adjustRightInd w:val="0"/>
        <w:snapToGrid w:val="0"/>
        <w:spacing w:line="360" w:lineRule="auto"/>
        <w:ind w:firstLine="640" w:firstLineChars="200"/>
        <w:rPr>
          <w:rFonts w:ascii="仿宋" w:hAnsi="仿宋"/>
          <w:szCs w:val="32"/>
        </w:rPr>
      </w:pPr>
      <w:r>
        <w:rPr>
          <w:rFonts w:ascii="仿宋" w:hAnsi="仿宋"/>
          <w:szCs w:val="32"/>
        </w:rPr>
        <w:t>（二）班子成员根据分工和职责及时向领导班子汇报“三重一大”事项的执行情况，并将贯彻本办法的情况列入班子民主生活会和述职述廉的重要内容。</w:t>
      </w:r>
    </w:p>
    <w:p>
      <w:pPr>
        <w:adjustRightInd w:val="0"/>
        <w:snapToGrid w:val="0"/>
        <w:spacing w:line="360" w:lineRule="auto"/>
        <w:ind w:firstLine="640" w:firstLineChars="200"/>
        <w:outlineLvl w:val="0"/>
        <w:rPr>
          <w:rFonts w:ascii="黑体" w:hAnsi="黑体" w:eastAsia="黑体" w:cs="黑体"/>
          <w:szCs w:val="32"/>
        </w:rPr>
      </w:pPr>
      <w:bookmarkStart w:id="64" w:name="_Toc16311"/>
      <w:bookmarkStart w:id="65" w:name="_Toc13373"/>
      <w:bookmarkStart w:id="66" w:name="_Toc30096"/>
      <w:bookmarkStart w:id="67" w:name="_Toc202"/>
      <w:bookmarkStart w:id="68" w:name="_Toc248"/>
      <w:r>
        <w:rPr>
          <w:rFonts w:hint="eastAsia" w:ascii="黑体" w:hAnsi="黑体" w:eastAsia="黑体" w:cs="黑体"/>
          <w:szCs w:val="32"/>
        </w:rPr>
        <w:t>四、“三重一大”责任追究</w:t>
      </w:r>
      <w:bookmarkEnd w:id="64"/>
      <w:bookmarkEnd w:id="65"/>
      <w:bookmarkEnd w:id="66"/>
      <w:bookmarkEnd w:id="67"/>
      <w:bookmarkEnd w:id="68"/>
    </w:p>
    <w:p>
      <w:pPr>
        <w:adjustRightInd w:val="0"/>
        <w:snapToGrid w:val="0"/>
        <w:spacing w:line="360" w:lineRule="auto"/>
        <w:ind w:firstLine="640" w:firstLineChars="200"/>
        <w:rPr>
          <w:rFonts w:ascii="仿宋" w:hAnsi="仿宋"/>
          <w:szCs w:val="32"/>
        </w:rPr>
      </w:pPr>
      <w:r>
        <w:rPr>
          <w:rFonts w:ascii="仿宋" w:hAnsi="仿宋"/>
          <w:szCs w:val="32"/>
        </w:rPr>
        <w:t>有下列情形之一的，应追究责任：</w:t>
      </w:r>
    </w:p>
    <w:p>
      <w:pPr>
        <w:adjustRightInd w:val="0"/>
        <w:snapToGrid w:val="0"/>
        <w:spacing w:line="360" w:lineRule="auto"/>
        <w:ind w:firstLine="640" w:firstLineChars="200"/>
        <w:rPr>
          <w:rFonts w:ascii="仿宋" w:hAnsi="仿宋"/>
          <w:szCs w:val="32"/>
        </w:rPr>
      </w:pPr>
      <w:r>
        <w:rPr>
          <w:rFonts w:ascii="仿宋" w:hAnsi="仿宋"/>
          <w:szCs w:val="32"/>
        </w:rPr>
        <w:t>（一)未按规定内容、范围、程序报党</w:t>
      </w:r>
      <w:r>
        <w:rPr>
          <w:rFonts w:hint="eastAsia" w:ascii="仿宋" w:hAnsi="仿宋"/>
          <w:szCs w:val="32"/>
        </w:rPr>
        <w:t>委</w:t>
      </w:r>
      <w:r>
        <w:rPr>
          <w:rFonts w:ascii="仿宋" w:hAnsi="仿宋"/>
          <w:szCs w:val="32"/>
        </w:rPr>
        <w:t>会集体研究决定的；</w:t>
      </w:r>
    </w:p>
    <w:p>
      <w:pPr>
        <w:adjustRightInd w:val="0"/>
        <w:snapToGrid w:val="0"/>
        <w:spacing w:line="360" w:lineRule="auto"/>
        <w:ind w:firstLine="640" w:firstLineChars="200"/>
        <w:rPr>
          <w:rFonts w:ascii="仿宋" w:hAnsi="仿宋"/>
          <w:szCs w:val="32"/>
        </w:rPr>
      </w:pPr>
      <w:r>
        <w:rPr>
          <w:rFonts w:ascii="仿宋" w:hAnsi="仿宋"/>
          <w:szCs w:val="32"/>
        </w:rPr>
        <w:t>（二)擅自泄露党</w:t>
      </w:r>
      <w:r>
        <w:rPr>
          <w:rFonts w:hint="eastAsia" w:ascii="仿宋" w:hAnsi="仿宋"/>
          <w:szCs w:val="32"/>
        </w:rPr>
        <w:t>委</w:t>
      </w:r>
      <w:r>
        <w:rPr>
          <w:rFonts w:ascii="仿宋" w:hAnsi="仿宋"/>
          <w:szCs w:val="32"/>
        </w:rPr>
        <w:t>会集体研究决定的应保密事项的；</w:t>
      </w:r>
    </w:p>
    <w:p>
      <w:pPr>
        <w:adjustRightInd w:val="0"/>
        <w:snapToGrid w:val="0"/>
        <w:spacing w:line="360" w:lineRule="auto"/>
        <w:ind w:firstLine="640" w:firstLineChars="200"/>
        <w:rPr>
          <w:rFonts w:ascii="仿宋" w:hAnsi="仿宋"/>
          <w:szCs w:val="32"/>
        </w:rPr>
      </w:pPr>
      <w:r>
        <w:rPr>
          <w:rFonts w:ascii="仿宋" w:hAnsi="仿宋"/>
          <w:szCs w:val="32"/>
        </w:rPr>
        <w:t>（三)因上报不实情况或漏报、瞒报影响党</w:t>
      </w:r>
      <w:r>
        <w:rPr>
          <w:rFonts w:hint="eastAsia" w:ascii="仿宋" w:hAnsi="仿宋"/>
          <w:szCs w:val="32"/>
        </w:rPr>
        <w:t>委</w:t>
      </w:r>
      <w:r>
        <w:rPr>
          <w:rFonts w:ascii="仿宋" w:hAnsi="仿宋"/>
          <w:szCs w:val="32"/>
        </w:rPr>
        <w:t>作出正确决策的；</w:t>
      </w:r>
    </w:p>
    <w:p>
      <w:pPr>
        <w:adjustRightInd w:val="0"/>
        <w:snapToGrid w:val="0"/>
        <w:spacing w:line="360" w:lineRule="auto"/>
        <w:ind w:firstLine="640" w:firstLineChars="200"/>
        <w:rPr>
          <w:rFonts w:ascii="仿宋" w:hAnsi="仿宋"/>
          <w:szCs w:val="32"/>
        </w:rPr>
      </w:pPr>
      <w:r>
        <w:rPr>
          <w:rFonts w:ascii="仿宋" w:hAnsi="仿宋"/>
          <w:szCs w:val="32"/>
        </w:rPr>
        <w:t>（四)个人或少数人决定“三重一大”事项的、拒不执行或擅自改变集体决策的；</w:t>
      </w:r>
    </w:p>
    <w:p>
      <w:pPr>
        <w:adjustRightInd w:val="0"/>
        <w:snapToGrid w:val="0"/>
        <w:spacing w:line="360" w:lineRule="auto"/>
        <w:ind w:firstLine="640" w:firstLineChars="200"/>
        <w:rPr>
          <w:rFonts w:ascii="仿宋" w:hAnsi="仿宋"/>
          <w:szCs w:val="32"/>
        </w:rPr>
      </w:pPr>
      <w:r>
        <w:rPr>
          <w:rFonts w:ascii="仿宋" w:hAnsi="仿宋"/>
          <w:szCs w:val="32"/>
        </w:rPr>
        <w:t>属于个人责任的，按以下形式追究：情节轻微的，对主要责任人给予批评教育、诫勉谈话；情节较重、造成一定损失的，责令主要责任人写出书面检查或通报批评；情节严重、造成恶劣影响和重大损失的，应依据《中国共产党纪律处分条例》和《行政机关公务员处分条例》等规定，上报纪检监察部门给予主要责任人党纪政纪处分。</w:t>
      </w:r>
    </w:p>
    <w:p>
      <w:pPr>
        <w:adjustRightInd w:val="0"/>
        <w:snapToGrid w:val="0"/>
        <w:spacing w:line="360" w:lineRule="auto"/>
        <w:ind w:firstLine="640" w:firstLineChars="200"/>
        <w:rPr>
          <w:rFonts w:ascii="仿宋" w:hAnsi="仿宋"/>
          <w:szCs w:val="32"/>
        </w:rPr>
      </w:pPr>
      <w:r>
        <w:rPr>
          <w:rFonts w:ascii="仿宋" w:hAnsi="仿宋"/>
          <w:szCs w:val="32"/>
        </w:rPr>
        <w:t>属于领导集体责任的，按以下形式追究：情节轻微的，召开专题会议，开展批评与自我批评，并限期纠正；情节较重、造成一定损失的，领导集体向上级作出书面检讨；情节严重、造成恶劣影响和重大损失的，领导集体请求上级作组织处理。</w:t>
      </w:r>
    </w:p>
    <w:p>
      <w:pPr>
        <w:widowControl/>
        <w:spacing w:line="15" w:lineRule="atLeast"/>
        <w:jc w:val="left"/>
      </w:pPr>
    </w:p>
    <w:p>
      <w:pPr>
        <w:rPr>
          <w:rFonts w:ascii="仿宋" w:hAnsi="仿宋"/>
          <w:szCs w:val="32"/>
        </w:rPr>
        <w:sectPr>
          <w:pgSz w:w="11906" w:h="16838"/>
          <w:pgMar w:top="1440" w:right="1800" w:bottom="1440" w:left="1800" w:header="851" w:footer="992" w:gutter="0"/>
          <w:pgNumType w:fmt="numberInDash"/>
          <w:cols w:space="720" w:num="1"/>
          <w:docGrid w:type="lines" w:linePitch="312" w:charSpace="0"/>
        </w:sectPr>
      </w:pPr>
      <w:r>
        <w:br w:type="page"/>
      </w:r>
    </w:p>
    <w:p>
      <w:pPr>
        <w:rPr>
          <w:rFonts w:ascii="仿宋" w:hAnsi="仿宋"/>
          <w:szCs w:val="32"/>
        </w:rPr>
        <w:sectPr>
          <w:pgSz w:w="11906" w:h="16838"/>
          <w:pgMar w:top="1440" w:right="1800" w:bottom="1440" w:left="1800" w:header="851" w:footer="992" w:gutter="0"/>
          <w:pgNumType w:fmt="numberInDash"/>
          <w:cols w:space="720" w:num="1"/>
          <w:docGrid w:type="lines" w:linePitch="312" w:charSpace="0"/>
        </w:sectPr>
      </w:pPr>
      <w:r>
        <w:rPr>
          <w:rFonts w:hint="eastAsia" w:ascii="仿宋" w:hAnsi="仿宋"/>
          <w:szCs w:val="32"/>
        </w:rPr>
        <w:drawing>
          <wp:anchor distT="0" distB="0" distL="114300" distR="114300" simplePos="0" relativeHeight="251667456" behindDoc="0" locked="0" layoutInCell="1" allowOverlap="1">
            <wp:simplePos x="0" y="0"/>
            <wp:positionH relativeFrom="column">
              <wp:posOffset>-421640</wp:posOffset>
            </wp:positionH>
            <wp:positionV relativeFrom="paragraph">
              <wp:posOffset>-117475</wp:posOffset>
            </wp:positionV>
            <wp:extent cx="6313805" cy="8671560"/>
            <wp:effectExtent l="0" t="0" r="10795" b="15240"/>
            <wp:wrapNone/>
            <wp:docPr id="33" name="图片 33" descr="未命名文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未命名文件(1)"/>
                    <pic:cNvPicPr>
                      <a:picLocks noChangeAspect="1"/>
                    </pic:cNvPicPr>
                  </pic:nvPicPr>
                  <pic:blipFill>
                    <a:blip r:embed="rId15"/>
                    <a:stretch>
                      <a:fillRect/>
                    </a:stretch>
                  </pic:blipFill>
                  <pic:spPr>
                    <a:xfrm>
                      <a:off x="0" y="0"/>
                      <a:ext cx="6313805" cy="8671560"/>
                    </a:xfrm>
                    <a:prstGeom prst="rect">
                      <a:avLst/>
                    </a:prstGeom>
                  </pic:spPr>
                </pic:pic>
              </a:graphicData>
            </a:graphic>
          </wp:anchor>
        </w:drawing>
      </w:r>
    </w:p>
    <w:p>
      <w:pPr>
        <w:pStyle w:val="2"/>
        <w:rPr>
          <w:rFonts w:asciiTheme="majorEastAsia" w:hAnsiTheme="majorEastAsia" w:eastAsiaTheme="majorEastAsia" w:cstheme="majorEastAsia"/>
          <w:bCs/>
          <w:szCs w:val="44"/>
        </w:rPr>
      </w:pPr>
      <w:r>
        <w:rPr>
          <w:rFonts w:hint="eastAsia" w:ascii="仿宋" w:hAnsi="仿宋"/>
          <w:sz w:val="32"/>
          <w:szCs w:val="32"/>
        </w:rPr>
        <w:t xml:space="preserve"> </w:t>
      </w:r>
      <w:bookmarkStart w:id="69" w:name="_Toc23012"/>
      <w:r>
        <w:rPr>
          <w:rFonts w:hint="eastAsia" w:asciiTheme="majorEastAsia" w:hAnsiTheme="majorEastAsia" w:eastAsiaTheme="majorEastAsia" w:cstheme="majorEastAsia"/>
          <w:bCs/>
          <w:szCs w:val="44"/>
        </w:rPr>
        <w:t>5、领导干部不允许插手工程项目和招投标</w:t>
      </w:r>
      <w:bookmarkEnd w:id="69"/>
    </w:p>
    <w:p>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制度</w:t>
      </w:r>
    </w:p>
    <w:p>
      <w:pPr>
        <w:jc w:val="center"/>
        <w:rPr>
          <w:rFonts w:asciiTheme="majorEastAsia" w:hAnsiTheme="majorEastAsia" w:eastAsiaTheme="majorEastAsia" w:cstheme="majorEastAsia"/>
          <w:b/>
          <w:bCs/>
          <w:sz w:val="44"/>
          <w:szCs w:val="44"/>
        </w:rPr>
      </w:pPr>
    </w:p>
    <w:p>
      <w:pPr>
        <w:numPr>
          <w:ilvl w:val="0"/>
          <w:numId w:val="1"/>
        </w:numPr>
        <w:ind w:firstLine="640" w:firstLineChars="200"/>
        <w:rPr>
          <w:rFonts w:ascii="仿宋" w:hAnsi="仿宋" w:cs="仿宋"/>
          <w:szCs w:val="32"/>
        </w:rPr>
      </w:pPr>
      <w:r>
        <w:rPr>
          <w:rFonts w:hint="eastAsia" w:ascii="仿宋" w:hAnsi="仿宋" w:cs="仿宋"/>
          <w:szCs w:val="32"/>
        </w:rPr>
        <w:t>为进一步规范领导干部廉洁从政行为，确保工程建设项目依法依规建设，根据《中国共产党纪律处分条例》、《中国共产党廉洁自律准则》、《中华人民共和国建筑法》、《</w:t>
      </w:r>
      <w:r>
        <w:rPr>
          <w:rFonts w:hint="default" w:ascii="仿宋" w:hAnsi="仿宋" w:cs="仿宋"/>
          <w:szCs w:val="32"/>
          <w:lang w:val="en-US"/>
        </w:rPr>
        <w:t>中华人民共和国招标投标法</w:t>
      </w:r>
      <w:r>
        <w:rPr>
          <w:rFonts w:hint="eastAsia" w:ascii="仿宋" w:hAnsi="仿宋" w:cs="仿宋"/>
          <w:szCs w:val="32"/>
        </w:rPr>
        <w:t>》等法律法规，结合新区工作实际，特制定本制度。</w:t>
      </w:r>
    </w:p>
    <w:p>
      <w:pPr>
        <w:numPr>
          <w:ilvl w:val="0"/>
          <w:numId w:val="1"/>
        </w:numPr>
        <w:ind w:firstLine="640" w:firstLineChars="200"/>
        <w:rPr>
          <w:rFonts w:ascii="仿宋" w:hAnsi="仿宋" w:cs="仿宋"/>
          <w:szCs w:val="32"/>
        </w:rPr>
      </w:pPr>
      <w:r>
        <w:rPr>
          <w:rFonts w:hint="eastAsia" w:ascii="仿宋" w:hAnsi="仿宋" w:cs="仿宋"/>
          <w:szCs w:val="32"/>
        </w:rPr>
        <w:t xml:space="preserve">本制度所称领导干部，是指白城市生态新区建设领导小组办公室内副科级以上领导干部（含副科级领导职务和非领导职务）。 </w:t>
      </w:r>
    </w:p>
    <w:p>
      <w:pPr>
        <w:numPr>
          <w:ilvl w:val="0"/>
          <w:numId w:val="1"/>
        </w:numPr>
        <w:ind w:firstLine="640" w:firstLineChars="200"/>
        <w:rPr>
          <w:rFonts w:ascii="仿宋" w:hAnsi="仿宋" w:cs="仿宋"/>
          <w:szCs w:val="32"/>
        </w:rPr>
      </w:pPr>
      <w:r>
        <w:rPr>
          <w:rFonts w:hint="eastAsia" w:ascii="仿宋" w:hAnsi="仿宋" w:cs="仿宋"/>
          <w:szCs w:val="32"/>
        </w:rPr>
        <w:t xml:space="preserve">本制度所称工程项目和招投标是指房屋建筑和市政基础设施工程建设项目和招投标活动。   </w:t>
      </w:r>
    </w:p>
    <w:p>
      <w:pPr>
        <w:numPr>
          <w:ilvl w:val="0"/>
          <w:numId w:val="1"/>
        </w:numPr>
        <w:ind w:firstLine="640" w:firstLineChars="200"/>
        <w:rPr>
          <w:rFonts w:ascii="仿宋" w:hAnsi="仿宋" w:cs="仿宋"/>
          <w:szCs w:val="32"/>
        </w:rPr>
      </w:pPr>
      <w:r>
        <w:rPr>
          <w:rFonts w:hint="eastAsia" w:ascii="仿宋" w:hAnsi="仿宋" w:cs="仿宋"/>
          <w:szCs w:val="32"/>
        </w:rPr>
        <w:t>本制度所称插手干预工程项目和招投标，是指领导干部违反法律、法规及其他政策性规定或规则等，利用职权向相关部门和单位及其工作人员采取暗示、授意、打招呼、批条子、指定即以会议纪要、推荐、支持、照顾等方式方法，或者授意、明示、暗示、默许亲友和身边工作人员干预工程建设项目和招投标活动按法定程序正常开展和正常监督执法的行为。</w:t>
      </w:r>
    </w:p>
    <w:p>
      <w:pPr>
        <w:numPr>
          <w:ilvl w:val="0"/>
          <w:numId w:val="1"/>
        </w:numPr>
        <w:ind w:firstLine="640" w:firstLineChars="200"/>
        <w:rPr>
          <w:rFonts w:ascii="仿宋" w:hAnsi="仿宋" w:cs="仿宋"/>
          <w:szCs w:val="32"/>
        </w:rPr>
      </w:pPr>
      <w:r>
        <w:rPr>
          <w:rFonts w:hint="eastAsia" w:ascii="仿宋" w:hAnsi="仿宋" w:cs="仿宋"/>
          <w:szCs w:val="32"/>
        </w:rPr>
        <w:t>领导干部应当自觉遵守廉洁自律有关规定，遵守工程建设项目程序，不得有以下插手干预工程建设项目和招投标活动的行为：</w:t>
      </w:r>
    </w:p>
    <w:p>
      <w:pPr>
        <w:numPr>
          <w:ilvl w:val="0"/>
          <w:numId w:val="2"/>
        </w:numPr>
        <w:ind w:firstLine="640" w:firstLineChars="200"/>
        <w:rPr>
          <w:rFonts w:ascii="仿宋" w:hAnsi="仿宋" w:cs="仿宋"/>
          <w:szCs w:val="32"/>
        </w:rPr>
      </w:pPr>
      <w:r>
        <w:rPr>
          <w:rFonts w:hint="eastAsia" w:ascii="仿宋" w:hAnsi="仿宋" w:cs="仿宋"/>
          <w:szCs w:val="32"/>
        </w:rPr>
        <w:t>未经批准或违反规定兼任工程建设项目领导职务；或在工程建设项目中开支、报销有关费用；或领取补贴、资金、福利；</w:t>
      </w:r>
    </w:p>
    <w:p>
      <w:pPr>
        <w:numPr>
          <w:ilvl w:val="0"/>
          <w:numId w:val="2"/>
        </w:numPr>
        <w:ind w:firstLine="640" w:firstLineChars="200"/>
        <w:rPr>
          <w:rFonts w:ascii="仿宋" w:hAnsi="仿宋" w:cs="仿宋"/>
          <w:szCs w:val="32"/>
        </w:rPr>
      </w:pPr>
      <w:r>
        <w:rPr>
          <w:rFonts w:hint="eastAsia" w:ascii="仿宋" w:hAnsi="仿宋" w:cs="仿宋"/>
          <w:szCs w:val="32"/>
        </w:rPr>
        <w:t>对工程建设项目中的违法违规的请示、报告、文件表示同意；对有关纠正违法违规行为的上级指示、决定拒不执行或不予落实、回复；</w:t>
      </w:r>
    </w:p>
    <w:p>
      <w:pPr>
        <w:numPr>
          <w:ilvl w:val="0"/>
          <w:numId w:val="2"/>
        </w:numPr>
        <w:ind w:firstLine="640" w:firstLineChars="200"/>
        <w:rPr>
          <w:rFonts w:ascii="仿宋" w:hAnsi="仿宋" w:cs="仿宋"/>
          <w:szCs w:val="32"/>
        </w:rPr>
      </w:pPr>
      <w:r>
        <w:rPr>
          <w:rFonts w:hint="eastAsia" w:ascii="仿宋" w:hAnsi="仿宋" w:cs="仿宋"/>
          <w:szCs w:val="32"/>
        </w:rPr>
        <w:t>利用职权或职务影响，以指定、打招呼、批条子授意、暗示等方式，插手干预工程建设项目和招投标活动；或为自己亲属、身边人员人员、特定关系人承揽工程或中标项目，谋取不正当利益；</w:t>
      </w:r>
    </w:p>
    <w:p>
      <w:pPr>
        <w:numPr>
          <w:ilvl w:val="0"/>
          <w:numId w:val="2"/>
        </w:numPr>
        <w:ind w:firstLine="640" w:firstLineChars="200"/>
        <w:rPr>
          <w:rFonts w:ascii="仿宋" w:hAnsi="仿宋" w:cs="仿宋"/>
          <w:szCs w:val="32"/>
        </w:rPr>
      </w:pPr>
      <w:r>
        <w:rPr>
          <w:rFonts w:hint="eastAsia" w:ascii="仿宋" w:hAnsi="仿宋" w:cs="仿宋"/>
          <w:szCs w:val="32"/>
        </w:rPr>
        <w:t>以工期紧迫等各种借口，明示或暗示相关单位不履行招投标程序，违规建设项目；</w:t>
      </w:r>
    </w:p>
    <w:p>
      <w:pPr>
        <w:numPr>
          <w:ilvl w:val="0"/>
          <w:numId w:val="2"/>
        </w:numPr>
        <w:ind w:firstLine="640" w:firstLineChars="200"/>
        <w:rPr>
          <w:rFonts w:ascii="仿宋" w:hAnsi="仿宋" w:cs="仿宋"/>
          <w:szCs w:val="32"/>
        </w:rPr>
      </w:pPr>
      <w:r>
        <w:rPr>
          <w:rFonts w:hint="eastAsia" w:ascii="仿宋" w:hAnsi="仿宋" w:cs="仿宋"/>
          <w:szCs w:val="32"/>
        </w:rPr>
        <w:t>违反规定以会议或集体研究决定方式插手干预工程建设项目和招投标活动；或违规为建设单位制定招投标代理机构；或通过操纵招投标代理机构，以不正当手段使特定投标中标；</w:t>
      </w:r>
    </w:p>
    <w:p>
      <w:pPr>
        <w:numPr>
          <w:ilvl w:val="0"/>
          <w:numId w:val="2"/>
        </w:numPr>
        <w:ind w:firstLine="640" w:firstLineChars="200"/>
        <w:rPr>
          <w:rFonts w:ascii="仿宋" w:hAnsi="仿宋" w:cs="仿宋"/>
          <w:szCs w:val="32"/>
        </w:rPr>
      </w:pPr>
      <w:r>
        <w:rPr>
          <w:rFonts w:hint="eastAsia" w:ascii="仿宋" w:hAnsi="仿宋" w:cs="仿宋"/>
          <w:szCs w:val="32"/>
        </w:rPr>
        <w:t>违规改变招标条件和技术参数，增设限制条件，排斥其他投标人，为特定投标人入围、中标提供方便；违规干预招标文件、评标办法、招标控价的制定；</w:t>
      </w:r>
    </w:p>
    <w:p>
      <w:pPr>
        <w:numPr>
          <w:ilvl w:val="0"/>
          <w:numId w:val="2"/>
        </w:numPr>
        <w:ind w:firstLine="640" w:firstLineChars="200"/>
        <w:rPr>
          <w:rFonts w:ascii="仿宋" w:hAnsi="仿宋" w:cs="仿宋"/>
          <w:szCs w:val="32"/>
        </w:rPr>
      </w:pPr>
      <w:r>
        <w:rPr>
          <w:rFonts w:hint="eastAsia" w:ascii="仿宋" w:hAnsi="仿宋" w:cs="仿宋"/>
          <w:szCs w:val="32"/>
        </w:rPr>
        <w:t>同意或要求将公开招标的工程建设项目不进入公共资源交易中心进行交易；或将应当公开招标的工程建设项目不进行招标，核准为邀请招标或直接发包；</w:t>
      </w:r>
    </w:p>
    <w:p>
      <w:pPr>
        <w:numPr>
          <w:ilvl w:val="0"/>
          <w:numId w:val="2"/>
        </w:numPr>
        <w:ind w:firstLine="640" w:firstLineChars="200"/>
        <w:rPr>
          <w:rFonts w:ascii="仿宋" w:hAnsi="仿宋" w:cs="仿宋"/>
          <w:szCs w:val="32"/>
        </w:rPr>
      </w:pPr>
      <w:r>
        <w:rPr>
          <w:rFonts w:hint="eastAsia" w:ascii="仿宋" w:hAnsi="仿宋" w:cs="仿宋"/>
          <w:szCs w:val="32"/>
        </w:rPr>
        <w:t>同意或要求将应当公开招标的工程建设项目，通过假借涉密工程、抢险就在等特殊工程名义或分批分次、化整为零规避招标；</w:t>
      </w:r>
    </w:p>
    <w:p>
      <w:pPr>
        <w:numPr>
          <w:ilvl w:val="0"/>
          <w:numId w:val="2"/>
        </w:numPr>
        <w:ind w:firstLine="640" w:firstLineChars="200"/>
        <w:rPr>
          <w:rFonts w:ascii="仿宋" w:hAnsi="仿宋" w:cs="仿宋"/>
          <w:szCs w:val="32"/>
        </w:rPr>
      </w:pPr>
      <w:r>
        <w:rPr>
          <w:rFonts w:hint="eastAsia" w:ascii="仿宋" w:hAnsi="仿宋" w:cs="仿宋"/>
          <w:szCs w:val="32"/>
        </w:rPr>
        <w:t>串通投标人进行围标、串标，介绍企业出借资质投标等违法行为；</w:t>
      </w:r>
    </w:p>
    <w:p>
      <w:pPr>
        <w:numPr>
          <w:ilvl w:val="0"/>
          <w:numId w:val="2"/>
        </w:numPr>
        <w:ind w:firstLine="640" w:firstLineChars="200"/>
        <w:rPr>
          <w:rFonts w:ascii="仿宋" w:hAnsi="仿宋" w:cs="仿宋"/>
          <w:szCs w:val="32"/>
        </w:rPr>
      </w:pPr>
      <w:r>
        <w:rPr>
          <w:rFonts w:hint="eastAsia" w:ascii="仿宋" w:hAnsi="仿宋" w:cs="仿宋"/>
          <w:szCs w:val="32"/>
        </w:rPr>
        <w:t>违反规定担任或指定评标专家，或授意专家评委为“意向”投标单位打高分左右评标结果，干预专家评委评标，或以监督为名干扰依法进行的评标活动；</w:t>
      </w:r>
    </w:p>
    <w:p>
      <w:pPr>
        <w:numPr>
          <w:ilvl w:val="0"/>
          <w:numId w:val="2"/>
        </w:numPr>
        <w:ind w:firstLine="640" w:firstLineChars="200"/>
        <w:rPr>
          <w:rFonts w:ascii="仿宋" w:hAnsi="仿宋" w:cs="仿宋"/>
          <w:szCs w:val="32"/>
        </w:rPr>
      </w:pPr>
      <w:r>
        <w:rPr>
          <w:rFonts w:hint="eastAsia" w:ascii="仿宋" w:hAnsi="仿宋" w:cs="仿宋"/>
          <w:szCs w:val="32"/>
        </w:rPr>
        <w:t>将招投标活动中应当保密的投标人的名称、数量或者有关信息泄露给其他投标人；</w:t>
      </w:r>
    </w:p>
    <w:p>
      <w:pPr>
        <w:numPr>
          <w:ilvl w:val="0"/>
          <w:numId w:val="2"/>
        </w:numPr>
        <w:ind w:firstLine="640" w:firstLineChars="200"/>
        <w:rPr>
          <w:rFonts w:ascii="仿宋" w:hAnsi="仿宋" w:cs="仿宋"/>
          <w:szCs w:val="32"/>
        </w:rPr>
      </w:pPr>
      <w:r>
        <w:rPr>
          <w:rFonts w:hint="eastAsia" w:ascii="仿宋" w:hAnsi="仿宋" w:cs="仿宋"/>
          <w:szCs w:val="32"/>
        </w:rPr>
        <w:t>违规干预评标委员会推荐的中标候选人顺序确定中标人；或以打招呼、说情、暗示等方式要求中标候选人放弃中标；或要求中标人分包、转包工程项目；或者指定工程建设商品生产商、供应商，要求建设单位使用指定的建筑材料和设备；</w:t>
      </w:r>
    </w:p>
    <w:p>
      <w:pPr>
        <w:numPr>
          <w:ilvl w:val="0"/>
          <w:numId w:val="2"/>
        </w:numPr>
        <w:ind w:firstLine="640" w:firstLineChars="200"/>
        <w:rPr>
          <w:rFonts w:ascii="仿宋" w:hAnsi="仿宋" w:cs="仿宋"/>
          <w:szCs w:val="32"/>
        </w:rPr>
      </w:pPr>
      <w:r>
        <w:rPr>
          <w:rFonts w:hint="eastAsia" w:ascii="仿宋" w:hAnsi="仿宋" w:cs="仿宋"/>
          <w:szCs w:val="32"/>
        </w:rPr>
        <w:t>迫使招标人和中标人签订背离招标文件实质性内容的施工合同；或在合同以外，另行签订与合同内容不一致的其他协议；</w:t>
      </w:r>
    </w:p>
    <w:p>
      <w:pPr>
        <w:numPr>
          <w:ilvl w:val="0"/>
          <w:numId w:val="2"/>
        </w:numPr>
        <w:ind w:firstLine="640" w:firstLineChars="200"/>
        <w:rPr>
          <w:rFonts w:ascii="仿宋" w:hAnsi="仿宋" w:cs="仿宋"/>
          <w:szCs w:val="32"/>
        </w:rPr>
      </w:pPr>
      <w:r>
        <w:rPr>
          <w:rFonts w:hint="eastAsia" w:ascii="仿宋" w:hAnsi="仿宋" w:cs="仿宋"/>
          <w:szCs w:val="32"/>
        </w:rPr>
        <w:t>违规变更工程项目设计，抬高造价，造成工程建设项目“低价中标高价结算”；</w:t>
      </w:r>
    </w:p>
    <w:p>
      <w:pPr>
        <w:numPr>
          <w:ilvl w:val="0"/>
          <w:numId w:val="2"/>
        </w:numPr>
        <w:ind w:firstLine="640" w:firstLineChars="200"/>
        <w:rPr>
          <w:rFonts w:ascii="仿宋" w:hAnsi="仿宋" w:cs="仿宋"/>
          <w:szCs w:val="32"/>
        </w:rPr>
      </w:pPr>
      <w:r>
        <w:rPr>
          <w:rFonts w:hint="eastAsia" w:ascii="仿宋" w:hAnsi="仿宋" w:cs="仿宋"/>
          <w:szCs w:val="32"/>
        </w:rPr>
        <w:t>干扰工作人员在招投标活动中正常监管和执法，通过说情、批示、打招呼、或强令等形式影响干预行政监督部门依法采取整改、诚信记录公示、行政处罚、吊扣证照等处理措施；</w:t>
      </w:r>
    </w:p>
    <w:p>
      <w:pPr>
        <w:numPr>
          <w:ilvl w:val="0"/>
          <w:numId w:val="2"/>
        </w:numPr>
        <w:ind w:firstLine="640" w:firstLineChars="200"/>
        <w:rPr>
          <w:rFonts w:ascii="仿宋" w:hAnsi="仿宋" w:cs="仿宋"/>
          <w:szCs w:val="32"/>
        </w:rPr>
      </w:pPr>
      <w:r>
        <w:rPr>
          <w:rFonts w:hint="eastAsia" w:ascii="仿宋" w:hAnsi="仿宋" w:cs="仿宋"/>
          <w:szCs w:val="32"/>
        </w:rPr>
        <w:t>其他违反规定插手干预工程建设项目的行为。</w:t>
      </w:r>
    </w:p>
    <w:p>
      <w:pPr>
        <w:numPr>
          <w:ilvl w:val="0"/>
          <w:numId w:val="1"/>
        </w:numPr>
        <w:ind w:firstLine="640" w:firstLineChars="200"/>
        <w:rPr>
          <w:rFonts w:ascii="仿宋" w:hAnsi="仿宋" w:cs="仿宋"/>
          <w:szCs w:val="32"/>
        </w:rPr>
      </w:pPr>
      <w:r>
        <w:rPr>
          <w:rFonts w:hint="eastAsia" w:ascii="仿宋" w:hAnsi="仿宋" w:cs="仿宋"/>
          <w:szCs w:val="32"/>
        </w:rPr>
        <w:t>领导干部违反规定插手干预工程建设项目和招投标活动，或者对本局、办工作人员和亲属违反规定插手干预工程建设项目和招投标活动的行为不制止、不查处，视其情节，依照有关法律法规，给予批评教育、党纪政纪处分；涉嫌犯罪的，移交司法机关追究法律责任。</w:t>
      </w:r>
    </w:p>
    <w:p>
      <w:pPr>
        <w:numPr>
          <w:ilvl w:val="0"/>
          <w:numId w:val="1"/>
        </w:numPr>
        <w:ind w:firstLine="640" w:firstLineChars="200"/>
        <w:rPr>
          <w:rFonts w:ascii="仿宋" w:hAnsi="仿宋" w:cs="仿宋"/>
          <w:szCs w:val="32"/>
        </w:rPr>
      </w:pPr>
      <w:r>
        <w:rPr>
          <w:rFonts w:hint="eastAsia" w:ascii="仿宋" w:hAnsi="仿宋" w:cs="仿宋"/>
          <w:szCs w:val="32"/>
        </w:rPr>
        <w:t xml:space="preserve"> 本规定自发布之日起施行。</w:t>
      </w:r>
    </w:p>
    <w:p>
      <w:pPr>
        <w:jc w:val="center"/>
        <w:rPr>
          <w:rFonts w:asciiTheme="majorEastAsia" w:hAnsiTheme="majorEastAsia" w:eastAsiaTheme="majorEastAsia" w:cstheme="majorEastAsia"/>
          <w:b/>
          <w:bCs/>
          <w:sz w:val="44"/>
          <w:szCs w:val="44"/>
        </w:rPr>
      </w:pPr>
    </w:p>
    <w:p>
      <w:pPr>
        <w:jc w:val="center"/>
        <w:rPr>
          <w:rFonts w:asciiTheme="majorEastAsia" w:hAnsiTheme="majorEastAsia" w:eastAsiaTheme="majorEastAsia" w:cstheme="majorEastAsia"/>
          <w:b/>
          <w:bCs/>
          <w:sz w:val="44"/>
          <w:szCs w:val="44"/>
        </w:rPr>
      </w:pPr>
    </w:p>
    <w:p>
      <w:pPr>
        <w:jc w:val="center"/>
        <w:rPr>
          <w:rFonts w:asciiTheme="majorEastAsia" w:hAnsiTheme="majorEastAsia" w:eastAsiaTheme="majorEastAsia" w:cstheme="majorEastAsia"/>
          <w:b/>
          <w:bCs/>
          <w:sz w:val="44"/>
          <w:szCs w:val="44"/>
        </w:rPr>
      </w:pPr>
    </w:p>
    <w:p>
      <w:pPr>
        <w:jc w:val="center"/>
        <w:rPr>
          <w:rFonts w:asciiTheme="majorEastAsia" w:hAnsiTheme="majorEastAsia" w:eastAsiaTheme="majorEastAsia" w:cstheme="majorEastAsia"/>
          <w:b/>
          <w:bCs/>
          <w:sz w:val="44"/>
          <w:szCs w:val="44"/>
        </w:rPr>
      </w:pPr>
    </w:p>
    <w:p>
      <w:pPr>
        <w:jc w:val="center"/>
        <w:rPr>
          <w:rFonts w:asciiTheme="majorEastAsia" w:hAnsiTheme="majorEastAsia" w:eastAsiaTheme="majorEastAsia" w:cstheme="majorEastAsia"/>
          <w:b/>
          <w:bCs/>
          <w:sz w:val="44"/>
          <w:szCs w:val="44"/>
        </w:rPr>
      </w:pPr>
    </w:p>
    <w:p>
      <w:pPr>
        <w:jc w:val="center"/>
        <w:rPr>
          <w:rFonts w:asciiTheme="majorEastAsia" w:hAnsiTheme="majorEastAsia" w:eastAsiaTheme="majorEastAsia" w:cstheme="majorEastAsia"/>
          <w:b/>
          <w:bCs/>
          <w:sz w:val="44"/>
          <w:szCs w:val="44"/>
        </w:rPr>
      </w:pPr>
    </w:p>
    <w:p>
      <w:pPr>
        <w:jc w:val="center"/>
        <w:rPr>
          <w:rFonts w:asciiTheme="majorEastAsia" w:hAnsiTheme="majorEastAsia" w:eastAsiaTheme="majorEastAsia" w:cstheme="majorEastAsia"/>
          <w:b/>
          <w:bCs/>
          <w:sz w:val="44"/>
          <w:szCs w:val="44"/>
        </w:rPr>
      </w:pPr>
    </w:p>
    <w:p>
      <w:pPr>
        <w:jc w:val="center"/>
        <w:rPr>
          <w:rFonts w:asciiTheme="majorEastAsia" w:hAnsiTheme="majorEastAsia" w:eastAsiaTheme="majorEastAsia" w:cstheme="majorEastAsia"/>
          <w:b/>
          <w:bCs/>
          <w:sz w:val="44"/>
          <w:szCs w:val="44"/>
        </w:rPr>
      </w:pPr>
    </w:p>
    <w:p>
      <w:pPr>
        <w:jc w:val="center"/>
        <w:rPr>
          <w:rFonts w:asciiTheme="majorEastAsia" w:hAnsiTheme="majorEastAsia" w:eastAsiaTheme="majorEastAsia" w:cstheme="majorEastAsia"/>
          <w:b/>
          <w:bCs/>
          <w:sz w:val="44"/>
          <w:szCs w:val="44"/>
        </w:rPr>
      </w:pPr>
    </w:p>
    <w:p>
      <w:pPr>
        <w:jc w:val="center"/>
        <w:rPr>
          <w:rFonts w:asciiTheme="majorEastAsia" w:hAnsiTheme="majorEastAsia" w:eastAsiaTheme="majorEastAsia" w:cstheme="majorEastAsia"/>
          <w:b/>
          <w:bCs/>
          <w:sz w:val="44"/>
          <w:szCs w:val="44"/>
        </w:rPr>
      </w:pPr>
    </w:p>
    <w:p>
      <w:pPr>
        <w:jc w:val="center"/>
        <w:rPr>
          <w:rFonts w:asciiTheme="majorEastAsia" w:hAnsiTheme="majorEastAsia" w:eastAsiaTheme="majorEastAsia" w:cstheme="majorEastAsia"/>
          <w:b/>
          <w:bCs/>
          <w:sz w:val="44"/>
          <w:szCs w:val="44"/>
        </w:rPr>
      </w:pPr>
    </w:p>
    <w:p>
      <w:pPr>
        <w:pStyle w:val="2"/>
        <w:rPr>
          <w:rFonts w:eastAsia="仿宋_GB2312"/>
          <w:sz w:val="32"/>
          <w:szCs w:val="32"/>
        </w:rPr>
      </w:pPr>
      <w:bookmarkStart w:id="70" w:name="_Toc24142"/>
      <w:bookmarkStart w:id="71" w:name="_Toc19799"/>
      <w:r>
        <w:rPr>
          <w:rFonts w:hint="eastAsia"/>
        </w:rPr>
        <w:t>6、党风廉政建设“一岗双责”制度</w:t>
      </w:r>
      <w:bookmarkEnd w:id="70"/>
      <w:bookmarkEnd w:id="71"/>
    </w:p>
    <w:p>
      <w:pPr>
        <w:adjustRightInd w:val="0"/>
        <w:snapToGrid w:val="0"/>
        <w:spacing w:line="600" w:lineRule="exact"/>
        <w:ind w:firstLine="640" w:firstLineChars="200"/>
        <w:outlineLvl w:val="0"/>
        <w:rPr>
          <w:rFonts w:eastAsia="黑体"/>
          <w:bCs/>
          <w:szCs w:val="32"/>
        </w:rPr>
      </w:pPr>
      <w:bookmarkStart w:id="72" w:name="_Toc27327"/>
      <w:bookmarkStart w:id="73" w:name="_Toc29750"/>
      <w:bookmarkStart w:id="74" w:name="_Toc16747"/>
      <w:bookmarkStart w:id="75" w:name="_Toc7662"/>
      <w:bookmarkStart w:id="76" w:name="_Toc16366"/>
      <w:r>
        <w:rPr>
          <w:rFonts w:eastAsia="黑体"/>
          <w:bCs/>
          <w:szCs w:val="32"/>
        </w:rPr>
        <w:t>一、党</w:t>
      </w:r>
      <w:r>
        <w:rPr>
          <w:rFonts w:hint="eastAsia" w:eastAsia="黑体"/>
          <w:bCs/>
          <w:szCs w:val="32"/>
        </w:rPr>
        <w:t>委</w:t>
      </w:r>
      <w:r>
        <w:rPr>
          <w:rFonts w:eastAsia="黑体"/>
          <w:bCs/>
          <w:szCs w:val="32"/>
        </w:rPr>
        <w:t>书记、</w:t>
      </w:r>
      <w:r>
        <w:rPr>
          <w:rFonts w:hint="eastAsia" w:eastAsia="黑体"/>
          <w:bCs/>
          <w:szCs w:val="32"/>
        </w:rPr>
        <w:t>主任</w:t>
      </w:r>
      <w:r>
        <w:rPr>
          <w:rFonts w:eastAsia="黑体"/>
          <w:bCs/>
          <w:szCs w:val="32"/>
        </w:rPr>
        <w:t>在党风廉政建设中承担以下领导责任：</w:t>
      </w:r>
      <w:bookmarkEnd w:id="72"/>
      <w:bookmarkEnd w:id="73"/>
      <w:bookmarkEnd w:id="74"/>
      <w:bookmarkEnd w:id="75"/>
      <w:bookmarkEnd w:id="76"/>
    </w:p>
    <w:p>
      <w:pPr>
        <w:adjustRightInd w:val="0"/>
        <w:snapToGrid w:val="0"/>
        <w:spacing w:line="600" w:lineRule="exact"/>
        <w:ind w:firstLine="640" w:firstLineChars="200"/>
        <w:rPr>
          <w:rFonts w:ascii="仿宋" w:hAnsi="仿宋" w:cs="仿宋"/>
          <w:szCs w:val="32"/>
        </w:rPr>
      </w:pPr>
      <w:r>
        <w:rPr>
          <w:rFonts w:hint="eastAsia" w:ascii="仿宋" w:hAnsi="仿宋" w:cs="仿宋"/>
          <w:szCs w:val="32"/>
        </w:rPr>
        <w:t>（一）对党风廉政建设工作任务进行责任分解，明确领导班子、领导干部在党风廉政建设中的职责和任务分工，并按照分工督促落实。</w:t>
      </w:r>
    </w:p>
    <w:p>
      <w:pPr>
        <w:adjustRightInd w:val="0"/>
        <w:snapToGrid w:val="0"/>
        <w:spacing w:line="600" w:lineRule="exact"/>
        <w:ind w:firstLine="640" w:firstLineChars="200"/>
        <w:rPr>
          <w:rFonts w:ascii="仿宋" w:hAnsi="仿宋" w:cs="仿宋"/>
          <w:szCs w:val="32"/>
        </w:rPr>
      </w:pPr>
      <w:r>
        <w:rPr>
          <w:rFonts w:hint="eastAsia" w:ascii="仿宋" w:hAnsi="仿宋" w:cs="仿宋"/>
          <w:szCs w:val="32"/>
        </w:rPr>
        <w:t>（二）定期听取班子成员党风廉政建设情况汇报，研究解决党风廉政建设工作中的问题。主动与班子成员开展谈心谈话，掌握干部思想动态，发现问题及早提醒。</w:t>
      </w:r>
    </w:p>
    <w:p>
      <w:pPr>
        <w:adjustRightInd w:val="0"/>
        <w:snapToGrid w:val="0"/>
        <w:spacing w:line="600" w:lineRule="exact"/>
        <w:ind w:firstLine="640" w:firstLineChars="200"/>
        <w:rPr>
          <w:rFonts w:ascii="仿宋" w:hAnsi="仿宋" w:cs="仿宋"/>
          <w:szCs w:val="32"/>
        </w:rPr>
      </w:pPr>
      <w:r>
        <w:rPr>
          <w:rFonts w:hint="eastAsia" w:ascii="仿宋" w:hAnsi="仿宋" w:cs="仿宋"/>
          <w:szCs w:val="32"/>
        </w:rPr>
        <w:t>（三）加大党风廉政建设的宣传教育力度，及时传达上级反腐倡廉的文件和指示，深入进行党性、党风、党纪教育和廉政教育，加强廉政文化建设。</w:t>
      </w:r>
    </w:p>
    <w:p>
      <w:pPr>
        <w:adjustRightInd w:val="0"/>
        <w:snapToGrid w:val="0"/>
        <w:spacing w:line="600" w:lineRule="exact"/>
        <w:ind w:firstLine="640" w:firstLineChars="200"/>
        <w:rPr>
          <w:rFonts w:ascii="仿宋" w:hAnsi="仿宋" w:cs="仿宋"/>
          <w:szCs w:val="32"/>
        </w:rPr>
      </w:pPr>
      <w:r>
        <w:rPr>
          <w:rFonts w:hint="eastAsia" w:ascii="仿宋" w:hAnsi="仿宋" w:cs="仿宋"/>
          <w:szCs w:val="32"/>
        </w:rPr>
        <w:t>（四）贯彻落实党风廉政各项制度，强化权力运行监督制约，建立健全民主决策机制，推进各项决策程序化和透明化。严格按照规定选拔任用干部，防止和纠正选人用人上的不正之风。</w:t>
      </w:r>
    </w:p>
    <w:p>
      <w:pPr>
        <w:adjustRightInd w:val="0"/>
        <w:snapToGrid w:val="0"/>
        <w:spacing w:line="600" w:lineRule="exact"/>
        <w:ind w:firstLine="640" w:firstLineChars="200"/>
        <w:rPr>
          <w:rFonts w:ascii="仿宋" w:hAnsi="仿宋" w:cs="仿宋"/>
          <w:szCs w:val="32"/>
        </w:rPr>
      </w:pPr>
      <w:r>
        <w:rPr>
          <w:rFonts w:hint="eastAsia" w:ascii="仿宋" w:hAnsi="仿宋" w:cs="仿宋"/>
          <w:szCs w:val="32"/>
        </w:rPr>
        <w:t>（五）负责落实市委关于党风廉政建设的部署和要求，分析研究党风廉政建设工作计划，坚持“两手抓、两手硬”，做到党风廉政建设与业务工作同研究、同部署、同落实、同考核。</w:t>
      </w:r>
    </w:p>
    <w:p>
      <w:pPr>
        <w:adjustRightInd w:val="0"/>
        <w:snapToGrid w:val="0"/>
        <w:spacing w:line="600" w:lineRule="exact"/>
        <w:ind w:firstLine="640" w:firstLineChars="200"/>
        <w:rPr>
          <w:rFonts w:ascii="仿宋" w:hAnsi="仿宋" w:cs="仿宋"/>
          <w:szCs w:val="32"/>
        </w:rPr>
      </w:pPr>
      <w:r>
        <w:rPr>
          <w:rFonts w:hint="eastAsia" w:ascii="仿宋" w:hAnsi="仿宋" w:cs="仿宋"/>
          <w:szCs w:val="32"/>
        </w:rPr>
        <w:t>（六）认真贯彻执行《中国共产党廉洁自律准则》和《中国共产党纪律处分条例》等党纪党规，以身作则，清正廉洁，管好班子，带好队伍，管好家属、子女和身边工作人员。</w:t>
      </w:r>
    </w:p>
    <w:p>
      <w:pPr>
        <w:adjustRightInd w:val="0"/>
        <w:snapToGrid w:val="0"/>
        <w:spacing w:line="600" w:lineRule="exact"/>
        <w:ind w:firstLine="640" w:firstLineChars="200"/>
        <w:outlineLvl w:val="0"/>
        <w:rPr>
          <w:rFonts w:eastAsia="黑体"/>
          <w:bCs/>
          <w:szCs w:val="32"/>
        </w:rPr>
      </w:pPr>
      <w:bookmarkStart w:id="77" w:name="_Toc30153"/>
      <w:bookmarkStart w:id="78" w:name="_Toc11033"/>
      <w:bookmarkStart w:id="79" w:name="_Toc4152"/>
      <w:bookmarkStart w:id="80" w:name="_Toc28855"/>
      <w:bookmarkStart w:id="81" w:name="_Toc31941"/>
      <w:r>
        <w:rPr>
          <w:rFonts w:eastAsia="黑体"/>
          <w:bCs/>
          <w:szCs w:val="32"/>
        </w:rPr>
        <w:t>二、</w:t>
      </w:r>
      <w:r>
        <w:rPr>
          <w:rFonts w:hint="eastAsia" w:eastAsia="黑体"/>
          <w:bCs/>
          <w:szCs w:val="32"/>
        </w:rPr>
        <w:t>党委</w:t>
      </w:r>
      <w:r>
        <w:rPr>
          <w:rFonts w:eastAsia="黑体"/>
          <w:bCs/>
          <w:szCs w:val="32"/>
        </w:rPr>
        <w:t>其他班子成员按照责任分工，在党风廉政建设中承担以下领导责任：</w:t>
      </w:r>
      <w:bookmarkEnd w:id="77"/>
      <w:bookmarkEnd w:id="78"/>
      <w:bookmarkEnd w:id="79"/>
      <w:bookmarkEnd w:id="80"/>
      <w:bookmarkEnd w:id="81"/>
    </w:p>
    <w:p>
      <w:pPr>
        <w:adjustRightInd w:val="0"/>
        <w:snapToGrid w:val="0"/>
        <w:spacing w:line="600" w:lineRule="exact"/>
        <w:ind w:firstLine="640" w:firstLineChars="200"/>
        <w:rPr>
          <w:rFonts w:ascii="仿宋" w:hAnsi="仿宋" w:cs="仿宋"/>
          <w:szCs w:val="32"/>
        </w:rPr>
      </w:pPr>
      <w:r>
        <w:rPr>
          <w:rFonts w:hint="eastAsia" w:ascii="仿宋" w:hAnsi="仿宋" w:cs="仿宋"/>
          <w:szCs w:val="32"/>
        </w:rPr>
        <w:t>（一）协助党委书记、主任抓好党风廉政建设，积极参与研究制定党风廉政建设方面的工作计划、制度和措施。 </w:t>
      </w:r>
    </w:p>
    <w:p>
      <w:pPr>
        <w:adjustRightInd w:val="0"/>
        <w:snapToGrid w:val="0"/>
        <w:spacing w:line="600" w:lineRule="exact"/>
        <w:ind w:firstLine="640" w:firstLineChars="200"/>
        <w:rPr>
          <w:rFonts w:ascii="仿宋" w:hAnsi="仿宋" w:cs="仿宋"/>
          <w:szCs w:val="32"/>
        </w:rPr>
      </w:pPr>
      <w:r>
        <w:rPr>
          <w:rFonts w:hint="eastAsia" w:ascii="仿宋" w:hAnsi="仿宋" w:cs="仿宋"/>
          <w:szCs w:val="32"/>
        </w:rPr>
        <w:t>（二）以身作则，廉洁自律，管好家属、子女和身边工作人员，认真贯彻执行《中国共产党廉洁自律准则》和《中国共产党纪律处分条例》等党纪、党规。 </w:t>
      </w:r>
    </w:p>
    <w:p>
      <w:pPr>
        <w:adjustRightInd w:val="0"/>
        <w:snapToGrid w:val="0"/>
        <w:spacing w:line="600" w:lineRule="exact"/>
        <w:ind w:firstLine="640" w:firstLineChars="200"/>
        <w:rPr>
          <w:rFonts w:ascii="仿宋" w:hAnsi="仿宋" w:cs="仿宋"/>
          <w:szCs w:val="32"/>
        </w:rPr>
      </w:pPr>
      <w:r>
        <w:rPr>
          <w:rFonts w:hint="eastAsia" w:ascii="仿宋" w:hAnsi="仿宋" w:cs="仿宋"/>
          <w:szCs w:val="32"/>
        </w:rPr>
        <w:t>（三）与所分管局办共同研究布置党风廉政建设工作，督促分管局办认真完成党风廉政建设工作任务。 </w:t>
      </w:r>
    </w:p>
    <w:p>
      <w:pPr>
        <w:adjustRightInd w:val="0"/>
        <w:snapToGrid w:val="0"/>
        <w:spacing w:line="600" w:lineRule="exact"/>
        <w:ind w:firstLine="640" w:firstLineChars="200"/>
        <w:rPr>
          <w:rFonts w:ascii="仿宋" w:hAnsi="仿宋" w:cs="仿宋"/>
          <w:szCs w:val="32"/>
        </w:rPr>
      </w:pPr>
      <w:r>
        <w:rPr>
          <w:rFonts w:hint="eastAsia" w:ascii="仿宋" w:hAnsi="仿宋" w:cs="仿宋"/>
          <w:szCs w:val="32"/>
        </w:rPr>
        <w:t>（四）对分管局办干部职工进行经常性的党风党纪廉政教育，增强党员干部拒腐防变能力。定期听取分管局办党风廉政情况汇报，同时向党委汇报分管范围内党风廉政建设落实情况。</w:t>
      </w:r>
    </w:p>
    <w:p>
      <w:pPr>
        <w:adjustRightInd w:val="0"/>
        <w:snapToGrid w:val="0"/>
        <w:spacing w:line="600" w:lineRule="exact"/>
        <w:ind w:firstLine="640" w:firstLineChars="200"/>
        <w:rPr>
          <w:rFonts w:ascii="仿宋" w:hAnsi="仿宋" w:cs="仿宋"/>
          <w:szCs w:val="32"/>
        </w:rPr>
      </w:pPr>
      <w:r>
        <w:rPr>
          <w:rFonts w:hint="eastAsia" w:ascii="仿宋" w:hAnsi="仿宋" w:cs="仿宋"/>
          <w:szCs w:val="32"/>
        </w:rPr>
        <w:t>（五）加强分管局办干部职工的监督管理，及时发现和解决工作中带有苗头性、倾向性的问题，适时与分管干部职工进行廉政谈话，了解思想动态，及时进行心理和情绪疏导，做到早提醒、早纠正。</w:t>
      </w:r>
    </w:p>
    <w:p>
      <w:pPr>
        <w:adjustRightInd w:val="0"/>
        <w:snapToGrid w:val="0"/>
        <w:spacing w:line="600" w:lineRule="exact"/>
        <w:ind w:firstLine="640" w:firstLineChars="200"/>
        <w:outlineLvl w:val="0"/>
        <w:rPr>
          <w:rFonts w:eastAsia="黑体"/>
          <w:b/>
          <w:szCs w:val="32"/>
        </w:rPr>
      </w:pPr>
      <w:bookmarkStart w:id="82" w:name="_Toc28537"/>
      <w:bookmarkStart w:id="83" w:name="_Toc8403"/>
      <w:bookmarkStart w:id="84" w:name="_Toc29191"/>
      <w:bookmarkStart w:id="85" w:name="_Toc15315"/>
      <w:bookmarkStart w:id="86" w:name="_Toc12021"/>
      <w:r>
        <w:rPr>
          <w:rFonts w:eastAsia="黑体"/>
          <w:bCs/>
          <w:szCs w:val="32"/>
        </w:rPr>
        <w:t>三、各</w:t>
      </w:r>
      <w:r>
        <w:rPr>
          <w:rFonts w:hint="eastAsia" w:eastAsia="黑体"/>
          <w:bCs/>
          <w:szCs w:val="32"/>
        </w:rPr>
        <w:t>局办</w:t>
      </w:r>
      <w:r>
        <w:rPr>
          <w:rFonts w:eastAsia="黑体"/>
          <w:bCs/>
          <w:szCs w:val="32"/>
        </w:rPr>
        <w:t>主要负责人在党风廉政建设工作中的责任：</w:t>
      </w:r>
      <w:bookmarkEnd w:id="82"/>
      <w:bookmarkEnd w:id="83"/>
      <w:bookmarkEnd w:id="84"/>
      <w:bookmarkEnd w:id="85"/>
      <w:bookmarkEnd w:id="86"/>
    </w:p>
    <w:p>
      <w:pPr>
        <w:adjustRightInd w:val="0"/>
        <w:snapToGrid w:val="0"/>
        <w:spacing w:line="600" w:lineRule="exact"/>
        <w:ind w:firstLine="640" w:firstLineChars="200"/>
        <w:rPr>
          <w:rFonts w:ascii="仿宋" w:hAnsi="仿宋" w:cs="仿宋"/>
          <w:szCs w:val="32"/>
        </w:rPr>
      </w:pPr>
      <w:r>
        <w:rPr>
          <w:rFonts w:hint="eastAsia" w:ascii="仿宋" w:hAnsi="仿宋" w:cs="仿宋"/>
          <w:szCs w:val="32"/>
        </w:rPr>
        <w:t>（一）贯彻落实党委关于党风廉政建设的部署要求，认真抓好落实。</w:t>
      </w:r>
    </w:p>
    <w:p>
      <w:pPr>
        <w:adjustRightInd w:val="0"/>
        <w:snapToGrid w:val="0"/>
        <w:spacing w:line="600" w:lineRule="exact"/>
        <w:ind w:firstLine="640" w:firstLineChars="200"/>
        <w:rPr>
          <w:rFonts w:ascii="仿宋" w:hAnsi="仿宋" w:cs="仿宋"/>
          <w:szCs w:val="32"/>
        </w:rPr>
      </w:pPr>
      <w:r>
        <w:rPr>
          <w:rFonts w:hint="eastAsia" w:ascii="仿宋" w:hAnsi="仿宋" w:cs="仿宋"/>
          <w:szCs w:val="32"/>
        </w:rPr>
        <w:t>（二）加强本局办干部职工的廉政教育，严格管理，严格监督，预防廉政风险。</w:t>
      </w:r>
    </w:p>
    <w:p>
      <w:pPr>
        <w:adjustRightInd w:val="0"/>
        <w:snapToGrid w:val="0"/>
        <w:spacing w:line="600" w:lineRule="exact"/>
        <w:ind w:firstLine="640" w:firstLineChars="200"/>
        <w:rPr>
          <w:rFonts w:ascii="仿宋" w:hAnsi="仿宋" w:cs="仿宋"/>
          <w:szCs w:val="32"/>
        </w:rPr>
      </w:pPr>
      <w:r>
        <w:rPr>
          <w:rFonts w:hint="eastAsia" w:ascii="仿宋" w:hAnsi="仿宋" w:cs="仿宋"/>
          <w:szCs w:val="32"/>
        </w:rPr>
        <w:t>（三）加强作风建设，认真对待群众的来信、来访，切实关心、帮助、解决群众提出的合理要求。 </w:t>
      </w:r>
    </w:p>
    <w:p>
      <w:pPr>
        <w:adjustRightInd w:val="0"/>
        <w:snapToGrid w:val="0"/>
        <w:spacing w:line="600" w:lineRule="exact"/>
        <w:ind w:firstLine="640" w:firstLineChars="200"/>
        <w:rPr>
          <w:rFonts w:ascii="仿宋" w:hAnsi="仿宋" w:cs="仿宋"/>
          <w:szCs w:val="32"/>
        </w:rPr>
      </w:pPr>
      <w:r>
        <w:rPr>
          <w:rFonts w:hint="eastAsia" w:ascii="仿宋" w:hAnsi="仿宋" w:cs="仿宋"/>
          <w:szCs w:val="32"/>
        </w:rPr>
        <w:t>（四）认真遵守党风廉政建设各项规定，对党风廉政建设方面存在的倾向性问题，及时进行整改。</w:t>
      </w:r>
    </w:p>
    <w:p>
      <w:pPr>
        <w:adjustRightInd w:val="0"/>
        <w:snapToGrid w:val="0"/>
        <w:spacing w:line="600" w:lineRule="exact"/>
        <w:ind w:firstLine="640" w:firstLineChars="200"/>
        <w:outlineLvl w:val="0"/>
        <w:rPr>
          <w:rFonts w:eastAsia="黑体"/>
          <w:b/>
          <w:szCs w:val="32"/>
        </w:rPr>
      </w:pPr>
      <w:bookmarkStart w:id="87" w:name="_Toc12210"/>
      <w:bookmarkStart w:id="88" w:name="_Toc5539"/>
      <w:bookmarkStart w:id="89" w:name="_Toc4048"/>
      <w:bookmarkStart w:id="90" w:name="_Toc5438"/>
      <w:bookmarkStart w:id="91" w:name="_Toc29982"/>
      <w:r>
        <w:rPr>
          <w:rFonts w:hint="eastAsia" w:eastAsia="黑体"/>
          <w:bCs/>
          <w:szCs w:val="32"/>
        </w:rPr>
        <w:t>四、本制度自发布之日起执行。</w:t>
      </w:r>
      <w:bookmarkEnd w:id="87"/>
      <w:bookmarkEnd w:id="88"/>
      <w:bookmarkEnd w:id="89"/>
      <w:bookmarkEnd w:id="90"/>
      <w:bookmarkEnd w:id="91"/>
    </w:p>
    <w:p>
      <w:pPr>
        <w:ind w:firstLine="640" w:firstLineChars="200"/>
        <w:rPr>
          <w:rFonts w:eastAsia="仿宋_GB2312"/>
          <w:szCs w:val="32"/>
        </w:rPr>
      </w:pPr>
    </w:p>
    <w:p>
      <w:pPr>
        <w:ind w:firstLine="640" w:firstLineChars="200"/>
        <w:rPr>
          <w:rFonts w:eastAsia="仿宋_GB2312"/>
          <w:szCs w:val="32"/>
        </w:rPr>
      </w:pPr>
    </w:p>
    <w:p>
      <w:pPr>
        <w:ind w:firstLine="640" w:firstLineChars="200"/>
        <w:rPr>
          <w:rFonts w:eastAsia="仿宋_GB2312"/>
          <w:szCs w:val="32"/>
        </w:rPr>
      </w:pPr>
    </w:p>
    <w:p>
      <w:pPr>
        <w:ind w:firstLine="640" w:firstLineChars="200"/>
        <w:rPr>
          <w:rFonts w:eastAsia="仿宋_GB2312"/>
          <w:szCs w:val="32"/>
        </w:rPr>
      </w:pPr>
    </w:p>
    <w:p>
      <w:pPr>
        <w:ind w:firstLine="640" w:firstLineChars="200"/>
        <w:rPr>
          <w:rFonts w:eastAsia="仿宋_GB2312"/>
          <w:szCs w:val="32"/>
        </w:rPr>
      </w:pPr>
    </w:p>
    <w:p>
      <w:pPr>
        <w:ind w:firstLine="640" w:firstLineChars="200"/>
        <w:rPr>
          <w:rFonts w:eastAsia="仿宋_GB2312"/>
          <w:szCs w:val="32"/>
        </w:rPr>
      </w:pPr>
    </w:p>
    <w:p>
      <w:pPr>
        <w:ind w:firstLine="640" w:firstLineChars="200"/>
        <w:rPr>
          <w:rFonts w:eastAsia="仿宋_GB2312"/>
          <w:szCs w:val="32"/>
        </w:rPr>
      </w:pPr>
    </w:p>
    <w:p>
      <w:pPr>
        <w:ind w:firstLine="640" w:firstLineChars="200"/>
        <w:rPr>
          <w:rFonts w:eastAsia="仿宋_GB2312"/>
          <w:szCs w:val="32"/>
        </w:rPr>
      </w:pPr>
    </w:p>
    <w:p>
      <w:pPr>
        <w:ind w:firstLine="640" w:firstLineChars="200"/>
        <w:rPr>
          <w:rFonts w:eastAsia="仿宋_GB2312"/>
          <w:szCs w:val="32"/>
        </w:rPr>
        <w:sectPr>
          <w:pgSz w:w="11906" w:h="16838"/>
          <w:pgMar w:top="1440" w:right="1800" w:bottom="1440" w:left="1800" w:header="851" w:footer="992" w:gutter="0"/>
          <w:pgNumType w:fmt="numberInDash"/>
          <w:cols w:space="720" w:num="1"/>
          <w:docGrid w:type="lines" w:linePitch="312" w:charSpace="0"/>
        </w:sectPr>
      </w:pPr>
    </w:p>
    <w:p>
      <w:pPr>
        <w:rPr>
          <w:rStyle w:val="21"/>
        </w:rPr>
      </w:pPr>
      <w:bookmarkStart w:id="92" w:name="_Toc25882"/>
      <w:bookmarkStart w:id="93" w:name="_Toc29684"/>
      <w:r>
        <w:rPr>
          <w:rStyle w:val="21"/>
          <w:rFonts w:hint="eastAsia"/>
        </w:rPr>
        <w:drawing>
          <wp:inline distT="0" distB="0" distL="114300" distR="114300">
            <wp:extent cx="6205855" cy="8170545"/>
            <wp:effectExtent l="0" t="0" r="4445" b="1905"/>
            <wp:docPr id="117" name="图片 117" descr="党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党风"/>
                    <pic:cNvPicPr>
                      <a:picLocks noChangeAspect="1"/>
                    </pic:cNvPicPr>
                  </pic:nvPicPr>
                  <pic:blipFill>
                    <a:blip r:embed="rId16"/>
                    <a:stretch>
                      <a:fillRect/>
                    </a:stretch>
                  </pic:blipFill>
                  <pic:spPr>
                    <a:xfrm>
                      <a:off x="0" y="0"/>
                      <a:ext cx="6205855" cy="8170545"/>
                    </a:xfrm>
                    <a:prstGeom prst="rect">
                      <a:avLst/>
                    </a:prstGeom>
                  </pic:spPr>
                </pic:pic>
              </a:graphicData>
            </a:graphic>
          </wp:inline>
        </w:drawing>
      </w:r>
    </w:p>
    <w:bookmarkEnd w:id="92"/>
    <w:p>
      <w:pPr>
        <w:rPr>
          <w:rStyle w:val="21"/>
        </w:rPr>
      </w:pPr>
    </w:p>
    <w:p>
      <w:pPr>
        <w:ind w:firstLine="1325" w:firstLineChars="300"/>
        <w:rPr>
          <w:rFonts w:ascii="仿宋" w:hAnsi="仿宋"/>
          <w:szCs w:val="32"/>
        </w:rPr>
      </w:pPr>
      <w:bookmarkStart w:id="94" w:name="_Toc26301"/>
      <w:r>
        <w:rPr>
          <w:rStyle w:val="21"/>
          <w:rFonts w:hint="eastAsia"/>
        </w:rPr>
        <w:t>7、选人用人</w:t>
      </w:r>
      <w:r>
        <w:rPr>
          <w:rStyle w:val="21"/>
        </w:rPr>
        <w:t>监督</w:t>
      </w:r>
      <w:r>
        <w:rPr>
          <w:rStyle w:val="21"/>
          <w:rFonts w:hint="eastAsia"/>
        </w:rPr>
        <w:t>管理制度</w:t>
      </w:r>
      <w:r>
        <w:rPr>
          <w:rStyle w:val="21"/>
        </w:rPr>
        <w:t>(试行)</w:t>
      </w:r>
      <w:bookmarkEnd w:id="93"/>
      <w:bookmarkEnd w:id="94"/>
      <w:r>
        <w:br w:type="textWrapping"/>
      </w:r>
      <w:r>
        <w:rPr>
          <w:rFonts w:hint="eastAsia" w:ascii="黑体" w:hAnsi="黑体" w:eastAsia="黑体"/>
          <w:szCs w:val="32"/>
        </w:rPr>
        <w:t xml:space="preserve">                     </w:t>
      </w:r>
      <w:r>
        <w:rPr>
          <w:rFonts w:ascii="黑体" w:hAnsi="黑体" w:eastAsia="黑体"/>
          <w:szCs w:val="32"/>
        </w:rPr>
        <w:t>第一</w:t>
      </w:r>
      <w:r>
        <w:rPr>
          <w:rFonts w:hint="eastAsia" w:ascii="黑体" w:hAnsi="黑体" w:eastAsia="黑体"/>
          <w:szCs w:val="32"/>
        </w:rPr>
        <w:t xml:space="preserve">   </w:t>
      </w:r>
      <w:r>
        <w:rPr>
          <w:rFonts w:ascii="黑体" w:hAnsi="黑体" w:eastAsia="黑体"/>
          <w:szCs w:val="32"/>
        </w:rPr>
        <w:t>总则</w:t>
      </w:r>
      <w:r>
        <w:rPr>
          <w:szCs w:val="32"/>
        </w:rPr>
        <w:br w:type="textWrapping"/>
      </w:r>
      <w:r>
        <w:rPr>
          <w:rFonts w:hint="eastAsia" w:ascii="仿宋" w:hAnsi="仿宋"/>
          <w:szCs w:val="32"/>
        </w:rPr>
        <w:t xml:space="preserve">    </w:t>
      </w:r>
      <w:r>
        <w:rPr>
          <w:rFonts w:ascii="仿宋" w:hAnsi="仿宋"/>
          <w:szCs w:val="32"/>
        </w:rPr>
        <w:t>第一条为规范党</w:t>
      </w:r>
      <w:r>
        <w:rPr>
          <w:rFonts w:hint="eastAsia" w:ascii="仿宋" w:hAnsi="仿宋"/>
          <w:szCs w:val="32"/>
        </w:rPr>
        <w:t>员</w:t>
      </w:r>
      <w:r>
        <w:rPr>
          <w:rFonts w:ascii="仿宋" w:hAnsi="仿宋"/>
          <w:szCs w:val="32"/>
        </w:rPr>
        <w:t>领导干部选拔任用工作，努力建设高素质的领导干部队伍，根据《党政领导干部</w:t>
      </w:r>
      <w:r>
        <w:rPr>
          <w:rFonts w:hint="eastAsia" w:ascii="仿宋" w:hAnsi="仿宋"/>
          <w:szCs w:val="32"/>
        </w:rPr>
        <w:t>选</w:t>
      </w:r>
      <w:r>
        <w:rPr>
          <w:rFonts w:ascii="仿宋" w:hAnsi="仿宋"/>
          <w:szCs w:val="32"/>
        </w:rPr>
        <w:t>拔任用工作条例》(以下简称《干部任用条例》)和中央关于《党政领导干部</w:t>
      </w:r>
      <w:r>
        <w:rPr>
          <w:rFonts w:hint="eastAsia" w:ascii="仿宋" w:hAnsi="仿宋"/>
          <w:szCs w:val="32"/>
        </w:rPr>
        <w:t>选拔</w:t>
      </w:r>
      <w:r>
        <w:rPr>
          <w:rFonts w:ascii="仿宋" w:hAnsi="仿宋"/>
          <w:szCs w:val="32"/>
        </w:rPr>
        <w:t>任用工作监督检办法(试行)》的有关期定，制定本</w:t>
      </w:r>
      <w:r>
        <w:rPr>
          <w:rFonts w:hint="eastAsia" w:ascii="仿宋" w:hAnsi="仿宋"/>
          <w:szCs w:val="32"/>
        </w:rPr>
        <w:t>制度。</w:t>
      </w:r>
      <w:r>
        <w:rPr>
          <w:rFonts w:ascii="仿宋" w:hAnsi="仿宋"/>
          <w:szCs w:val="32"/>
        </w:rPr>
        <w:br w:type="textWrapping"/>
      </w:r>
      <w:r>
        <w:rPr>
          <w:rFonts w:hint="eastAsia" w:ascii="仿宋" w:hAnsi="仿宋"/>
          <w:szCs w:val="32"/>
        </w:rPr>
        <w:t xml:space="preserve">    </w:t>
      </w:r>
      <w:r>
        <w:rPr>
          <w:rFonts w:ascii="仿宋" w:hAnsi="仿宋"/>
          <w:szCs w:val="32"/>
        </w:rPr>
        <w:t>第二条党政领导干部选拔任用的监督，以</w:t>
      </w:r>
      <w:r>
        <w:rPr>
          <w:rFonts w:hint="eastAsia" w:ascii="仿宋" w:hAnsi="仿宋"/>
          <w:szCs w:val="32"/>
        </w:rPr>
        <w:t>习近平新时代中国特色社会主义</w:t>
      </w:r>
      <w:r>
        <w:rPr>
          <w:rFonts w:ascii="仿宋" w:hAnsi="仿宋"/>
          <w:szCs w:val="32"/>
        </w:rPr>
        <w:t>思想为指导，坚持党要管党、从严治党的方针加强对党政导干部选拔任用工作的全过程监督，坚决防止和纠正选人用人上的不正之风，保证党的干部路线、方针、政策全面正确地</w:t>
      </w:r>
      <w:r>
        <w:rPr>
          <w:rFonts w:hint="eastAsia" w:ascii="仿宋" w:hAnsi="仿宋"/>
          <w:szCs w:val="32"/>
        </w:rPr>
        <w:t>贯彻落实。</w:t>
      </w:r>
    </w:p>
    <w:p>
      <w:pPr>
        <w:ind w:firstLine="640" w:firstLineChars="200"/>
        <w:rPr>
          <w:rFonts w:ascii="仿宋" w:hAnsi="仿宋"/>
          <w:szCs w:val="32"/>
        </w:rPr>
      </w:pPr>
      <w:r>
        <w:rPr>
          <w:rFonts w:ascii="仿宋" w:hAnsi="仿宋"/>
          <w:szCs w:val="32"/>
        </w:rPr>
        <w:t>第三条党政领导干部</w:t>
      </w:r>
      <w:r>
        <w:rPr>
          <w:rFonts w:hint="eastAsia" w:ascii="仿宋" w:hAnsi="仿宋"/>
          <w:szCs w:val="32"/>
        </w:rPr>
        <w:t>选拔</w:t>
      </w:r>
      <w:r>
        <w:rPr>
          <w:rFonts w:ascii="仿宋" w:hAnsi="仿宋"/>
          <w:szCs w:val="32"/>
        </w:rPr>
        <w:t>任用工作的监督遵循下列原则:</w:t>
      </w:r>
      <w:r>
        <w:rPr>
          <w:rFonts w:ascii="仿宋" w:hAnsi="仿宋"/>
          <w:szCs w:val="32"/>
        </w:rPr>
        <w:br w:type="textWrapping"/>
      </w:r>
      <w:r>
        <w:rPr>
          <w:rFonts w:hint="eastAsia" w:ascii="仿宋" w:hAnsi="仿宋"/>
          <w:szCs w:val="32"/>
        </w:rPr>
        <w:t xml:space="preserve">    </w:t>
      </w:r>
      <w:r>
        <w:rPr>
          <w:rFonts w:ascii="仿宋" w:hAnsi="仿宋"/>
          <w:szCs w:val="32"/>
        </w:rPr>
        <w:t>(</w:t>
      </w:r>
      <w:r>
        <w:rPr>
          <w:rFonts w:hint="eastAsia" w:ascii="仿宋" w:hAnsi="仿宋"/>
          <w:szCs w:val="32"/>
        </w:rPr>
        <w:t>一</w:t>
      </w:r>
      <w:r>
        <w:rPr>
          <w:rFonts w:ascii="仿宋" w:hAnsi="仿宋"/>
          <w:szCs w:val="32"/>
        </w:rPr>
        <w:t>)党委领导、分级负责原则</w:t>
      </w:r>
      <w:r>
        <w:rPr>
          <w:rFonts w:ascii="仿宋" w:hAnsi="仿宋"/>
          <w:szCs w:val="32"/>
        </w:rPr>
        <w:br w:type="textWrapping"/>
      </w:r>
      <w:r>
        <w:rPr>
          <w:rFonts w:hint="eastAsia" w:ascii="仿宋" w:hAnsi="仿宋"/>
          <w:szCs w:val="32"/>
        </w:rPr>
        <w:t xml:space="preserve">    </w:t>
      </w:r>
      <w:r>
        <w:rPr>
          <w:rFonts w:ascii="仿宋" w:hAnsi="仿宋"/>
          <w:szCs w:val="32"/>
        </w:rPr>
        <w:t>(二)实事求是、客观公正原</w:t>
      </w:r>
      <w:r>
        <w:rPr>
          <w:rFonts w:hint="eastAsia" w:ascii="仿宋" w:hAnsi="仿宋"/>
          <w:szCs w:val="32"/>
        </w:rPr>
        <w:t>则</w:t>
      </w:r>
      <w:r>
        <w:rPr>
          <w:rFonts w:ascii="仿宋" w:hAnsi="仿宋"/>
          <w:szCs w:val="32"/>
        </w:rPr>
        <w:t>;</w:t>
      </w:r>
    </w:p>
    <w:p>
      <w:pPr>
        <w:ind w:left="640" w:leftChars="200"/>
        <w:rPr>
          <w:rFonts w:ascii="仿宋" w:hAnsi="仿宋"/>
          <w:szCs w:val="32"/>
        </w:rPr>
      </w:pPr>
      <w:r>
        <w:rPr>
          <w:rFonts w:ascii="仿宋" w:hAnsi="仿宋"/>
          <w:szCs w:val="32"/>
        </w:rPr>
        <w:t>(三</w:t>
      </w:r>
      <w:r>
        <w:rPr>
          <w:rFonts w:hint="eastAsia" w:ascii="仿宋" w:hAnsi="仿宋"/>
          <w:szCs w:val="32"/>
        </w:rPr>
        <w:t>）</w:t>
      </w:r>
      <w:r>
        <w:rPr>
          <w:rFonts w:ascii="仿宋" w:hAnsi="仿宋"/>
          <w:szCs w:val="32"/>
        </w:rPr>
        <w:t>扩大民主、群众参与原则</w:t>
      </w:r>
      <w:r>
        <w:rPr>
          <w:rFonts w:ascii="仿宋" w:hAnsi="仿宋"/>
          <w:szCs w:val="32"/>
        </w:rPr>
        <w:br w:type="textWrapping"/>
      </w:r>
      <w:r>
        <w:rPr>
          <w:rFonts w:ascii="仿宋" w:hAnsi="仿宋"/>
          <w:szCs w:val="32"/>
        </w:rPr>
        <w:t>(四)全程监督、预防为主原则;</w:t>
      </w:r>
      <w:r>
        <w:rPr>
          <w:rFonts w:ascii="仿宋" w:hAnsi="仿宋"/>
          <w:szCs w:val="32"/>
        </w:rPr>
        <w:br w:type="textWrapping"/>
      </w:r>
      <w:r>
        <w:rPr>
          <w:rFonts w:ascii="仿宋" w:hAnsi="仿宋"/>
          <w:szCs w:val="32"/>
        </w:rPr>
        <w:t>(五)依法依纪监督、</w:t>
      </w:r>
      <w:r>
        <w:rPr>
          <w:rFonts w:hint="eastAsia" w:ascii="仿宋" w:hAnsi="仿宋"/>
          <w:szCs w:val="32"/>
        </w:rPr>
        <w:t>违</w:t>
      </w:r>
      <w:r>
        <w:rPr>
          <w:rFonts w:ascii="仿宋" w:hAnsi="仿宋"/>
          <w:szCs w:val="32"/>
        </w:rPr>
        <w:t>法违纪必纠原则</w:t>
      </w:r>
    </w:p>
    <w:p>
      <w:pPr>
        <w:ind w:firstLine="640" w:firstLineChars="200"/>
        <w:rPr>
          <w:rFonts w:ascii="仿宋" w:hAnsi="仿宋"/>
          <w:szCs w:val="32"/>
        </w:rPr>
      </w:pPr>
      <w:r>
        <w:rPr>
          <w:rFonts w:ascii="仿宋" w:hAnsi="仿宋"/>
          <w:szCs w:val="32"/>
        </w:rPr>
        <w:t>第四条本办法规定的监督对象是《干部任用条例》适用和参照范国内的党委(党组);党政领导干部特别是主要领导成员。</w:t>
      </w:r>
      <w:r>
        <w:rPr>
          <w:rFonts w:ascii="仿宋" w:hAnsi="仿宋"/>
          <w:szCs w:val="32"/>
        </w:rPr>
        <w:br w:type="textWrapping"/>
      </w:r>
      <w:r>
        <w:rPr>
          <w:rFonts w:hint="eastAsia" w:ascii="仿宋" w:hAnsi="仿宋"/>
          <w:szCs w:val="32"/>
        </w:rPr>
        <w:t xml:space="preserve">    </w:t>
      </w:r>
      <w:r>
        <w:rPr>
          <w:rFonts w:ascii="仿宋" w:hAnsi="仿宋"/>
          <w:szCs w:val="32"/>
        </w:rPr>
        <w:t>第五条党委及其组织人事部门，按照干部管理权限行对党政领导干部选拔任用工作监督的职责。组织(人事)部干部监督机构具体负责本办法的组织实施</w:t>
      </w:r>
      <w:r>
        <w:rPr>
          <w:rFonts w:hint="eastAsia" w:ascii="仿宋" w:hAnsi="仿宋"/>
          <w:szCs w:val="32"/>
        </w:rPr>
        <w:t>。</w:t>
      </w:r>
    </w:p>
    <w:p>
      <w:pPr>
        <w:ind w:firstLine="640" w:firstLineChars="200"/>
        <w:rPr>
          <w:rFonts w:ascii="仿宋" w:hAnsi="仿宋"/>
          <w:szCs w:val="32"/>
        </w:rPr>
      </w:pPr>
      <w:r>
        <w:rPr>
          <w:rFonts w:hint="eastAsia" w:ascii="仿宋" w:hAnsi="仿宋"/>
          <w:szCs w:val="32"/>
        </w:rPr>
        <w:t>第六条将个人信用状况纳入考核体系。</w:t>
      </w:r>
      <w:r>
        <w:rPr>
          <w:rFonts w:ascii="仿宋" w:hAnsi="仿宋"/>
          <w:szCs w:val="32"/>
        </w:rPr>
        <w:br w:type="textWrapping"/>
      </w:r>
      <w:r>
        <w:rPr>
          <w:rFonts w:hint="eastAsia" w:ascii="黑体" w:hAnsi="黑体" w:eastAsia="黑体"/>
          <w:szCs w:val="32"/>
        </w:rPr>
        <w:t xml:space="preserve">                  </w:t>
      </w:r>
      <w:r>
        <w:rPr>
          <w:rFonts w:ascii="黑体" w:hAnsi="黑体" w:eastAsia="黑体"/>
          <w:szCs w:val="32"/>
        </w:rPr>
        <w:t>第二</w:t>
      </w:r>
      <w:r>
        <w:rPr>
          <w:rFonts w:hint="eastAsia" w:ascii="黑体" w:hAnsi="黑体" w:eastAsia="黑体"/>
          <w:szCs w:val="32"/>
        </w:rPr>
        <w:t xml:space="preserve">   </w:t>
      </w:r>
      <w:r>
        <w:rPr>
          <w:rFonts w:ascii="黑体" w:hAnsi="黑体" w:eastAsia="黑体"/>
          <w:szCs w:val="32"/>
        </w:rPr>
        <w:t>监督内容</w:t>
      </w:r>
      <w:r>
        <w:rPr>
          <w:rFonts w:ascii="黑体" w:hAnsi="黑体" w:eastAsia="黑体"/>
          <w:szCs w:val="32"/>
        </w:rPr>
        <w:br w:type="textWrapping"/>
      </w:r>
      <w:r>
        <w:rPr>
          <w:rFonts w:hint="eastAsia" w:ascii="仿宋" w:hAnsi="仿宋"/>
          <w:szCs w:val="32"/>
        </w:rPr>
        <w:t xml:space="preserve">    </w:t>
      </w:r>
      <w:r>
        <w:rPr>
          <w:rFonts w:ascii="仿宋" w:hAnsi="仿宋"/>
          <w:szCs w:val="32"/>
        </w:rPr>
        <w:t>第</w:t>
      </w:r>
      <w:r>
        <w:rPr>
          <w:rFonts w:hint="eastAsia" w:ascii="仿宋" w:hAnsi="仿宋"/>
          <w:szCs w:val="32"/>
        </w:rPr>
        <w:t>七</w:t>
      </w:r>
      <w:r>
        <w:rPr>
          <w:rFonts w:ascii="仿宋" w:hAnsi="仿宋"/>
          <w:szCs w:val="32"/>
        </w:rPr>
        <w:t>条监督党政领导干部选拔任用工作原则的贯彻落实。督查《干部任用条例》规定的党管干部原则，任人为</w:t>
      </w:r>
      <w:r>
        <w:rPr>
          <w:rFonts w:hint="eastAsia" w:ascii="仿宋" w:hAnsi="仿宋"/>
          <w:szCs w:val="32"/>
        </w:rPr>
        <w:t>贤</w:t>
      </w:r>
      <w:r>
        <w:rPr>
          <w:rFonts w:ascii="仿宋" w:hAnsi="仿宋"/>
          <w:szCs w:val="32"/>
        </w:rPr>
        <w:t>、才</w:t>
      </w:r>
      <w:r>
        <w:rPr>
          <w:rFonts w:hint="eastAsia" w:ascii="仿宋" w:hAnsi="仿宋"/>
          <w:szCs w:val="32"/>
        </w:rPr>
        <w:t>德</w:t>
      </w:r>
      <w:r>
        <w:rPr>
          <w:rFonts w:ascii="仿宋" w:hAnsi="仿宋"/>
          <w:szCs w:val="32"/>
        </w:rPr>
        <w:t>兼备原则，群众公认、注重实绩原则，公开、平等、竟争、择优原则，民主集中制原则，依法办事原则的贯仞执行情况。</w:t>
      </w:r>
      <w:r>
        <w:rPr>
          <w:rFonts w:ascii="仿宋" w:hAnsi="仿宋"/>
          <w:szCs w:val="32"/>
        </w:rPr>
        <w:br w:type="textWrapping"/>
      </w:r>
      <w:r>
        <w:rPr>
          <w:rFonts w:hint="eastAsia" w:ascii="仿宋" w:hAnsi="仿宋"/>
          <w:szCs w:val="32"/>
        </w:rPr>
        <w:t xml:space="preserve">    </w:t>
      </w:r>
      <w:r>
        <w:rPr>
          <w:rFonts w:ascii="仿宋" w:hAnsi="仿宋"/>
          <w:szCs w:val="32"/>
        </w:rPr>
        <w:t>第</w:t>
      </w:r>
      <w:r>
        <w:rPr>
          <w:rFonts w:hint="eastAsia" w:ascii="仿宋" w:hAnsi="仿宋"/>
          <w:szCs w:val="32"/>
        </w:rPr>
        <w:t>八条</w:t>
      </w:r>
      <w:r>
        <w:rPr>
          <w:rFonts w:ascii="仿宋" w:hAnsi="仿宋"/>
          <w:szCs w:val="32"/>
        </w:rPr>
        <w:t>监督党</w:t>
      </w:r>
      <w:r>
        <w:rPr>
          <w:rFonts w:hint="eastAsia" w:ascii="仿宋" w:hAnsi="仿宋"/>
          <w:szCs w:val="32"/>
        </w:rPr>
        <w:t>领</w:t>
      </w:r>
      <w:r>
        <w:rPr>
          <w:rFonts w:ascii="仿宋" w:hAnsi="仿宋"/>
          <w:szCs w:val="32"/>
        </w:rPr>
        <w:t>导干部</w:t>
      </w:r>
      <w:r>
        <w:rPr>
          <w:rFonts w:hint="eastAsia" w:ascii="仿宋" w:hAnsi="仿宋"/>
          <w:szCs w:val="32"/>
        </w:rPr>
        <w:t>选拔</w:t>
      </w:r>
      <w:r>
        <w:rPr>
          <w:rFonts w:ascii="仿宋" w:hAnsi="仿宋"/>
          <w:szCs w:val="32"/>
        </w:rPr>
        <w:t>任用条件的执行。督查《干部任用条例》规定的党</w:t>
      </w:r>
      <w:r>
        <w:rPr>
          <w:rFonts w:hint="eastAsia" w:ascii="仿宋" w:hAnsi="仿宋"/>
          <w:szCs w:val="32"/>
        </w:rPr>
        <w:t>员</w:t>
      </w:r>
      <w:r>
        <w:rPr>
          <w:rFonts w:ascii="仿宋" w:hAnsi="仿宋"/>
          <w:szCs w:val="32"/>
        </w:rPr>
        <w:t>干部任职条件、任职</w:t>
      </w:r>
      <w:r>
        <w:rPr>
          <w:rFonts w:hint="eastAsia" w:ascii="仿宋" w:hAnsi="仿宋"/>
          <w:szCs w:val="32"/>
        </w:rPr>
        <w:t>资</w:t>
      </w:r>
      <w:r>
        <w:rPr>
          <w:rFonts w:ascii="仿宋" w:hAnsi="仿宋"/>
          <w:szCs w:val="32"/>
        </w:rPr>
        <w:t>格的执行情况，以及破格</w:t>
      </w:r>
      <w:r>
        <w:rPr>
          <w:rFonts w:hint="eastAsia" w:ascii="仿宋" w:hAnsi="仿宋"/>
          <w:szCs w:val="32"/>
        </w:rPr>
        <w:t>提拔</w:t>
      </w:r>
      <w:r>
        <w:rPr>
          <w:rFonts w:ascii="仿宋" w:hAnsi="仿宋"/>
          <w:szCs w:val="32"/>
        </w:rPr>
        <w:t>、越级</w:t>
      </w:r>
      <w:r>
        <w:rPr>
          <w:rFonts w:hint="eastAsia" w:ascii="仿宋" w:hAnsi="仿宋"/>
          <w:szCs w:val="32"/>
        </w:rPr>
        <w:t>提拔</w:t>
      </w:r>
      <w:r>
        <w:rPr>
          <w:rFonts w:ascii="仿宋" w:hAnsi="仿宋"/>
          <w:szCs w:val="32"/>
        </w:rPr>
        <w:t>干部的过程与结果。</w:t>
      </w:r>
      <w:r>
        <w:rPr>
          <w:rFonts w:ascii="仿宋" w:hAnsi="仿宋"/>
          <w:szCs w:val="32"/>
        </w:rPr>
        <w:br w:type="textWrapping"/>
      </w:r>
      <w:r>
        <w:rPr>
          <w:rFonts w:hint="eastAsia" w:ascii="仿宋" w:hAnsi="仿宋"/>
          <w:szCs w:val="32"/>
        </w:rPr>
        <w:t xml:space="preserve">    </w:t>
      </w:r>
      <w:r>
        <w:rPr>
          <w:rFonts w:ascii="仿宋" w:hAnsi="仿宋"/>
          <w:szCs w:val="32"/>
        </w:rPr>
        <w:t>第</w:t>
      </w:r>
      <w:r>
        <w:rPr>
          <w:rFonts w:hint="eastAsia" w:ascii="仿宋" w:hAnsi="仿宋"/>
          <w:szCs w:val="32"/>
        </w:rPr>
        <w:t>九</w:t>
      </w:r>
      <w:r>
        <w:rPr>
          <w:rFonts w:ascii="仿宋" w:hAnsi="仿宋"/>
          <w:szCs w:val="32"/>
        </w:rPr>
        <w:t>条监督党政领导干部选拔任用工作基本程序的履</w:t>
      </w:r>
      <w:r>
        <w:rPr>
          <w:rFonts w:hint="eastAsia" w:ascii="仿宋" w:hAnsi="仿宋"/>
          <w:szCs w:val="32"/>
        </w:rPr>
        <w:t>行。</w:t>
      </w:r>
      <w:r>
        <w:rPr>
          <w:rFonts w:ascii="仿宋" w:hAnsi="仿宋"/>
          <w:szCs w:val="32"/>
        </w:rPr>
        <w:br w:type="textWrapping"/>
      </w:r>
      <w:r>
        <w:rPr>
          <w:rFonts w:hint="eastAsia" w:ascii="仿宋" w:hAnsi="仿宋"/>
          <w:szCs w:val="32"/>
        </w:rPr>
        <w:t xml:space="preserve">    </w:t>
      </w:r>
      <w:r>
        <w:rPr>
          <w:rFonts w:ascii="仿宋" w:hAnsi="仿宋"/>
          <w:szCs w:val="32"/>
        </w:rPr>
        <w:t>(一)监督履行民主推荐程序。督查民主推荐方式的采用、范围的选定、程序的履行，以及运用民主推荐结果、确定考察对象人选、执行民主推荐责任制的过程与结果</w:t>
      </w:r>
      <w:r>
        <w:rPr>
          <w:rFonts w:hint="eastAsia" w:ascii="仿宋" w:hAnsi="仿宋"/>
          <w:szCs w:val="32"/>
        </w:rPr>
        <w:t>。</w:t>
      </w:r>
      <w:r>
        <w:rPr>
          <w:rFonts w:ascii="仿宋" w:hAnsi="仿宋"/>
          <w:szCs w:val="32"/>
        </w:rPr>
        <w:br w:type="textWrapping"/>
      </w:r>
      <w:r>
        <w:rPr>
          <w:rFonts w:hint="eastAsia" w:ascii="仿宋" w:hAnsi="仿宋"/>
          <w:szCs w:val="32"/>
        </w:rPr>
        <w:t xml:space="preserve">    </w:t>
      </w:r>
      <w:r>
        <w:rPr>
          <w:rFonts w:ascii="仿宋" w:hAnsi="仿宋"/>
          <w:szCs w:val="32"/>
        </w:rPr>
        <w:t>(二)监督履行考察程序。督查考察标准的制定、工作程序的履行、谈话和征求</w:t>
      </w:r>
      <w:r>
        <w:rPr>
          <w:rFonts w:hint="eastAsia" w:ascii="仿宋" w:hAnsi="仿宋"/>
          <w:szCs w:val="32"/>
        </w:rPr>
        <w:t>范围</w:t>
      </w:r>
      <w:r>
        <w:rPr>
          <w:rFonts w:ascii="仿宋" w:hAnsi="仿宋"/>
          <w:szCs w:val="32"/>
        </w:rPr>
        <w:t>的</w:t>
      </w:r>
      <w:r>
        <w:rPr>
          <w:rFonts w:hint="eastAsia" w:ascii="仿宋" w:hAnsi="仿宋"/>
          <w:szCs w:val="32"/>
        </w:rPr>
        <w:t>选定</w:t>
      </w:r>
      <w:r>
        <w:rPr>
          <w:rFonts w:ascii="仿宋" w:hAnsi="仿宋"/>
          <w:szCs w:val="32"/>
        </w:rPr>
        <w:t>，以及发布考察预告、按规定进行审计、建立考察文书档案、执行考察工作任制的过程与结果</w:t>
      </w:r>
      <w:r>
        <w:rPr>
          <w:rFonts w:hint="eastAsia" w:ascii="仿宋" w:hAnsi="仿宋"/>
          <w:szCs w:val="32"/>
        </w:rPr>
        <w:t>。</w:t>
      </w:r>
      <w:r>
        <w:rPr>
          <w:rFonts w:ascii="仿宋" w:hAnsi="仿宋"/>
          <w:szCs w:val="32"/>
        </w:rPr>
        <w:br w:type="textWrapping"/>
      </w:r>
      <w:r>
        <w:rPr>
          <w:rFonts w:hint="eastAsia" w:ascii="仿宋" w:hAnsi="仿宋"/>
          <w:szCs w:val="32"/>
        </w:rPr>
        <w:t xml:space="preserve">    </w:t>
      </w:r>
      <w:r>
        <w:rPr>
          <w:rFonts w:ascii="仿宋" w:hAnsi="仿宋"/>
          <w:szCs w:val="32"/>
        </w:rPr>
        <w:t>(三)监督履行酝酿程序。督查按照《干部任用条例》规定的范围进行</w:t>
      </w:r>
      <w:r>
        <w:rPr>
          <w:rFonts w:hint="eastAsia" w:ascii="仿宋" w:hAnsi="仿宋"/>
          <w:szCs w:val="32"/>
        </w:rPr>
        <w:t>酝酿</w:t>
      </w:r>
      <w:r>
        <w:rPr>
          <w:rFonts w:ascii="仿宋" w:hAnsi="仿宋"/>
          <w:szCs w:val="32"/>
        </w:rPr>
        <w:t>以及在提交党</w:t>
      </w:r>
      <w:r>
        <w:rPr>
          <w:rFonts w:hint="eastAsia" w:ascii="仿宋" w:hAnsi="仿宋"/>
          <w:szCs w:val="32"/>
        </w:rPr>
        <w:t>委会议</w:t>
      </w:r>
      <w:r>
        <w:rPr>
          <w:rFonts w:ascii="仿宋" w:hAnsi="仿宋"/>
          <w:szCs w:val="32"/>
        </w:rPr>
        <w:t>讨论</w:t>
      </w:r>
      <w:r>
        <w:rPr>
          <w:rFonts w:hint="eastAsia" w:ascii="仿宋" w:hAnsi="仿宋"/>
          <w:szCs w:val="32"/>
        </w:rPr>
        <w:t>决定</w:t>
      </w:r>
      <w:r>
        <w:rPr>
          <w:rFonts w:ascii="仿宋" w:hAnsi="仿宋"/>
          <w:szCs w:val="32"/>
        </w:rPr>
        <w:t>前征求纪检机关意见的过程与结果。</w:t>
      </w:r>
      <w:r>
        <w:rPr>
          <w:rFonts w:ascii="仿宋" w:hAnsi="仿宋"/>
          <w:szCs w:val="32"/>
        </w:rPr>
        <w:br w:type="textWrapping"/>
      </w:r>
      <w:r>
        <w:rPr>
          <w:rFonts w:hint="eastAsia" w:ascii="仿宋" w:hAnsi="仿宋"/>
          <w:szCs w:val="32"/>
        </w:rPr>
        <w:t xml:space="preserve">    </w:t>
      </w:r>
      <w:r>
        <w:rPr>
          <w:rFonts w:ascii="仿宋" w:hAnsi="仿宋"/>
          <w:szCs w:val="32"/>
        </w:rPr>
        <w:t>(四)监督履行讨论决定程序。督查讨论</w:t>
      </w:r>
      <w:r>
        <w:rPr>
          <w:rFonts w:hint="eastAsia" w:ascii="仿宋" w:hAnsi="仿宋"/>
          <w:szCs w:val="32"/>
        </w:rPr>
        <w:t>决定</w:t>
      </w:r>
      <w:r>
        <w:rPr>
          <w:rFonts w:ascii="仿宋" w:hAnsi="仿宋"/>
          <w:szCs w:val="32"/>
        </w:rPr>
        <w:t>程序的</w:t>
      </w:r>
      <w:r>
        <w:rPr>
          <w:rFonts w:hint="eastAsia" w:ascii="仿宋" w:hAnsi="仿宋"/>
          <w:szCs w:val="32"/>
        </w:rPr>
        <w:t>履行</w:t>
      </w:r>
      <w:r>
        <w:rPr>
          <w:rFonts w:ascii="仿宋" w:hAnsi="仿宋"/>
          <w:szCs w:val="32"/>
        </w:rPr>
        <w:t>、投票表决制度的执行，以及按照规定报告审查与备案、执行讨论</w:t>
      </w:r>
      <w:r>
        <w:rPr>
          <w:rFonts w:hint="eastAsia" w:ascii="仿宋" w:hAnsi="仿宋"/>
          <w:szCs w:val="32"/>
        </w:rPr>
        <w:t>决策</w:t>
      </w:r>
      <w:r>
        <w:rPr>
          <w:rFonts w:ascii="仿宋" w:hAnsi="仿宋"/>
          <w:szCs w:val="32"/>
        </w:rPr>
        <w:t>责任制的过程与结果。</w:t>
      </w:r>
      <w:r>
        <w:rPr>
          <w:rFonts w:ascii="仿宋" w:hAnsi="仿宋"/>
          <w:szCs w:val="32"/>
        </w:rPr>
        <w:br w:type="textWrapping"/>
      </w:r>
      <w:r>
        <w:rPr>
          <w:rFonts w:hint="eastAsia" w:ascii="仿宋" w:hAnsi="仿宋"/>
          <w:szCs w:val="32"/>
        </w:rPr>
        <w:t xml:space="preserve">    </w:t>
      </w:r>
      <w:r>
        <w:rPr>
          <w:rFonts w:ascii="仿宋" w:hAnsi="仿宋"/>
          <w:szCs w:val="32"/>
        </w:rPr>
        <w:t>(五)监督履行任职程序。督查履行有关法律、章程、规定，以及执行任职前公示制度、任职试用期制度、任</w:t>
      </w:r>
      <w:r>
        <w:rPr>
          <w:rFonts w:hint="eastAsia" w:ascii="仿宋" w:hAnsi="仿宋"/>
          <w:szCs w:val="32"/>
        </w:rPr>
        <w:t>职</w:t>
      </w:r>
      <w:r>
        <w:rPr>
          <w:rFonts w:ascii="仿宋" w:hAnsi="仿宋"/>
          <w:szCs w:val="32"/>
        </w:rPr>
        <w:t>制度的过程与结</w:t>
      </w:r>
      <w:r>
        <w:rPr>
          <w:rFonts w:hint="eastAsia" w:ascii="仿宋" w:hAnsi="仿宋"/>
          <w:szCs w:val="32"/>
        </w:rPr>
        <w:t>果。</w:t>
      </w:r>
      <w:r>
        <w:rPr>
          <w:rFonts w:ascii="仿宋" w:hAnsi="仿宋"/>
          <w:szCs w:val="32"/>
        </w:rPr>
        <w:br w:type="textWrapping"/>
      </w:r>
      <w:r>
        <w:rPr>
          <w:rFonts w:hint="eastAsia" w:ascii="仿宋" w:hAnsi="仿宋"/>
          <w:szCs w:val="32"/>
        </w:rPr>
        <w:t xml:space="preserve">    </w:t>
      </w:r>
      <w:r>
        <w:rPr>
          <w:rFonts w:ascii="仿宋" w:hAnsi="仿宋"/>
          <w:szCs w:val="32"/>
        </w:rPr>
        <w:t>(六)监督履行依法推荐、提名和协商程序的过程与结果</w:t>
      </w:r>
      <w:r>
        <w:rPr>
          <w:rFonts w:hint="eastAsia" w:ascii="仿宋" w:hAnsi="仿宋"/>
          <w:szCs w:val="32"/>
        </w:rPr>
        <w:t>。</w:t>
      </w:r>
      <w:r>
        <w:rPr>
          <w:rFonts w:ascii="仿宋" w:hAnsi="仿宋"/>
          <w:szCs w:val="32"/>
        </w:rPr>
        <w:br w:type="textWrapping"/>
      </w:r>
      <w:r>
        <w:rPr>
          <w:rFonts w:hint="eastAsia" w:ascii="仿宋" w:hAnsi="仿宋"/>
          <w:szCs w:val="32"/>
        </w:rPr>
        <w:t xml:space="preserve">    </w:t>
      </w:r>
      <w:r>
        <w:rPr>
          <w:rFonts w:ascii="仿宋" w:hAnsi="仿宋"/>
          <w:szCs w:val="32"/>
        </w:rPr>
        <w:t>第</w:t>
      </w:r>
      <w:r>
        <w:rPr>
          <w:rFonts w:hint="eastAsia" w:ascii="仿宋" w:hAnsi="仿宋"/>
          <w:szCs w:val="32"/>
        </w:rPr>
        <w:t>十</w:t>
      </w:r>
      <w:r>
        <w:rPr>
          <w:rFonts w:ascii="仿宋" w:hAnsi="仿宋"/>
          <w:szCs w:val="32"/>
        </w:rPr>
        <w:t>条</w:t>
      </w:r>
      <w:r>
        <w:rPr>
          <w:rFonts w:hint="eastAsia" w:ascii="仿宋" w:hAnsi="仿宋"/>
          <w:szCs w:val="32"/>
        </w:rPr>
        <w:t>监督</w:t>
      </w:r>
      <w:r>
        <w:rPr>
          <w:rFonts w:ascii="仿宋" w:hAnsi="仿宋"/>
          <w:szCs w:val="32"/>
        </w:rPr>
        <w:t>检查执行</w:t>
      </w:r>
      <w:r>
        <w:rPr>
          <w:rFonts w:hint="eastAsia" w:ascii="仿宋" w:hAnsi="仿宋"/>
          <w:szCs w:val="32"/>
        </w:rPr>
        <w:t>民主推荐</w:t>
      </w:r>
      <w:r>
        <w:rPr>
          <w:rFonts w:ascii="仿宋" w:hAnsi="仿宋"/>
          <w:szCs w:val="32"/>
        </w:rPr>
        <w:t>和党争上岗制度的过程与结果。</w:t>
      </w:r>
      <w:r>
        <w:rPr>
          <w:rFonts w:ascii="仿宋" w:hAnsi="仿宋"/>
          <w:szCs w:val="32"/>
        </w:rPr>
        <w:br w:type="textWrapping"/>
      </w:r>
      <w:r>
        <w:rPr>
          <w:rFonts w:hint="eastAsia" w:ascii="仿宋" w:hAnsi="仿宋"/>
          <w:szCs w:val="32"/>
        </w:rPr>
        <w:t xml:space="preserve">    </w:t>
      </w:r>
      <w:r>
        <w:rPr>
          <w:rFonts w:ascii="仿宋" w:hAnsi="仿宋"/>
          <w:szCs w:val="32"/>
        </w:rPr>
        <w:t>第十</w:t>
      </w:r>
      <w:r>
        <w:rPr>
          <w:rFonts w:hint="eastAsia" w:ascii="仿宋" w:hAnsi="仿宋"/>
          <w:szCs w:val="32"/>
        </w:rPr>
        <w:t>一</w:t>
      </w:r>
      <w:r>
        <w:rPr>
          <w:rFonts w:ascii="仿宋" w:hAnsi="仿宋"/>
          <w:szCs w:val="32"/>
        </w:rPr>
        <w:t>条监督检查执行干部交流、回避和免职、辞职、降职制度的过程与结</w:t>
      </w:r>
      <w:r>
        <w:rPr>
          <w:rFonts w:hint="eastAsia" w:ascii="仿宋" w:hAnsi="仿宋"/>
          <w:szCs w:val="32"/>
        </w:rPr>
        <w:t>果。</w:t>
      </w:r>
      <w:r>
        <w:rPr>
          <w:rFonts w:ascii="仿宋" w:hAnsi="仿宋"/>
          <w:szCs w:val="32"/>
        </w:rPr>
        <w:br w:type="textWrapping"/>
      </w:r>
      <w:r>
        <w:rPr>
          <w:rFonts w:hint="eastAsia" w:ascii="仿宋" w:hAnsi="仿宋"/>
          <w:szCs w:val="32"/>
        </w:rPr>
        <w:t xml:space="preserve">    </w:t>
      </w:r>
      <w:r>
        <w:rPr>
          <w:rFonts w:ascii="仿宋" w:hAnsi="仿宋"/>
          <w:szCs w:val="32"/>
        </w:rPr>
        <w:t>第十</w:t>
      </w:r>
      <w:r>
        <w:rPr>
          <w:rFonts w:hint="eastAsia" w:ascii="仿宋" w:hAnsi="仿宋"/>
          <w:szCs w:val="32"/>
        </w:rPr>
        <w:t>二</w:t>
      </w:r>
      <w:r>
        <w:rPr>
          <w:rFonts w:ascii="仿宋" w:hAnsi="仿宋"/>
          <w:szCs w:val="32"/>
        </w:rPr>
        <w:t>条监督检查遵守《干部任用条例》规定的＂十不准＂纪律的过程与结果。</w:t>
      </w:r>
      <w:r>
        <w:rPr>
          <w:rFonts w:ascii="仿宋" w:hAnsi="仿宋"/>
          <w:szCs w:val="32"/>
        </w:rPr>
        <w:br w:type="textWrapping"/>
      </w:r>
      <w:r>
        <w:rPr>
          <w:rFonts w:hint="eastAsia" w:ascii="仿宋" w:hAnsi="仿宋"/>
          <w:szCs w:val="32"/>
        </w:rPr>
        <w:t xml:space="preserve">                   </w:t>
      </w:r>
      <w:r>
        <w:rPr>
          <w:rFonts w:hint="eastAsia" w:ascii="黑体" w:hAnsi="黑体" w:eastAsia="黑体"/>
          <w:szCs w:val="32"/>
        </w:rPr>
        <w:t xml:space="preserve"> </w:t>
      </w:r>
      <w:r>
        <w:rPr>
          <w:rFonts w:ascii="黑体" w:hAnsi="黑体" w:eastAsia="黑体"/>
          <w:szCs w:val="32"/>
        </w:rPr>
        <w:t>第三</w:t>
      </w:r>
      <w:r>
        <w:rPr>
          <w:rFonts w:hint="eastAsia" w:ascii="黑体" w:hAnsi="黑体" w:eastAsia="黑体"/>
          <w:szCs w:val="32"/>
        </w:rPr>
        <w:t xml:space="preserve">  </w:t>
      </w:r>
      <w:r>
        <w:rPr>
          <w:rFonts w:ascii="黑体" w:hAnsi="黑体" w:eastAsia="黑体"/>
          <w:szCs w:val="32"/>
        </w:rPr>
        <w:t>监督办法</w:t>
      </w:r>
      <w:r>
        <w:rPr>
          <w:rFonts w:ascii="仿宋" w:hAnsi="仿宋"/>
          <w:szCs w:val="32"/>
        </w:rPr>
        <w:br w:type="textWrapping"/>
      </w:r>
      <w:r>
        <w:rPr>
          <w:rFonts w:hint="eastAsia" w:ascii="仿宋" w:hAnsi="仿宋"/>
          <w:szCs w:val="32"/>
        </w:rPr>
        <w:t xml:space="preserve">    </w:t>
      </w:r>
      <w:r>
        <w:rPr>
          <w:rFonts w:ascii="仿宋" w:hAnsi="仿宋"/>
          <w:szCs w:val="32"/>
        </w:rPr>
        <w:t>第十</w:t>
      </w:r>
      <w:r>
        <w:rPr>
          <w:rFonts w:hint="eastAsia" w:ascii="仿宋" w:hAnsi="仿宋"/>
          <w:szCs w:val="32"/>
        </w:rPr>
        <w:t>三</w:t>
      </w:r>
      <w:r>
        <w:rPr>
          <w:rFonts w:ascii="仿宋" w:hAnsi="仿宋"/>
          <w:szCs w:val="32"/>
        </w:rPr>
        <w:t>条加强组织人事部门干部选拔任用工作的内部监督，对提拔</w:t>
      </w:r>
      <w:r>
        <w:rPr>
          <w:rFonts w:hint="eastAsia" w:ascii="仿宋" w:hAnsi="仿宋"/>
          <w:szCs w:val="32"/>
        </w:rPr>
        <w:t>的</w:t>
      </w:r>
      <w:r>
        <w:rPr>
          <w:rFonts w:ascii="仿宋" w:hAnsi="仿宋"/>
          <w:szCs w:val="32"/>
        </w:rPr>
        <w:t>领导干部，在考察对象确定后发布考察预告过程中，由党委组织部干部监督机构根</w:t>
      </w:r>
      <w:r>
        <w:rPr>
          <w:rFonts w:hint="eastAsia" w:ascii="仿宋" w:hAnsi="仿宋"/>
          <w:szCs w:val="32"/>
        </w:rPr>
        <w:t>据</w:t>
      </w:r>
      <w:r>
        <w:rPr>
          <w:rFonts w:ascii="仿宋" w:hAnsi="仿宋"/>
          <w:szCs w:val="32"/>
        </w:rPr>
        <w:t>掌握的情况，对考察对象是否存在影响任职的问题进行</w:t>
      </w:r>
      <w:r>
        <w:rPr>
          <w:rFonts w:hint="eastAsia" w:ascii="仿宋" w:hAnsi="仿宋"/>
          <w:szCs w:val="32"/>
        </w:rPr>
        <w:t>审查</w:t>
      </w:r>
      <w:r>
        <w:rPr>
          <w:rFonts w:ascii="仿宋" w:hAnsi="仿宋"/>
          <w:szCs w:val="32"/>
        </w:rPr>
        <w:t>，提出审查意</w:t>
      </w:r>
      <w:r>
        <w:rPr>
          <w:rFonts w:hint="eastAsia" w:ascii="仿宋" w:hAnsi="仿宋"/>
          <w:szCs w:val="32"/>
        </w:rPr>
        <w:t>见。</w:t>
      </w:r>
      <w:r>
        <w:rPr>
          <w:rFonts w:ascii="仿宋" w:hAnsi="仿宋"/>
          <w:szCs w:val="32"/>
        </w:rPr>
        <w:br w:type="textWrapping"/>
      </w:r>
      <w:r>
        <w:rPr>
          <w:rFonts w:hint="eastAsia" w:ascii="仿宋" w:hAnsi="仿宋"/>
          <w:szCs w:val="32"/>
        </w:rPr>
        <w:t xml:space="preserve">    </w:t>
      </w:r>
      <w:r>
        <w:rPr>
          <w:rFonts w:ascii="仿宋" w:hAnsi="仿宋"/>
          <w:szCs w:val="32"/>
        </w:rPr>
        <w:t>第十</w:t>
      </w:r>
      <w:r>
        <w:rPr>
          <w:rFonts w:hint="eastAsia" w:ascii="仿宋" w:hAnsi="仿宋"/>
          <w:szCs w:val="32"/>
        </w:rPr>
        <w:t>四</w:t>
      </w:r>
      <w:r>
        <w:rPr>
          <w:rFonts w:ascii="仿宋" w:hAnsi="仿宋"/>
          <w:szCs w:val="32"/>
        </w:rPr>
        <w:t>条认真核查考察预告期间群众反映的问题，并进行考察核实，形成调查结论。必要时可与干部监督机构共同调查核实，确实存在影响任职</w:t>
      </w:r>
      <w:r>
        <w:rPr>
          <w:rFonts w:hint="eastAsia" w:ascii="仿宋" w:hAnsi="仿宋"/>
          <w:szCs w:val="32"/>
        </w:rPr>
        <w:t>问题</w:t>
      </w:r>
      <w:r>
        <w:rPr>
          <w:rFonts w:ascii="仿宋" w:hAnsi="仿宋"/>
          <w:szCs w:val="32"/>
        </w:rPr>
        <w:t>的，不得作为</w:t>
      </w:r>
      <w:r>
        <w:rPr>
          <w:rFonts w:hint="eastAsia" w:ascii="仿宋" w:hAnsi="仿宋"/>
          <w:szCs w:val="32"/>
        </w:rPr>
        <w:t>拟任</w:t>
      </w:r>
      <w:r>
        <w:rPr>
          <w:rFonts w:ascii="仿宋" w:hAnsi="仿宋"/>
          <w:szCs w:val="32"/>
        </w:rPr>
        <w:t>人选</w:t>
      </w:r>
      <w:r>
        <w:rPr>
          <w:rFonts w:hint="eastAsia" w:ascii="仿宋" w:hAnsi="仿宋"/>
          <w:szCs w:val="32"/>
        </w:rPr>
        <w:t>。</w:t>
      </w:r>
      <w:r>
        <w:rPr>
          <w:rFonts w:ascii="仿宋" w:hAnsi="仿宋"/>
          <w:szCs w:val="32"/>
        </w:rPr>
        <w:br w:type="textWrapping"/>
      </w:r>
      <w:r>
        <w:rPr>
          <w:rFonts w:hint="eastAsia" w:ascii="仿宋" w:hAnsi="仿宋"/>
          <w:szCs w:val="32"/>
        </w:rPr>
        <w:t xml:space="preserve">    </w:t>
      </w:r>
      <w:r>
        <w:rPr>
          <w:rFonts w:ascii="仿宋" w:hAnsi="仿宋"/>
          <w:szCs w:val="32"/>
        </w:rPr>
        <w:t>第十</w:t>
      </w:r>
      <w:r>
        <w:rPr>
          <w:rFonts w:hint="eastAsia" w:ascii="仿宋" w:hAnsi="仿宋"/>
          <w:szCs w:val="32"/>
        </w:rPr>
        <w:t>五</w:t>
      </w:r>
      <w:r>
        <w:rPr>
          <w:rFonts w:ascii="仿宋" w:hAnsi="仿宋"/>
          <w:szCs w:val="32"/>
        </w:rPr>
        <w:t>条实行讨论决定干部任免会议制度。党委讨论决定干部任免工作的会议，发现</w:t>
      </w:r>
      <w:r>
        <w:rPr>
          <w:rFonts w:hint="eastAsia" w:ascii="仿宋" w:hAnsi="仿宋"/>
          <w:szCs w:val="32"/>
        </w:rPr>
        <w:t>问题</w:t>
      </w:r>
      <w:r>
        <w:rPr>
          <w:rFonts w:ascii="仿宋" w:hAnsi="仿宋"/>
          <w:szCs w:val="32"/>
        </w:rPr>
        <w:t>，及时纠正或暂缓讨论</w:t>
      </w:r>
      <w:r>
        <w:rPr>
          <w:rFonts w:hint="eastAsia" w:ascii="仿宋" w:hAnsi="仿宋"/>
          <w:szCs w:val="32"/>
        </w:rPr>
        <w:t>；</w:t>
      </w:r>
      <w:r>
        <w:rPr>
          <w:rFonts w:ascii="仿宋" w:hAnsi="仿宋"/>
          <w:szCs w:val="32"/>
        </w:rPr>
        <w:t>到会人数未超过应到会人数三分之二的应报审查;意见分歧较大或有重大问题不清楚未暂缓表决的</w:t>
      </w:r>
      <w:r>
        <w:rPr>
          <w:rFonts w:hint="eastAsia" w:ascii="仿宋" w:hAnsi="仿宋"/>
          <w:szCs w:val="32"/>
        </w:rPr>
        <w:t>。</w:t>
      </w:r>
    </w:p>
    <w:p>
      <w:pPr>
        <w:ind w:firstLine="640" w:firstLineChars="200"/>
        <w:outlineLvl w:val="0"/>
        <w:rPr>
          <w:rFonts w:ascii="仿宋" w:hAnsi="仿宋"/>
          <w:szCs w:val="32"/>
        </w:rPr>
      </w:pPr>
      <w:bookmarkStart w:id="95" w:name="_Toc23926"/>
      <w:bookmarkStart w:id="96" w:name="_Toc29949"/>
      <w:bookmarkStart w:id="97" w:name="_Toc5659"/>
      <w:bookmarkStart w:id="98" w:name="_Toc31679"/>
      <w:bookmarkStart w:id="99" w:name="_Toc10687"/>
      <w:r>
        <w:rPr>
          <w:rFonts w:ascii="仿宋" w:hAnsi="仿宋"/>
          <w:szCs w:val="32"/>
        </w:rPr>
        <w:t>第十</w:t>
      </w:r>
      <w:r>
        <w:rPr>
          <w:rFonts w:hint="eastAsia" w:ascii="仿宋" w:hAnsi="仿宋"/>
          <w:szCs w:val="32"/>
        </w:rPr>
        <w:t>六</w:t>
      </w:r>
      <w:r>
        <w:rPr>
          <w:rFonts w:ascii="仿宋" w:hAnsi="仿宋"/>
          <w:szCs w:val="32"/>
        </w:rPr>
        <w:t>条坚持和完善党政领导干部任职前公示制度</w:t>
      </w:r>
      <w:r>
        <w:rPr>
          <w:rFonts w:hint="eastAsia" w:ascii="仿宋" w:hAnsi="仿宋"/>
          <w:szCs w:val="32"/>
        </w:rPr>
        <w:t>。</w:t>
      </w:r>
      <w:bookmarkEnd w:id="95"/>
      <w:bookmarkEnd w:id="96"/>
      <w:bookmarkEnd w:id="97"/>
      <w:bookmarkEnd w:id="98"/>
      <w:bookmarkEnd w:id="99"/>
    </w:p>
    <w:p>
      <w:pPr>
        <w:ind w:firstLine="640" w:firstLineChars="200"/>
        <w:rPr>
          <w:rFonts w:ascii="仿宋" w:hAnsi="仿宋"/>
          <w:szCs w:val="32"/>
        </w:rPr>
      </w:pPr>
      <w:r>
        <w:rPr>
          <w:rFonts w:ascii="仿宋" w:hAnsi="仿宋"/>
          <w:szCs w:val="32"/>
        </w:rPr>
        <w:t>(一)提拔任用党政领导干部的，除特殊岗位的人选外，在党委讨论</w:t>
      </w:r>
      <w:r>
        <w:rPr>
          <w:rFonts w:hint="eastAsia" w:ascii="仿宋" w:hAnsi="仿宋"/>
          <w:szCs w:val="32"/>
        </w:rPr>
        <w:t>决定</w:t>
      </w:r>
      <w:r>
        <w:rPr>
          <w:rFonts w:ascii="仿宋" w:hAnsi="仿宋"/>
          <w:szCs w:val="32"/>
        </w:rPr>
        <w:t>后、下发任职通知前进行公示。</w:t>
      </w:r>
      <w:r>
        <w:rPr>
          <w:rFonts w:ascii="仿宋" w:hAnsi="仿宋"/>
          <w:szCs w:val="32"/>
        </w:rPr>
        <w:br w:type="textWrapping"/>
      </w:r>
      <w:r>
        <w:rPr>
          <w:rFonts w:hint="eastAsia" w:ascii="仿宋" w:hAnsi="仿宋"/>
          <w:szCs w:val="32"/>
        </w:rPr>
        <w:t xml:space="preserve">    </w:t>
      </w:r>
      <w:r>
        <w:rPr>
          <w:rFonts w:ascii="仿宋" w:hAnsi="仿宋"/>
          <w:szCs w:val="32"/>
        </w:rPr>
        <w:t>(二)组织人事部门按照干部管理权限受理公示举报。遇有特殊情况或重大问题时，上级组织人事部门可直接调查处理</w:t>
      </w:r>
      <w:r>
        <w:rPr>
          <w:rFonts w:hint="eastAsia" w:ascii="仿宋" w:hAnsi="仿宋"/>
          <w:szCs w:val="32"/>
        </w:rPr>
        <w:t>。</w:t>
      </w:r>
      <w:r>
        <w:rPr>
          <w:rFonts w:ascii="仿宋" w:hAnsi="仿宋"/>
          <w:szCs w:val="32"/>
        </w:rPr>
        <w:br w:type="textWrapping"/>
      </w:r>
      <w:r>
        <w:rPr>
          <w:rFonts w:hint="eastAsia" w:ascii="仿宋" w:hAnsi="仿宋"/>
          <w:szCs w:val="32"/>
        </w:rPr>
        <w:t xml:space="preserve">    </w:t>
      </w:r>
      <w:r>
        <w:rPr>
          <w:rFonts w:ascii="仿宋" w:hAnsi="仿宋"/>
          <w:szCs w:val="32"/>
        </w:rPr>
        <w:t>(三)对公示中反映的问题，应当区别不同情况分类处理</w:t>
      </w:r>
      <w:r>
        <w:rPr>
          <w:rFonts w:hint="eastAsia" w:ascii="仿宋" w:hAnsi="仿宋"/>
          <w:szCs w:val="32"/>
        </w:rPr>
        <w:t>。</w:t>
      </w:r>
      <w:r>
        <w:rPr>
          <w:rFonts w:ascii="仿宋" w:hAnsi="仿宋"/>
          <w:szCs w:val="32"/>
        </w:rPr>
        <w:br w:type="textWrapping"/>
      </w:r>
      <w:r>
        <w:rPr>
          <w:rFonts w:hint="eastAsia" w:ascii="仿宋" w:hAnsi="仿宋"/>
          <w:szCs w:val="32"/>
        </w:rPr>
        <w:t xml:space="preserve">    </w:t>
      </w:r>
      <w:r>
        <w:rPr>
          <w:rFonts w:ascii="仿宋" w:hAnsi="仿宋"/>
          <w:szCs w:val="32"/>
        </w:rPr>
        <w:t>1、组织上已经掌握的，或问题不具体、</w:t>
      </w:r>
      <w:r>
        <w:rPr>
          <w:rFonts w:hint="eastAsia" w:ascii="仿宋" w:hAnsi="仿宋"/>
          <w:szCs w:val="32"/>
        </w:rPr>
        <w:t>线索</w:t>
      </w:r>
      <w:r>
        <w:rPr>
          <w:rFonts w:ascii="仿宋" w:hAnsi="仿宋"/>
          <w:szCs w:val="32"/>
        </w:rPr>
        <w:t>不清、不足以影响任职的，可不做调查。</w:t>
      </w:r>
      <w:r>
        <w:rPr>
          <w:rFonts w:ascii="仿宋" w:hAnsi="仿宋"/>
          <w:szCs w:val="32"/>
        </w:rPr>
        <w:br w:type="textWrapping"/>
      </w:r>
      <w:r>
        <w:rPr>
          <w:rFonts w:hint="eastAsia" w:ascii="仿宋" w:hAnsi="仿宋"/>
          <w:szCs w:val="32"/>
        </w:rPr>
        <w:t xml:space="preserve">    </w:t>
      </w:r>
      <w:r>
        <w:rPr>
          <w:rFonts w:ascii="仿宋" w:hAnsi="仿宋"/>
          <w:szCs w:val="32"/>
        </w:rPr>
        <w:t>2、属于工作态度、工作方法等方面的一般性问题可责成公示对象作出负责任的书面说明。</w:t>
      </w:r>
      <w:r>
        <w:rPr>
          <w:rFonts w:ascii="仿宋" w:hAnsi="仿宋"/>
          <w:szCs w:val="32"/>
        </w:rPr>
        <w:br w:type="textWrapping"/>
      </w:r>
      <w:r>
        <w:rPr>
          <w:rFonts w:hint="eastAsia" w:ascii="仿宋" w:hAnsi="仿宋"/>
          <w:szCs w:val="32"/>
        </w:rPr>
        <w:t xml:space="preserve">    </w:t>
      </w:r>
      <w:r>
        <w:rPr>
          <w:rFonts w:ascii="仿宋" w:hAnsi="仿宋"/>
          <w:szCs w:val="32"/>
        </w:rPr>
        <w:t>3、属于干部政治素质、道徳品质、廉政建设等方面的严重</w:t>
      </w:r>
      <w:r>
        <w:rPr>
          <w:rFonts w:hint="eastAsia" w:ascii="仿宋" w:hAnsi="仿宋"/>
          <w:szCs w:val="32"/>
        </w:rPr>
        <w:t>问题</w:t>
      </w:r>
      <w:r>
        <w:rPr>
          <w:rFonts w:ascii="仿宋" w:hAnsi="仿宋"/>
          <w:szCs w:val="32"/>
        </w:rPr>
        <w:t>，或</w:t>
      </w:r>
      <w:r>
        <w:rPr>
          <w:rFonts w:hint="eastAsia" w:ascii="仿宋" w:hAnsi="仿宋"/>
          <w:szCs w:val="32"/>
        </w:rPr>
        <w:t>问题</w:t>
      </w:r>
      <w:r>
        <w:rPr>
          <w:rFonts w:ascii="仿宋" w:hAnsi="仿宋"/>
          <w:szCs w:val="32"/>
        </w:rPr>
        <w:t>虽不够具体、线索不清，但性质严重、查清后足以影响任职的，应当进行专项调查;涉及违反党纪政纪的，可与纪检机关(</w:t>
      </w:r>
      <w:r>
        <w:rPr>
          <w:rFonts w:hint="eastAsia" w:ascii="仿宋" w:hAnsi="仿宋"/>
          <w:szCs w:val="32"/>
        </w:rPr>
        <w:t>检</w:t>
      </w:r>
      <w:r>
        <w:rPr>
          <w:rFonts w:ascii="仿宋" w:hAnsi="仿宋"/>
          <w:szCs w:val="32"/>
        </w:rPr>
        <w:t>察部门)联合调查。</w:t>
      </w:r>
      <w:r>
        <w:rPr>
          <w:rFonts w:ascii="仿宋" w:hAnsi="仿宋"/>
          <w:szCs w:val="32"/>
        </w:rPr>
        <w:br w:type="textWrapping"/>
      </w:r>
      <w:r>
        <w:rPr>
          <w:rFonts w:hint="eastAsia" w:ascii="仿宋" w:hAnsi="仿宋"/>
          <w:szCs w:val="32"/>
        </w:rPr>
        <w:t xml:space="preserve">                </w:t>
      </w:r>
      <w:r>
        <w:rPr>
          <w:rFonts w:hint="eastAsia" w:ascii="黑体" w:hAnsi="黑体" w:eastAsia="黑体"/>
          <w:szCs w:val="32"/>
        </w:rPr>
        <w:t xml:space="preserve"> </w:t>
      </w:r>
      <w:r>
        <w:rPr>
          <w:rFonts w:ascii="黑体" w:hAnsi="黑体" w:eastAsia="黑体"/>
          <w:szCs w:val="32"/>
        </w:rPr>
        <w:t>第</w:t>
      </w:r>
      <w:r>
        <w:rPr>
          <w:rFonts w:hint="eastAsia" w:ascii="黑体" w:hAnsi="黑体" w:eastAsia="黑体"/>
          <w:szCs w:val="32"/>
        </w:rPr>
        <w:t xml:space="preserve">四   </w:t>
      </w:r>
      <w:r>
        <w:rPr>
          <w:rFonts w:ascii="黑体" w:hAnsi="黑体" w:eastAsia="黑体"/>
          <w:szCs w:val="32"/>
        </w:rPr>
        <w:t>附则</w:t>
      </w:r>
      <w:r>
        <w:rPr>
          <w:rFonts w:ascii="黑体" w:hAnsi="黑体" w:eastAsia="黑体"/>
          <w:szCs w:val="32"/>
        </w:rPr>
        <w:br w:type="textWrapping"/>
      </w:r>
      <w:r>
        <w:rPr>
          <w:rFonts w:hint="eastAsia" w:ascii="仿宋" w:hAnsi="仿宋"/>
          <w:szCs w:val="32"/>
        </w:rPr>
        <w:t xml:space="preserve">    </w:t>
      </w:r>
      <w:r>
        <w:rPr>
          <w:rFonts w:ascii="仿宋" w:hAnsi="仿宋"/>
          <w:szCs w:val="32"/>
        </w:rPr>
        <w:t>第</w:t>
      </w:r>
      <w:r>
        <w:rPr>
          <w:rFonts w:hint="eastAsia" w:ascii="仿宋" w:hAnsi="仿宋"/>
          <w:szCs w:val="32"/>
        </w:rPr>
        <w:t>十七</w:t>
      </w:r>
      <w:r>
        <w:rPr>
          <w:rFonts w:ascii="仿宋" w:hAnsi="仿宋"/>
          <w:szCs w:val="32"/>
        </w:rPr>
        <w:t>条本办法由</w:t>
      </w:r>
      <w:r>
        <w:rPr>
          <w:rFonts w:hint="eastAsia" w:ascii="仿宋" w:hAnsi="仿宋"/>
          <w:szCs w:val="32"/>
        </w:rPr>
        <w:t>白城市生态新区建设领导小组办公室</w:t>
      </w:r>
      <w:r>
        <w:rPr>
          <w:rFonts w:ascii="仿宋" w:hAnsi="仿宋"/>
          <w:szCs w:val="32"/>
        </w:rPr>
        <w:t>负责解释。</w:t>
      </w:r>
    </w:p>
    <w:p>
      <w:pPr>
        <w:ind w:firstLine="640" w:firstLineChars="200"/>
        <w:outlineLvl w:val="0"/>
        <w:rPr>
          <w:rFonts w:eastAsia="仿宋_GB2312"/>
          <w:szCs w:val="32"/>
        </w:rPr>
        <w:sectPr>
          <w:pgSz w:w="11906" w:h="16838"/>
          <w:pgMar w:top="1440" w:right="1800" w:bottom="1440" w:left="1800" w:header="851" w:footer="992" w:gutter="0"/>
          <w:pgNumType w:fmt="numberInDash"/>
          <w:cols w:space="720" w:num="1"/>
          <w:docGrid w:type="lines" w:linePitch="312" w:charSpace="0"/>
        </w:sectPr>
      </w:pPr>
      <w:bookmarkStart w:id="100" w:name="_Toc2482"/>
      <w:bookmarkStart w:id="101" w:name="_Toc17716"/>
      <w:bookmarkStart w:id="102" w:name="_Toc2584"/>
      <w:bookmarkStart w:id="103" w:name="_Toc20141"/>
      <w:bookmarkStart w:id="104" w:name="_Toc23022"/>
      <w:r>
        <w:rPr>
          <w:rFonts w:ascii="仿宋" w:hAnsi="仿宋"/>
          <w:szCs w:val="32"/>
        </w:rPr>
        <w:t>第</w:t>
      </w:r>
      <w:r>
        <w:rPr>
          <w:rFonts w:hint="eastAsia" w:ascii="仿宋" w:hAnsi="仿宋"/>
          <w:szCs w:val="32"/>
        </w:rPr>
        <w:t>十八</w:t>
      </w:r>
      <w:r>
        <w:rPr>
          <w:rFonts w:ascii="仿宋" w:hAnsi="仿宋"/>
          <w:szCs w:val="32"/>
        </w:rPr>
        <w:t>条本办法自发布之日起施行。如与本办法不符，以本办法为准。</w:t>
      </w:r>
      <w:bookmarkEnd w:id="100"/>
      <w:bookmarkEnd w:id="101"/>
      <w:bookmarkEnd w:id="102"/>
      <w:bookmarkEnd w:id="103"/>
      <w:bookmarkEnd w:id="104"/>
    </w:p>
    <w:p>
      <w:pPr>
        <w:pStyle w:val="2"/>
        <w:rPr>
          <w:rFonts w:cs="Arial"/>
          <w:b w:val="0"/>
          <w:szCs w:val="44"/>
        </w:rPr>
      </w:pPr>
      <w:bookmarkStart w:id="105" w:name="_Toc17296"/>
      <w:bookmarkStart w:id="106" w:name="_Toc25191"/>
      <w:bookmarkStart w:id="107" w:name="_Toc9055"/>
      <w:r>
        <w:rPr>
          <w:rFonts w:hint="eastAsia"/>
        </w:rPr>
        <w:t>8、聘用人员管理制度</w:t>
      </w:r>
      <w:bookmarkEnd w:id="105"/>
      <w:bookmarkEnd w:id="106"/>
      <w:bookmarkEnd w:id="107"/>
    </w:p>
    <w:p>
      <w:pPr>
        <w:pStyle w:val="8"/>
        <w:spacing w:before="0" w:beforeAutospacing="0" w:after="0" w:afterAutospacing="0" w:line="560" w:lineRule="atLeast"/>
        <w:jc w:val="center"/>
        <w:outlineLvl w:val="0"/>
        <w:rPr>
          <w:rFonts w:cs="Arial"/>
          <w:b/>
          <w:bCs/>
          <w:sz w:val="32"/>
          <w:szCs w:val="32"/>
        </w:rPr>
      </w:pPr>
      <w:bookmarkStart w:id="108" w:name="_Toc29832"/>
      <w:bookmarkStart w:id="109" w:name="_Toc10383"/>
      <w:bookmarkStart w:id="110" w:name="_Toc21052"/>
      <w:bookmarkStart w:id="111" w:name="_Toc21561"/>
      <w:r>
        <w:rPr>
          <w:rFonts w:hint="eastAsia" w:ascii="黑体" w:eastAsia="黑体" w:cs="Arial"/>
          <w:bCs/>
          <w:sz w:val="32"/>
          <w:szCs w:val="32"/>
        </w:rPr>
        <w:t>第一章　总则</w:t>
      </w:r>
      <w:bookmarkEnd w:id="108"/>
      <w:bookmarkEnd w:id="109"/>
      <w:bookmarkEnd w:id="110"/>
      <w:bookmarkEnd w:id="111"/>
    </w:p>
    <w:p>
      <w:pPr>
        <w:pStyle w:val="8"/>
        <w:spacing w:before="0" w:beforeAutospacing="0" w:after="0" w:afterAutospacing="0" w:line="576" w:lineRule="exact"/>
        <w:jc w:val="both"/>
        <w:rPr>
          <w:rFonts w:ascii="仿宋" w:hAnsi="仿宋" w:eastAsia="仿宋" w:cs="仿宋"/>
          <w:sz w:val="32"/>
          <w:szCs w:val="32"/>
        </w:rPr>
      </w:pPr>
      <w:r>
        <w:rPr>
          <w:rFonts w:hint="eastAsia" w:cs="Arial"/>
          <w:b/>
          <w:sz w:val="32"/>
          <w:szCs w:val="32"/>
        </w:rPr>
        <w:t>　</w:t>
      </w:r>
      <w:r>
        <w:rPr>
          <w:rFonts w:hint="eastAsia" w:ascii="仿宋" w:hAnsi="仿宋" w:eastAsia="仿宋" w:cs="仿宋"/>
          <w:b/>
          <w:sz w:val="32"/>
          <w:szCs w:val="32"/>
        </w:rPr>
        <w:t>　第一条</w:t>
      </w:r>
      <w:r>
        <w:rPr>
          <w:rFonts w:hint="eastAsia" w:ascii="仿宋" w:hAnsi="仿宋" w:eastAsia="仿宋" w:cs="仿宋"/>
          <w:sz w:val="32"/>
          <w:szCs w:val="32"/>
        </w:rPr>
        <w:t>　为了进一步加强对生态新区劳动合同制工作人员(以下简称聘用人员)的规范化管理，充分调动聘用人员的工作积极性和创造性，根据《中华人民共和国劳动法》和《中华人民共和国劳动合同法》有关规定，结合生态新区实际，特制定本制度。</w:t>
      </w:r>
    </w:p>
    <w:p>
      <w:pPr>
        <w:pStyle w:val="8"/>
        <w:spacing w:before="0" w:beforeAutospacing="0" w:after="0" w:afterAutospacing="0" w:line="576" w:lineRule="exact"/>
        <w:jc w:val="both"/>
        <w:rPr>
          <w:rFonts w:ascii="仿宋" w:hAnsi="仿宋" w:eastAsia="仿宋" w:cs="仿宋"/>
          <w:sz w:val="32"/>
          <w:szCs w:val="32"/>
        </w:rPr>
      </w:pPr>
      <w:r>
        <w:rPr>
          <w:rFonts w:hint="eastAsia" w:ascii="仿宋" w:hAnsi="仿宋" w:eastAsia="仿宋" w:cs="仿宋"/>
          <w:sz w:val="32"/>
          <w:szCs w:val="32"/>
        </w:rPr>
        <w:t>　</w:t>
      </w:r>
      <w:r>
        <w:rPr>
          <w:rFonts w:hint="eastAsia" w:ascii="仿宋" w:hAnsi="仿宋" w:eastAsia="仿宋" w:cs="仿宋"/>
          <w:b/>
          <w:sz w:val="32"/>
          <w:szCs w:val="32"/>
        </w:rPr>
        <w:t>　第二条</w:t>
      </w:r>
      <w:r>
        <w:rPr>
          <w:rFonts w:hint="eastAsia" w:ascii="仿宋" w:hAnsi="仿宋" w:eastAsia="仿宋" w:cs="仿宋"/>
          <w:sz w:val="32"/>
          <w:szCs w:val="32"/>
        </w:rPr>
        <w:t>　本制度中聘用人员，是指与新区办及生态新区直属企业签订劳动合同，并在市人力资源和社会保障局劳动备案的工作人员。</w:t>
      </w:r>
    </w:p>
    <w:p>
      <w:pPr>
        <w:pStyle w:val="8"/>
        <w:spacing w:before="0" w:beforeAutospacing="0" w:after="0" w:afterAutospacing="0" w:line="560" w:lineRule="atLeast"/>
        <w:jc w:val="center"/>
        <w:outlineLvl w:val="0"/>
        <w:rPr>
          <w:rFonts w:ascii="黑体" w:eastAsia="黑体" w:cs="Arial"/>
          <w:bCs/>
          <w:sz w:val="32"/>
          <w:szCs w:val="32"/>
        </w:rPr>
      </w:pPr>
      <w:bookmarkStart w:id="112" w:name="_Toc4187"/>
      <w:bookmarkStart w:id="113" w:name="_Toc18574"/>
      <w:bookmarkStart w:id="114" w:name="_Toc1598"/>
      <w:bookmarkStart w:id="115" w:name="_Toc2466"/>
      <w:r>
        <w:rPr>
          <w:rFonts w:hint="eastAsia" w:ascii="黑体" w:eastAsia="黑体" w:cs="Arial"/>
          <w:bCs/>
          <w:sz w:val="32"/>
          <w:szCs w:val="32"/>
        </w:rPr>
        <w:t>第二章  聘用程序</w:t>
      </w:r>
      <w:bookmarkEnd w:id="112"/>
      <w:bookmarkEnd w:id="113"/>
      <w:bookmarkEnd w:id="114"/>
      <w:bookmarkEnd w:id="115"/>
    </w:p>
    <w:p>
      <w:pPr>
        <w:pStyle w:val="8"/>
        <w:spacing w:before="0" w:beforeAutospacing="0" w:after="0" w:afterAutospacing="0" w:line="576" w:lineRule="exact"/>
        <w:ind w:firstLine="643" w:firstLineChars="200"/>
        <w:jc w:val="both"/>
        <w:rPr>
          <w:rFonts w:ascii="仿宋" w:hAnsi="仿宋" w:eastAsia="仿宋" w:cs="仿宋"/>
          <w:sz w:val="32"/>
          <w:szCs w:val="32"/>
        </w:rPr>
      </w:pPr>
      <w:r>
        <w:rPr>
          <w:rFonts w:hint="eastAsia" w:ascii="仿宋" w:hAnsi="仿宋" w:eastAsia="仿宋" w:cs="仿宋"/>
          <w:b/>
          <w:sz w:val="32"/>
          <w:szCs w:val="32"/>
        </w:rPr>
        <w:t>第三条</w:t>
      </w:r>
      <w:r>
        <w:rPr>
          <w:rFonts w:hint="eastAsia" w:ascii="仿宋" w:hAnsi="仿宋" w:eastAsia="仿宋" w:cs="仿宋"/>
          <w:sz w:val="32"/>
          <w:szCs w:val="32"/>
        </w:rPr>
        <w:t>　申请。用人单位将人选报分管领导同意后将申请提交至综合办公室，由综合办公室汇总提交新区办党委会审议。申请内容包括：聘用理由、人数、条件、专业要求、所聘岗位。</w:t>
      </w:r>
    </w:p>
    <w:p>
      <w:pPr>
        <w:pStyle w:val="8"/>
        <w:spacing w:before="0" w:beforeAutospacing="0" w:after="0" w:afterAutospacing="0" w:line="576" w:lineRule="exact"/>
        <w:ind w:firstLine="643" w:firstLineChars="200"/>
        <w:jc w:val="both"/>
        <w:rPr>
          <w:rFonts w:ascii="仿宋" w:hAnsi="仿宋" w:eastAsia="仿宋" w:cs="仿宋"/>
          <w:sz w:val="32"/>
          <w:szCs w:val="32"/>
        </w:rPr>
      </w:pPr>
      <w:r>
        <w:rPr>
          <w:rFonts w:hint="eastAsia" w:ascii="仿宋" w:hAnsi="仿宋" w:eastAsia="仿宋" w:cs="仿宋"/>
          <w:b/>
          <w:bCs/>
          <w:sz w:val="32"/>
          <w:szCs w:val="32"/>
        </w:rPr>
        <w:t xml:space="preserve">第四条  </w:t>
      </w:r>
      <w:r>
        <w:rPr>
          <w:rFonts w:hint="eastAsia" w:ascii="仿宋" w:hAnsi="仿宋" w:eastAsia="仿宋" w:cs="仿宋"/>
          <w:sz w:val="32"/>
          <w:szCs w:val="32"/>
        </w:rPr>
        <w:t>批复。新区办党委会审核研究，作出是否准予聘用的决定。</w:t>
      </w:r>
    </w:p>
    <w:p>
      <w:pPr>
        <w:pStyle w:val="8"/>
        <w:spacing w:before="0" w:beforeAutospacing="0" w:after="0" w:afterAutospacing="0" w:line="576" w:lineRule="exact"/>
        <w:ind w:firstLine="643" w:firstLineChars="200"/>
        <w:jc w:val="both"/>
        <w:rPr>
          <w:rFonts w:ascii="仿宋" w:hAnsi="仿宋" w:eastAsia="仿宋" w:cs="仿宋"/>
          <w:sz w:val="32"/>
          <w:szCs w:val="32"/>
        </w:rPr>
      </w:pPr>
      <w:r>
        <w:rPr>
          <w:rFonts w:hint="eastAsia" w:ascii="仿宋" w:hAnsi="仿宋" w:eastAsia="仿宋" w:cs="仿宋"/>
          <w:b/>
          <w:sz w:val="32"/>
          <w:szCs w:val="32"/>
        </w:rPr>
        <w:t>第五条</w:t>
      </w:r>
      <w:r>
        <w:rPr>
          <w:rFonts w:hint="eastAsia" w:ascii="仿宋" w:hAnsi="仿宋" w:eastAsia="仿宋" w:cs="仿宋"/>
          <w:sz w:val="32"/>
          <w:szCs w:val="32"/>
        </w:rPr>
        <w:t>　公开招聘。经新区办党委会同意批复聘用的岗位，由用人单位汇同综合办公室按下列程序进行招聘。</w:t>
      </w:r>
    </w:p>
    <w:p>
      <w:pPr>
        <w:pStyle w:val="8"/>
        <w:spacing w:before="0" w:beforeAutospacing="0" w:after="0" w:afterAutospacing="0" w:line="576" w:lineRule="exact"/>
        <w:ind w:firstLine="640" w:firstLineChars="200"/>
        <w:jc w:val="both"/>
        <w:rPr>
          <w:rFonts w:ascii="仿宋" w:hAnsi="仿宋" w:eastAsia="仿宋" w:cs="仿宋"/>
          <w:sz w:val="32"/>
          <w:szCs w:val="32"/>
        </w:rPr>
      </w:pPr>
      <w:r>
        <w:rPr>
          <w:rFonts w:hint="eastAsia" w:ascii="仿宋" w:hAnsi="仿宋" w:eastAsia="仿宋" w:cs="仿宋"/>
          <w:sz w:val="32"/>
          <w:szCs w:val="32"/>
        </w:rPr>
        <w:t>（一）制定推荐方案。由综合办公室按照新区办党委会确定的推荐聘用条件制定方案。</w:t>
      </w:r>
    </w:p>
    <w:p>
      <w:pPr>
        <w:pStyle w:val="8"/>
        <w:spacing w:before="0" w:beforeAutospacing="0" w:after="0" w:afterAutospacing="0" w:line="576" w:lineRule="exact"/>
        <w:ind w:firstLine="640" w:firstLineChars="200"/>
        <w:jc w:val="both"/>
        <w:rPr>
          <w:rFonts w:ascii="仿宋" w:hAnsi="仿宋" w:eastAsia="仿宋" w:cs="仿宋"/>
          <w:sz w:val="32"/>
          <w:szCs w:val="32"/>
        </w:rPr>
      </w:pPr>
      <w:r>
        <w:rPr>
          <w:rFonts w:hint="eastAsia" w:ascii="仿宋" w:hAnsi="仿宋" w:eastAsia="仿宋" w:cs="仿宋"/>
          <w:sz w:val="32"/>
          <w:szCs w:val="32"/>
        </w:rPr>
        <w:t>（二）报名和资格审查。严格按照招聘条件要求组织对应聘人员进行资格审查。对全日制本科毕业生、专业技术人才、特殊人才,年龄在35周岁以下等符合条件者优先招聘。资格审查材料包括：居民身份证、户口簿（暂住证）、学历证书（毕业证书、学位证书）、技术资格证书等原件。报名者提交的信息和提供的材料必须真实有效，凡发现应聘者提供的虚假材料立即取消其聘用资格。</w:t>
      </w:r>
    </w:p>
    <w:p>
      <w:pPr>
        <w:pStyle w:val="8"/>
        <w:spacing w:before="0" w:beforeAutospacing="0" w:after="0" w:afterAutospacing="0" w:line="576" w:lineRule="exact"/>
        <w:ind w:firstLine="640" w:firstLineChars="200"/>
        <w:jc w:val="both"/>
        <w:rPr>
          <w:rFonts w:ascii="仿宋" w:hAnsi="仿宋" w:eastAsia="仿宋" w:cs="仿宋"/>
          <w:sz w:val="32"/>
          <w:szCs w:val="32"/>
        </w:rPr>
      </w:pPr>
      <w:r>
        <w:rPr>
          <w:rFonts w:hint="eastAsia" w:ascii="仿宋" w:hAnsi="仿宋" w:eastAsia="仿宋" w:cs="仿宋"/>
          <w:sz w:val="32"/>
          <w:szCs w:val="32"/>
        </w:rPr>
        <w:t>（三）组织考试。由分管人事工作副主任、用人单位分管领导、用人单位组织考试或专业知识测试，综合办公室负责落实并汇总考试结果。</w:t>
      </w:r>
    </w:p>
    <w:p>
      <w:pPr>
        <w:pStyle w:val="8"/>
        <w:spacing w:before="0" w:beforeAutospacing="0" w:after="0" w:afterAutospacing="0" w:line="576" w:lineRule="exact"/>
        <w:ind w:firstLine="640" w:firstLineChars="200"/>
        <w:jc w:val="both"/>
        <w:rPr>
          <w:rFonts w:ascii="仿宋" w:hAnsi="仿宋" w:eastAsia="仿宋" w:cs="仿宋"/>
          <w:sz w:val="32"/>
          <w:szCs w:val="32"/>
        </w:rPr>
      </w:pPr>
      <w:r>
        <w:rPr>
          <w:rFonts w:hint="eastAsia" w:ascii="仿宋" w:hAnsi="仿宋" w:eastAsia="仿宋" w:cs="仿宋"/>
          <w:sz w:val="32"/>
          <w:szCs w:val="32"/>
        </w:rPr>
        <w:t>（四）体检、政审。通过考试的人员需要提供二级以上医院出具的体检报告，并提供所在社区出具的政审证明。特殊岗位需要提供无犯罪记录证明。</w:t>
      </w:r>
    </w:p>
    <w:p>
      <w:pPr>
        <w:pStyle w:val="8"/>
        <w:spacing w:before="0" w:beforeAutospacing="0" w:after="0" w:afterAutospacing="0" w:line="576" w:lineRule="exact"/>
        <w:ind w:firstLine="640" w:firstLineChars="200"/>
        <w:jc w:val="both"/>
        <w:rPr>
          <w:rFonts w:ascii="仿宋" w:hAnsi="仿宋" w:eastAsia="仿宋" w:cs="仿宋"/>
          <w:sz w:val="32"/>
          <w:szCs w:val="32"/>
        </w:rPr>
      </w:pPr>
      <w:r>
        <w:rPr>
          <w:rFonts w:hint="eastAsia" w:ascii="仿宋" w:hAnsi="仿宋" w:eastAsia="仿宋" w:cs="仿宋"/>
          <w:sz w:val="32"/>
          <w:szCs w:val="32"/>
        </w:rPr>
        <w:t>（五）考核确定拟聘人员。由新区办党委会确定考核合格者为拟聘用人员。考核不合格或弃权的，可依次递补。</w:t>
      </w:r>
    </w:p>
    <w:p>
      <w:pPr>
        <w:pStyle w:val="8"/>
        <w:spacing w:before="0" w:beforeAutospacing="0" w:after="0" w:afterAutospacing="0" w:line="576" w:lineRule="exact"/>
        <w:ind w:firstLine="640" w:firstLineChars="200"/>
        <w:jc w:val="both"/>
        <w:rPr>
          <w:rFonts w:ascii="仿宋" w:hAnsi="仿宋" w:eastAsia="仿宋" w:cs="仿宋"/>
          <w:sz w:val="32"/>
          <w:szCs w:val="32"/>
        </w:rPr>
      </w:pPr>
      <w:r>
        <w:rPr>
          <w:rFonts w:hint="eastAsia" w:ascii="仿宋" w:hAnsi="仿宋" w:eastAsia="仿宋" w:cs="仿宋"/>
          <w:sz w:val="32"/>
          <w:szCs w:val="32"/>
        </w:rPr>
        <w:t>（六）公示和聘用。体检考核合格人员确定为拟聘人员，名单在新区办公楼公示板公示3天，公示期满无异议，确定为聘用对象。</w:t>
      </w:r>
    </w:p>
    <w:p>
      <w:pPr>
        <w:pStyle w:val="8"/>
        <w:spacing w:before="0" w:beforeAutospacing="0" w:after="0" w:afterAutospacing="0" w:line="560" w:lineRule="atLeast"/>
        <w:ind w:firstLine="964" w:firstLineChars="300"/>
        <w:jc w:val="both"/>
        <w:rPr>
          <w:rFonts w:ascii="仿宋" w:hAnsi="仿宋" w:eastAsia="仿宋" w:cs="仿宋"/>
          <w:sz w:val="32"/>
          <w:szCs w:val="32"/>
        </w:rPr>
      </w:pPr>
      <w:r>
        <w:rPr>
          <w:rFonts w:hint="eastAsia" w:ascii="仿宋" w:hAnsi="仿宋" w:eastAsia="仿宋" w:cs="仿宋"/>
          <w:b/>
          <w:sz w:val="32"/>
          <w:szCs w:val="32"/>
        </w:rPr>
        <w:t>第六条</w:t>
      </w:r>
      <w:r>
        <w:rPr>
          <w:rFonts w:hint="eastAsia" w:ascii="黑体" w:eastAsia="黑体" w:cs="Arial"/>
          <w:bCs/>
          <w:sz w:val="32"/>
          <w:szCs w:val="32"/>
        </w:rPr>
        <w:t xml:space="preserve">  </w:t>
      </w:r>
      <w:r>
        <w:rPr>
          <w:rFonts w:hint="eastAsia" w:ascii="仿宋" w:hAnsi="仿宋" w:eastAsia="仿宋" w:cs="仿宋"/>
          <w:sz w:val="32"/>
          <w:szCs w:val="32"/>
        </w:rPr>
        <w:t>合同订立及薪酬。</w:t>
      </w:r>
    </w:p>
    <w:p>
      <w:pPr>
        <w:pStyle w:val="8"/>
        <w:numPr>
          <w:ilvl w:val="0"/>
          <w:numId w:val="3"/>
        </w:numPr>
        <w:spacing w:before="0" w:beforeAutospacing="0" w:after="0" w:afterAutospacing="0" w:line="576" w:lineRule="exact"/>
        <w:ind w:firstLine="640" w:firstLineChars="200"/>
        <w:jc w:val="both"/>
        <w:rPr>
          <w:rFonts w:ascii="仿宋" w:hAnsi="仿宋" w:eastAsia="仿宋" w:cs="仿宋"/>
          <w:sz w:val="32"/>
          <w:szCs w:val="32"/>
        </w:rPr>
      </w:pPr>
      <w:r>
        <w:rPr>
          <w:rFonts w:hint="eastAsia" w:ascii="仿宋" w:hAnsi="仿宋" w:eastAsia="仿宋" w:cs="仿宋"/>
          <w:sz w:val="32"/>
          <w:szCs w:val="32"/>
        </w:rPr>
        <w:t>生态新区直属企业与聘用人员签订书面劳动合同，劳动合同期限分为一年期合同、三年期合同和长期合同。一年期合同，试用期二个月。首次签订三年固定期限合同，试用期三个月（仅限特殊人才），试用期不予缴纳五险一金。</w:t>
      </w:r>
    </w:p>
    <w:p>
      <w:pPr>
        <w:pStyle w:val="8"/>
        <w:numPr>
          <w:ilvl w:val="0"/>
          <w:numId w:val="3"/>
        </w:numPr>
        <w:spacing w:before="0" w:beforeAutospacing="0" w:after="0" w:afterAutospacing="0" w:line="576" w:lineRule="exact"/>
        <w:ind w:firstLine="640" w:firstLineChars="200"/>
        <w:jc w:val="both"/>
        <w:rPr>
          <w:rFonts w:ascii="仿宋" w:hAnsi="仿宋" w:eastAsia="仿宋" w:cs="仿宋"/>
          <w:sz w:val="32"/>
          <w:szCs w:val="32"/>
        </w:rPr>
      </w:pPr>
      <w:r>
        <w:rPr>
          <w:rFonts w:hint="eastAsia" w:ascii="仿宋" w:hAnsi="仿宋" w:eastAsia="仿宋" w:cs="仿宋"/>
          <w:sz w:val="32"/>
          <w:szCs w:val="32"/>
        </w:rPr>
        <w:t>聘用人员岗位分为管理岗位和一般工作岗位。</w:t>
      </w:r>
    </w:p>
    <w:p>
      <w:pPr>
        <w:pStyle w:val="8"/>
        <w:spacing w:before="0" w:beforeAutospacing="0" w:after="0" w:afterAutospacing="0" w:line="576" w:lineRule="exact"/>
        <w:ind w:firstLine="640" w:firstLineChars="200"/>
        <w:jc w:val="both"/>
        <w:rPr>
          <w:rFonts w:ascii="仿宋" w:hAnsi="仿宋" w:eastAsia="仿宋" w:cs="仿宋"/>
          <w:sz w:val="32"/>
          <w:szCs w:val="32"/>
        </w:rPr>
      </w:pPr>
      <w:r>
        <w:rPr>
          <w:rFonts w:hint="eastAsia" w:ascii="仿宋" w:hAnsi="仿宋" w:eastAsia="仿宋" w:cs="仿宋"/>
          <w:sz w:val="32"/>
          <w:szCs w:val="32"/>
        </w:rPr>
        <w:t>（三）管理岗位包括直属企业单位正职、副职；一般工作岗位包括在机关从事业务岗位及行政岗位工作的办事员和工勤人员（驾驶员、保洁员、后勤服务员）。</w:t>
      </w:r>
    </w:p>
    <w:p>
      <w:pPr>
        <w:pStyle w:val="8"/>
        <w:spacing w:before="0" w:beforeAutospacing="0" w:after="0" w:afterAutospacing="0" w:line="576" w:lineRule="exact"/>
        <w:ind w:firstLine="640" w:firstLineChars="200"/>
        <w:jc w:val="both"/>
        <w:rPr>
          <w:rFonts w:ascii="仿宋" w:hAnsi="仿宋" w:eastAsia="仿宋" w:cs="仿宋"/>
          <w:sz w:val="32"/>
          <w:szCs w:val="32"/>
        </w:rPr>
      </w:pPr>
      <w:r>
        <w:rPr>
          <w:rFonts w:hint="eastAsia" w:ascii="仿宋" w:hAnsi="仿宋" w:eastAsia="仿宋" w:cs="仿宋"/>
          <w:sz w:val="32"/>
          <w:szCs w:val="32"/>
        </w:rPr>
        <w:t>（四）经用人单位和综合办公室考核称职后，聘用人员可以续签劳动合同。</w:t>
      </w:r>
    </w:p>
    <w:p>
      <w:pPr>
        <w:pStyle w:val="8"/>
        <w:spacing w:before="0" w:beforeAutospacing="0" w:after="0" w:afterAutospacing="0" w:line="576" w:lineRule="exact"/>
        <w:ind w:firstLine="640" w:firstLineChars="200"/>
        <w:jc w:val="both"/>
        <w:rPr>
          <w:rFonts w:ascii="仿宋" w:hAnsi="仿宋" w:eastAsia="仿宋" w:cs="仿宋"/>
          <w:sz w:val="32"/>
          <w:szCs w:val="32"/>
        </w:rPr>
      </w:pPr>
      <w:r>
        <w:rPr>
          <w:rFonts w:hint="eastAsia" w:ascii="仿宋" w:hAnsi="仿宋" w:eastAsia="仿宋" w:cs="仿宋"/>
          <w:sz w:val="32"/>
          <w:szCs w:val="32"/>
        </w:rPr>
        <w:t>聘用人员工作满1年，经新区办党委会考核称职后，可续签3年期合同。</w:t>
      </w:r>
    </w:p>
    <w:p>
      <w:pPr>
        <w:pStyle w:val="8"/>
        <w:spacing w:before="0" w:beforeAutospacing="0" w:after="0" w:afterAutospacing="0" w:line="576" w:lineRule="exact"/>
        <w:ind w:firstLine="640" w:firstLineChars="200"/>
        <w:jc w:val="both"/>
        <w:rPr>
          <w:rFonts w:ascii="仿宋" w:hAnsi="仿宋" w:eastAsia="仿宋" w:cs="仿宋"/>
          <w:sz w:val="32"/>
          <w:szCs w:val="32"/>
        </w:rPr>
      </w:pPr>
      <w:r>
        <w:rPr>
          <w:rFonts w:hint="eastAsia" w:ascii="仿宋" w:hAnsi="仿宋" w:eastAsia="仿宋" w:cs="仿宋"/>
          <w:sz w:val="32"/>
          <w:szCs w:val="32"/>
        </w:rPr>
        <w:t xml:space="preserve">（五）管理岗位工作人员实行岗位竞聘 </w:t>
      </w:r>
    </w:p>
    <w:p>
      <w:pPr>
        <w:pStyle w:val="8"/>
        <w:spacing w:before="0" w:beforeAutospacing="0" w:after="0" w:afterAutospacing="0" w:line="576" w:lineRule="exact"/>
        <w:ind w:firstLine="640" w:firstLineChars="200"/>
        <w:jc w:val="both"/>
        <w:rPr>
          <w:rFonts w:ascii="仿宋" w:hAnsi="仿宋" w:eastAsia="仿宋" w:cs="仿宋"/>
          <w:sz w:val="32"/>
          <w:szCs w:val="32"/>
        </w:rPr>
      </w:pPr>
      <w:r>
        <w:rPr>
          <w:rFonts w:hint="eastAsia" w:ascii="仿宋" w:hAnsi="仿宋" w:eastAsia="仿宋" w:cs="仿宋"/>
          <w:sz w:val="32"/>
          <w:szCs w:val="32"/>
        </w:rPr>
        <w:t>聘用人员工作满3年以上，具有竞聘直属企业副职领导资格。</w:t>
      </w:r>
    </w:p>
    <w:p>
      <w:pPr>
        <w:pStyle w:val="8"/>
        <w:spacing w:before="0" w:beforeAutospacing="0" w:after="0" w:afterAutospacing="0" w:line="576" w:lineRule="exact"/>
        <w:ind w:firstLine="640" w:firstLineChars="200"/>
        <w:jc w:val="both"/>
        <w:rPr>
          <w:rFonts w:ascii="仿宋" w:hAnsi="仿宋" w:eastAsia="仿宋" w:cs="仿宋"/>
          <w:sz w:val="32"/>
          <w:szCs w:val="32"/>
        </w:rPr>
      </w:pPr>
      <w:r>
        <w:rPr>
          <w:rFonts w:hint="eastAsia" w:ascii="仿宋" w:hAnsi="仿宋" w:eastAsia="仿宋" w:cs="仿宋"/>
          <w:sz w:val="32"/>
          <w:szCs w:val="32"/>
        </w:rPr>
        <w:t xml:space="preserve">聘用人员工作满3年，工作业绩特别突出的工作人员，提交生态新区党委会研究同意通过后，可特殊竞聘，可享受直属企业副职领导工资待遇。 </w:t>
      </w:r>
    </w:p>
    <w:p>
      <w:pPr>
        <w:spacing w:line="576" w:lineRule="exact"/>
        <w:ind w:firstLine="640"/>
        <w:rPr>
          <w:rFonts w:ascii="仿宋" w:hAnsi="仿宋" w:cs="仿宋"/>
          <w:szCs w:val="32"/>
        </w:rPr>
      </w:pPr>
      <w:r>
        <w:rPr>
          <w:rFonts w:hint="eastAsia" w:ascii="仿宋" w:hAnsi="仿宋" w:cs="仿宋"/>
          <w:kern w:val="0"/>
          <w:szCs w:val="32"/>
        </w:rPr>
        <w:t>（六）劳动合同终止前30天，用人单位通知当事人，终止或续订劳动合同，当事人应在7个工作日内书面答复。如果续订劳动合同，双方必须在合同到期前续订。</w:t>
      </w:r>
    </w:p>
    <w:p>
      <w:pPr>
        <w:spacing w:line="576" w:lineRule="exact"/>
        <w:ind w:firstLine="640" w:firstLineChars="200"/>
        <w:rPr>
          <w:rFonts w:ascii="仿宋" w:hAnsi="仿宋" w:cs="仿宋"/>
          <w:szCs w:val="32"/>
        </w:rPr>
      </w:pPr>
      <w:r>
        <w:rPr>
          <w:rFonts w:hint="eastAsia" w:ascii="仿宋" w:hAnsi="仿宋" w:cs="仿宋"/>
          <w:kern w:val="0"/>
          <w:szCs w:val="32"/>
        </w:rPr>
        <w:t xml:space="preserve">（七）聘用人员提前30日以书面形式通知生态新区综合办公室，可以解除劳动合同。聘用人员在试用期内提前三日通知生态新区综合办公室，可以解除劳动合同。 </w:t>
      </w:r>
    </w:p>
    <w:p>
      <w:pPr>
        <w:pStyle w:val="8"/>
        <w:spacing w:before="0" w:beforeAutospacing="0" w:after="0" w:afterAutospacing="0" w:line="576" w:lineRule="exact"/>
        <w:ind w:firstLine="675"/>
        <w:jc w:val="both"/>
        <w:rPr>
          <w:rFonts w:ascii="仿宋" w:hAnsi="仿宋" w:eastAsia="仿宋" w:cs="仿宋"/>
          <w:sz w:val="32"/>
          <w:szCs w:val="32"/>
        </w:rPr>
      </w:pPr>
      <w:r>
        <w:rPr>
          <w:rFonts w:hint="eastAsia" w:ascii="仿宋" w:hAnsi="仿宋" w:eastAsia="仿宋" w:cs="仿宋"/>
          <w:bCs/>
          <w:sz w:val="32"/>
          <w:szCs w:val="32"/>
        </w:rPr>
        <w:t>（</w:t>
      </w:r>
      <w:r>
        <w:rPr>
          <w:rFonts w:hint="eastAsia" w:ascii="仿宋" w:hAnsi="仿宋" w:eastAsia="仿宋" w:cs="仿宋"/>
          <w:sz w:val="32"/>
          <w:szCs w:val="32"/>
        </w:rPr>
        <w:t>八）聘用人员的工资由协议工资和工龄工资构成。（附件一）</w:t>
      </w:r>
    </w:p>
    <w:p>
      <w:pPr>
        <w:pStyle w:val="8"/>
        <w:spacing w:before="0" w:beforeAutospacing="0" w:after="0" w:afterAutospacing="0" w:line="576" w:lineRule="exact"/>
        <w:ind w:firstLine="660"/>
        <w:jc w:val="both"/>
        <w:rPr>
          <w:rFonts w:ascii="仿宋" w:hAnsi="仿宋" w:eastAsia="仿宋" w:cs="仿宋"/>
          <w:sz w:val="32"/>
          <w:szCs w:val="32"/>
        </w:rPr>
      </w:pPr>
      <w:r>
        <w:rPr>
          <w:rFonts w:hint="eastAsia" w:ascii="仿宋" w:hAnsi="仿宋" w:eastAsia="仿宋" w:cs="仿宋"/>
          <w:sz w:val="32"/>
          <w:szCs w:val="32"/>
        </w:rPr>
        <w:t>（九）聘用人员的工资如遇政策性调整，由综合办公室根据相关制度规定提出调整方案，经新区办党委会研究后方可执行。　　</w:t>
      </w:r>
    </w:p>
    <w:p>
      <w:pPr>
        <w:pStyle w:val="8"/>
        <w:spacing w:before="0" w:beforeAutospacing="0" w:after="0" w:afterAutospacing="0" w:line="576" w:lineRule="exact"/>
        <w:ind w:firstLine="643" w:firstLineChars="201"/>
        <w:jc w:val="both"/>
        <w:rPr>
          <w:rFonts w:ascii="仿宋" w:hAnsi="仿宋" w:eastAsia="仿宋" w:cs="仿宋"/>
          <w:sz w:val="32"/>
          <w:szCs w:val="32"/>
        </w:rPr>
      </w:pPr>
      <w:r>
        <w:rPr>
          <w:rFonts w:hint="eastAsia" w:ascii="仿宋" w:hAnsi="仿宋" w:eastAsia="仿宋" w:cs="仿宋"/>
          <w:sz w:val="32"/>
          <w:szCs w:val="32"/>
        </w:rPr>
        <w:t>（十）聘用人员试用期满后，新区办应根据《劳动法》的规定，为聘用人员缴纳基本养老保险、基本医疗保险、工伤保险、失业保险、生育保险费。续签三年期以上合同的人员可以享受住房公积金待遇，公积金缴纳比例个人8%，单位缴纳8%。</w:t>
      </w:r>
    </w:p>
    <w:p>
      <w:pPr>
        <w:pStyle w:val="8"/>
        <w:spacing w:before="0" w:beforeAutospacing="0" w:after="0" w:afterAutospacing="0" w:line="576" w:lineRule="exact"/>
        <w:jc w:val="both"/>
        <w:rPr>
          <w:rFonts w:ascii="仿宋" w:hAnsi="仿宋" w:eastAsia="仿宋" w:cs="仿宋"/>
          <w:sz w:val="32"/>
          <w:szCs w:val="32"/>
        </w:rPr>
      </w:pPr>
      <w:r>
        <w:rPr>
          <w:rFonts w:hint="eastAsia" w:ascii="仿宋" w:hAnsi="仿宋" w:eastAsia="仿宋" w:cs="仿宋"/>
          <w:sz w:val="32"/>
          <w:szCs w:val="32"/>
        </w:rPr>
        <w:t>　　（十一）聘用人员的基本养老保险、基本医疗保险、工伤保险、失业保险、生育保险和住房公积金，按照市社保经办机构核定的缴费基数，单位缴纳的部分，由生态新区综合办公室根据社保经办机构核定的基数按月缴纳社保经办机构。聘用人员个人缴纳的部分，在工资中代扣代缴，工资总额含五险一金。</w:t>
      </w:r>
    </w:p>
    <w:p>
      <w:pPr>
        <w:pStyle w:val="8"/>
        <w:spacing w:before="0" w:beforeAutospacing="0" w:after="0" w:afterAutospacing="0" w:line="576" w:lineRule="exact"/>
        <w:ind w:firstLine="645"/>
        <w:jc w:val="both"/>
        <w:rPr>
          <w:rFonts w:ascii="仿宋" w:hAnsi="仿宋" w:eastAsia="仿宋" w:cs="仿宋"/>
          <w:sz w:val="32"/>
          <w:szCs w:val="32"/>
        </w:rPr>
      </w:pPr>
      <w:r>
        <w:rPr>
          <w:rFonts w:hint="eastAsia" w:ascii="仿宋" w:hAnsi="仿宋" w:eastAsia="仿宋" w:cs="仿宋"/>
          <w:sz w:val="32"/>
          <w:szCs w:val="32"/>
        </w:rPr>
        <w:t>（十二）</w:t>
      </w:r>
      <w:r>
        <w:rPr>
          <w:rFonts w:hint="eastAsia" w:ascii="仿宋" w:hAnsi="仿宋" w:eastAsia="仿宋" w:cs="仿宋"/>
          <w:bCs/>
          <w:sz w:val="32"/>
          <w:szCs w:val="32"/>
        </w:rPr>
        <w:t>工伤事故根据国务院《工务保险条例》有关文件规定执行。</w:t>
      </w:r>
    </w:p>
    <w:p>
      <w:pPr>
        <w:pStyle w:val="8"/>
        <w:spacing w:before="0" w:beforeAutospacing="0" w:after="0" w:afterAutospacing="0" w:line="560" w:lineRule="atLeast"/>
        <w:jc w:val="center"/>
        <w:outlineLvl w:val="0"/>
        <w:rPr>
          <w:rFonts w:ascii="黑体" w:eastAsia="黑体" w:cs="Arial"/>
          <w:bCs/>
          <w:sz w:val="32"/>
          <w:szCs w:val="32"/>
        </w:rPr>
      </w:pPr>
      <w:bookmarkStart w:id="116" w:name="_Toc12815"/>
      <w:bookmarkStart w:id="117" w:name="_Toc28941"/>
      <w:bookmarkStart w:id="118" w:name="_Toc10427"/>
      <w:bookmarkStart w:id="119" w:name="_Toc3254"/>
      <w:r>
        <w:rPr>
          <w:rFonts w:hint="eastAsia" w:ascii="黑体" w:eastAsia="黑体" w:cs="Arial"/>
          <w:bCs/>
          <w:sz w:val="32"/>
          <w:szCs w:val="32"/>
        </w:rPr>
        <w:t>第三章　　人员管理</w:t>
      </w:r>
      <w:bookmarkEnd w:id="116"/>
      <w:bookmarkEnd w:id="117"/>
      <w:bookmarkEnd w:id="118"/>
      <w:bookmarkEnd w:id="119"/>
    </w:p>
    <w:p>
      <w:pPr>
        <w:tabs>
          <w:tab w:val="left" w:pos="1440"/>
          <w:tab w:val="left" w:pos="1800"/>
        </w:tabs>
        <w:spacing w:line="576" w:lineRule="exact"/>
        <w:ind w:firstLine="643" w:firstLineChars="200"/>
        <w:rPr>
          <w:rFonts w:ascii="仿宋" w:hAnsi="仿宋" w:cs="仿宋"/>
          <w:szCs w:val="32"/>
        </w:rPr>
      </w:pPr>
      <w:r>
        <w:rPr>
          <w:rFonts w:hint="eastAsia" w:ascii="仿宋" w:hAnsi="仿宋" w:cs="仿宋"/>
          <w:b/>
          <w:szCs w:val="32"/>
        </w:rPr>
        <w:t>第七条　</w:t>
      </w:r>
      <w:r>
        <w:rPr>
          <w:rFonts w:hint="eastAsia" w:ascii="仿宋" w:hAnsi="仿宋" w:cs="仿宋"/>
          <w:kern w:val="0"/>
          <w:szCs w:val="32"/>
        </w:rPr>
        <w:t>聘用人员经考核合格后，与生态新区直属企业签订劳动合同。</w:t>
      </w:r>
    </w:p>
    <w:p>
      <w:pPr>
        <w:tabs>
          <w:tab w:val="left" w:pos="1440"/>
          <w:tab w:val="left" w:pos="1800"/>
        </w:tabs>
        <w:spacing w:line="576" w:lineRule="exact"/>
        <w:ind w:firstLine="643" w:firstLineChars="200"/>
        <w:rPr>
          <w:rFonts w:ascii="仿宋" w:hAnsi="仿宋" w:cs="仿宋"/>
          <w:kern w:val="0"/>
          <w:szCs w:val="32"/>
        </w:rPr>
      </w:pPr>
      <w:r>
        <w:rPr>
          <w:rFonts w:hint="eastAsia" w:ascii="仿宋" w:hAnsi="仿宋" w:cs="仿宋"/>
          <w:b/>
          <w:szCs w:val="32"/>
        </w:rPr>
        <w:t>第八条</w:t>
      </w:r>
      <w:r>
        <w:rPr>
          <w:rFonts w:hint="eastAsia" w:ascii="仿宋" w:hAnsi="仿宋" w:cs="仿宋"/>
          <w:szCs w:val="32"/>
        </w:rPr>
        <w:t>　</w:t>
      </w:r>
      <w:r>
        <w:rPr>
          <w:rFonts w:hint="eastAsia" w:ascii="仿宋" w:hAnsi="仿宋" w:cs="仿宋"/>
          <w:kern w:val="0"/>
          <w:szCs w:val="32"/>
        </w:rPr>
        <w:t>聘用人员需填写《劳动合同制工作人员登记表》，并向生态新区综合办公室提交个人身份证复印件及相关学历证书等相关个人资料。</w:t>
      </w:r>
    </w:p>
    <w:p>
      <w:pPr>
        <w:tabs>
          <w:tab w:val="left" w:pos="1440"/>
          <w:tab w:val="left" w:pos="1800"/>
        </w:tabs>
        <w:spacing w:line="576" w:lineRule="exact"/>
        <w:ind w:firstLine="643" w:firstLineChars="200"/>
        <w:rPr>
          <w:rFonts w:ascii="仿宋" w:hAnsi="仿宋" w:cs="仿宋"/>
          <w:kern w:val="0"/>
          <w:szCs w:val="32"/>
        </w:rPr>
      </w:pPr>
      <w:r>
        <w:rPr>
          <w:rFonts w:hint="eastAsia" w:ascii="仿宋" w:hAnsi="仿宋" w:cs="仿宋"/>
          <w:b/>
          <w:szCs w:val="32"/>
        </w:rPr>
        <w:t>第九条</w:t>
      </w:r>
      <w:r>
        <w:rPr>
          <w:rFonts w:hint="eastAsia" w:ascii="仿宋" w:hAnsi="仿宋" w:cs="仿宋"/>
          <w:szCs w:val="32"/>
        </w:rPr>
        <w:t>　聘用人员由新区办统一管理，具体工作由用人单位负责考核</w:t>
      </w:r>
      <w:r>
        <w:rPr>
          <w:rFonts w:hint="eastAsia" w:ascii="仿宋" w:hAnsi="仿宋" w:cs="仿宋"/>
          <w:kern w:val="0"/>
          <w:szCs w:val="32"/>
        </w:rPr>
        <w:t>。</w:t>
      </w:r>
    </w:p>
    <w:p>
      <w:pPr>
        <w:tabs>
          <w:tab w:val="left" w:pos="1440"/>
          <w:tab w:val="left" w:pos="1800"/>
        </w:tabs>
        <w:spacing w:line="576" w:lineRule="exact"/>
        <w:ind w:firstLine="643" w:firstLineChars="200"/>
        <w:rPr>
          <w:rFonts w:ascii="仿宋" w:hAnsi="仿宋" w:cs="仿宋"/>
          <w:szCs w:val="32"/>
        </w:rPr>
      </w:pPr>
      <w:r>
        <w:rPr>
          <w:rFonts w:hint="eastAsia" w:ascii="仿宋" w:hAnsi="仿宋" w:cs="仿宋"/>
          <w:b/>
          <w:szCs w:val="32"/>
        </w:rPr>
        <w:t>第十条</w:t>
      </w:r>
      <w:r>
        <w:rPr>
          <w:rFonts w:hint="eastAsia" w:ascii="仿宋" w:hAnsi="仿宋" w:cs="仿宋"/>
          <w:szCs w:val="32"/>
        </w:rPr>
        <w:t>　各用人部门应加强对聘用人员的思想教育、业务培训，为其设立岗位目标责任制。综合办公室对岗位责任制执行和落实情况进行不定期的监督检查。</w:t>
      </w:r>
    </w:p>
    <w:p>
      <w:pPr>
        <w:spacing w:line="576" w:lineRule="exact"/>
        <w:ind w:firstLine="643" w:firstLineChars="200"/>
        <w:rPr>
          <w:rFonts w:ascii="仿宋" w:hAnsi="仿宋" w:cs="仿宋"/>
          <w:szCs w:val="32"/>
        </w:rPr>
      </w:pPr>
      <w:r>
        <w:rPr>
          <w:rFonts w:hint="eastAsia" w:ascii="仿宋" w:hAnsi="仿宋" w:cs="仿宋"/>
          <w:b/>
          <w:kern w:val="0"/>
          <w:szCs w:val="32"/>
        </w:rPr>
        <w:t>第十一条</w:t>
      </w:r>
      <w:r>
        <w:rPr>
          <w:rFonts w:hint="eastAsia" w:ascii="仿宋" w:hAnsi="仿宋" w:cs="仿宋"/>
          <w:kern w:val="0"/>
          <w:szCs w:val="32"/>
        </w:rPr>
        <w:t>　按时上下班，不迟到、不早退，上班时间不得擅自离开工作岗位，外出办事须经所属部门负责人同意。</w:t>
      </w:r>
      <w:r>
        <w:rPr>
          <w:rFonts w:hint="eastAsia" w:ascii="仿宋" w:hAnsi="仿宋" w:cs="仿宋"/>
          <w:szCs w:val="32"/>
        </w:rPr>
        <w:t> </w:t>
      </w:r>
    </w:p>
    <w:p>
      <w:pPr>
        <w:spacing w:line="576" w:lineRule="exact"/>
        <w:rPr>
          <w:rFonts w:ascii="仿宋" w:hAnsi="仿宋" w:cs="仿宋"/>
          <w:szCs w:val="32"/>
        </w:rPr>
      </w:pPr>
      <w:r>
        <w:rPr>
          <w:rFonts w:hint="eastAsia" w:ascii="仿宋" w:hAnsi="仿宋" w:cs="仿宋"/>
          <w:szCs w:val="32"/>
        </w:rPr>
        <w:t xml:space="preserve">    </w:t>
      </w:r>
      <w:r>
        <w:rPr>
          <w:rFonts w:hint="eastAsia" w:ascii="仿宋" w:hAnsi="仿宋" w:cs="仿宋"/>
          <w:b/>
          <w:kern w:val="0"/>
          <w:szCs w:val="32"/>
        </w:rPr>
        <w:t>第十二条</w:t>
      </w:r>
      <w:r>
        <w:rPr>
          <w:rFonts w:hint="eastAsia" w:ascii="仿宋" w:hAnsi="仿宋" w:cs="仿宋"/>
          <w:b/>
          <w:szCs w:val="32"/>
        </w:rPr>
        <w:t>　</w:t>
      </w:r>
      <w:r>
        <w:rPr>
          <w:rFonts w:hint="eastAsia" w:ascii="仿宋" w:hAnsi="仿宋" w:cs="仿宋"/>
          <w:kern w:val="0"/>
          <w:szCs w:val="32"/>
        </w:rPr>
        <w:t>请休假严格按照生态新区在编干部职工请休假制度执行，未经批准擅离工作岗位的按旷工处理。</w:t>
      </w:r>
      <w:r>
        <w:rPr>
          <w:rFonts w:hint="eastAsia" w:ascii="仿宋" w:hAnsi="仿宋" w:cs="仿宋"/>
          <w:szCs w:val="32"/>
        </w:rPr>
        <w:t> </w:t>
      </w:r>
    </w:p>
    <w:p>
      <w:pPr>
        <w:spacing w:line="576" w:lineRule="exact"/>
        <w:ind w:firstLine="643" w:firstLineChars="200"/>
        <w:rPr>
          <w:rFonts w:ascii="仿宋" w:hAnsi="仿宋" w:cs="仿宋"/>
          <w:szCs w:val="32"/>
        </w:rPr>
      </w:pPr>
      <w:r>
        <w:rPr>
          <w:rFonts w:hint="eastAsia" w:ascii="仿宋" w:hAnsi="仿宋" w:cs="仿宋"/>
          <w:b/>
          <w:kern w:val="0"/>
          <w:szCs w:val="32"/>
        </w:rPr>
        <w:t>第十三条</w:t>
      </w:r>
      <w:r>
        <w:rPr>
          <w:rFonts w:hint="eastAsia" w:ascii="仿宋" w:hAnsi="仿宋" w:cs="仿宋"/>
          <w:szCs w:val="32"/>
        </w:rPr>
        <w:t>　无故</w:t>
      </w:r>
      <w:r>
        <w:rPr>
          <w:rFonts w:hint="eastAsia" w:ascii="仿宋" w:hAnsi="仿宋" w:cs="仿宋"/>
          <w:kern w:val="0"/>
          <w:szCs w:val="32"/>
        </w:rPr>
        <w:t>旷工累计3天以上解除劳动合同；累计旷工15天以上，解除劳动合同。    </w:t>
      </w:r>
      <w:r>
        <w:rPr>
          <w:rFonts w:hint="eastAsia" w:ascii="仿宋" w:hAnsi="仿宋" w:cs="仿宋"/>
          <w:szCs w:val="32"/>
        </w:rPr>
        <w:t> </w:t>
      </w:r>
    </w:p>
    <w:p>
      <w:pPr>
        <w:spacing w:line="576" w:lineRule="exact"/>
        <w:rPr>
          <w:rFonts w:ascii="仿宋" w:hAnsi="仿宋" w:cs="仿宋"/>
          <w:szCs w:val="32"/>
        </w:rPr>
      </w:pPr>
      <w:r>
        <w:rPr>
          <w:rFonts w:hint="eastAsia" w:ascii="仿宋" w:hAnsi="仿宋" w:cs="仿宋"/>
          <w:szCs w:val="32"/>
        </w:rPr>
        <w:t xml:space="preserve">  </w:t>
      </w:r>
      <w:r>
        <w:rPr>
          <w:rFonts w:hint="eastAsia" w:ascii="仿宋" w:hAnsi="仿宋" w:cs="仿宋"/>
          <w:b/>
          <w:szCs w:val="32"/>
        </w:rPr>
        <w:t xml:space="preserve">  </w:t>
      </w:r>
      <w:r>
        <w:rPr>
          <w:rFonts w:hint="eastAsia" w:ascii="仿宋" w:hAnsi="仿宋" w:cs="仿宋"/>
          <w:b/>
          <w:kern w:val="0"/>
          <w:szCs w:val="32"/>
        </w:rPr>
        <w:t>第十四条</w:t>
      </w:r>
      <w:r>
        <w:rPr>
          <w:rFonts w:hint="eastAsia" w:ascii="仿宋" w:hAnsi="仿宋" w:cs="仿宋"/>
          <w:szCs w:val="32"/>
        </w:rPr>
        <w:t>　</w:t>
      </w:r>
      <w:r>
        <w:rPr>
          <w:rFonts w:hint="eastAsia" w:ascii="仿宋" w:hAnsi="仿宋" w:cs="仿宋"/>
          <w:kern w:val="0"/>
          <w:szCs w:val="32"/>
        </w:rPr>
        <w:t>迟到、早退按月累计，每达3次按旷工1天处理。</w:t>
      </w:r>
      <w:r>
        <w:rPr>
          <w:rFonts w:hint="eastAsia" w:ascii="仿宋" w:hAnsi="仿宋" w:cs="仿宋"/>
          <w:szCs w:val="32"/>
        </w:rPr>
        <w:t> </w:t>
      </w:r>
    </w:p>
    <w:p>
      <w:pPr>
        <w:spacing w:line="576" w:lineRule="exact"/>
        <w:rPr>
          <w:rFonts w:ascii="仿宋" w:hAnsi="仿宋" w:cs="仿宋"/>
          <w:kern w:val="0"/>
          <w:szCs w:val="32"/>
        </w:rPr>
      </w:pPr>
      <w:r>
        <w:rPr>
          <w:rFonts w:hint="eastAsia" w:ascii="仿宋" w:hAnsi="仿宋" w:cs="仿宋"/>
          <w:szCs w:val="32"/>
        </w:rPr>
        <w:t xml:space="preserve">    </w:t>
      </w:r>
      <w:r>
        <w:rPr>
          <w:rFonts w:hint="eastAsia" w:ascii="仿宋" w:hAnsi="仿宋" w:cs="仿宋"/>
          <w:b/>
          <w:kern w:val="0"/>
          <w:szCs w:val="32"/>
        </w:rPr>
        <w:t>第十五条</w:t>
      </w:r>
      <w:r>
        <w:rPr>
          <w:rFonts w:hint="eastAsia" w:ascii="仿宋" w:hAnsi="仿宋" w:cs="仿宋"/>
          <w:szCs w:val="32"/>
        </w:rPr>
        <w:t>　</w:t>
      </w:r>
      <w:r>
        <w:rPr>
          <w:rFonts w:hint="eastAsia" w:ascii="仿宋" w:hAnsi="仿宋" w:cs="仿宋"/>
          <w:kern w:val="0"/>
          <w:szCs w:val="32"/>
        </w:rPr>
        <w:t>聘用人员病假期间工资按《劳动法》相关规定执行。 </w:t>
      </w:r>
    </w:p>
    <w:p>
      <w:pPr>
        <w:pStyle w:val="8"/>
        <w:spacing w:before="0" w:beforeAutospacing="0" w:after="0" w:afterAutospacing="0" w:line="576" w:lineRule="exact"/>
        <w:ind w:firstLine="643" w:firstLineChars="200"/>
        <w:jc w:val="both"/>
        <w:rPr>
          <w:rFonts w:ascii="仿宋" w:hAnsi="仿宋" w:eastAsia="仿宋" w:cs="仿宋"/>
          <w:sz w:val="32"/>
          <w:szCs w:val="32"/>
        </w:rPr>
      </w:pPr>
      <w:r>
        <w:rPr>
          <w:rFonts w:hint="eastAsia" w:ascii="仿宋" w:hAnsi="仿宋" w:eastAsia="仿宋" w:cs="仿宋"/>
          <w:b/>
          <w:sz w:val="32"/>
          <w:szCs w:val="32"/>
        </w:rPr>
        <w:t>第十六条</w:t>
      </w:r>
      <w:r>
        <w:rPr>
          <w:rFonts w:hint="eastAsia" w:ascii="仿宋" w:hAnsi="仿宋" w:eastAsia="仿宋" w:cs="仿宋"/>
          <w:sz w:val="32"/>
          <w:szCs w:val="32"/>
        </w:rPr>
        <w:t>　以日常考核、年终考核结果为依据，按照《劳动合同法》第39条、40条，解除劳动合同。</w:t>
      </w:r>
    </w:p>
    <w:p>
      <w:pPr>
        <w:pStyle w:val="8"/>
        <w:spacing w:before="0" w:beforeAutospacing="0" w:after="0" w:afterAutospacing="0" w:line="576" w:lineRule="exact"/>
        <w:ind w:firstLine="643" w:firstLineChars="200"/>
        <w:jc w:val="both"/>
        <w:rPr>
          <w:rFonts w:ascii="仿宋" w:hAnsi="仿宋" w:eastAsia="仿宋" w:cs="仿宋"/>
          <w:sz w:val="32"/>
          <w:szCs w:val="32"/>
        </w:rPr>
      </w:pPr>
      <w:r>
        <w:rPr>
          <w:rFonts w:hint="eastAsia" w:ascii="仿宋" w:hAnsi="仿宋" w:eastAsia="仿宋" w:cs="仿宋"/>
          <w:b/>
          <w:bCs/>
          <w:sz w:val="32"/>
          <w:szCs w:val="32"/>
        </w:rPr>
        <w:t>第十七条</w:t>
      </w:r>
      <w:r>
        <w:rPr>
          <w:rFonts w:hint="eastAsia" w:ascii="仿宋" w:hAnsi="仿宋" w:eastAsia="仿宋" w:cs="仿宋"/>
          <w:sz w:val="32"/>
          <w:szCs w:val="32"/>
        </w:rPr>
        <w:t xml:space="preserve">  聘用制人员岗位考核分值为100分。</w:t>
      </w:r>
    </w:p>
    <w:p>
      <w:pPr>
        <w:pStyle w:val="8"/>
        <w:spacing w:before="0" w:beforeAutospacing="0" w:after="0" w:afterAutospacing="0" w:line="576" w:lineRule="exact"/>
        <w:ind w:firstLine="640" w:firstLineChars="200"/>
        <w:jc w:val="both"/>
        <w:rPr>
          <w:rFonts w:ascii="仿宋" w:hAnsi="仿宋" w:eastAsia="仿宋" w:cs="仿宋"/>
          <w:sz w:val="32"/>
          <w:szCs w:val="32"/>
        </w:rPr>
      </w:pPr>
      <w:r>
        <w:rPr>
          <w:rFonts w:hint="eastAsia" w:ascii="仿宋" w:hAnsi="仿宋" w:eastAsia="仿宋" w:cs="仿宋"/>
          <w:sz w:val="32"/>
          <w:szCs w:val="32"/>
        </w:rPr>
        <w:t>（一）各局办负责对本局使用聘用制人员的个性工作进行考核，目标分值30分。需制定不少于3项有量化指标的个性工作目标，并按照工作目标的重要性、工作量的多少，分别赋予相应分值。</w:t>
      </w:r>
    </w:p>
    <w:p>
      <w:pPr>
        <w:spacing w:line="600" w:lineRule="exact"/>
        <w:ind w:firstLine="660"/>
        <w:rPr>
          <w:rFonts w:ascii="仿宋" w:hAnsi="仿宋" w:cs="仿宋"/>
          <w:kern w:val="0"/>
          <w:szCs w:val="32"/>
        </w:rPr>
      </w:pPr>
      <w:r>
        <w:rPr>
          <w:rFonts w:hint="eastAsia" w:ascii="仿宋" w:hAnsi="仿宋" w:cs="仿宋"/>
          <w:szCs w:val="32"/>
        </w:rPr>
        <w:t>（二）综合办公室负责对聘用</w:t>
      </w:r>
      <w:r>
        <w:rPr>
          <w:rFonts w:hint="eastAsia" w:ascii="仿宋" w:hAnsi="仿宋" w:cs="仿宋"/>
          <w:kern w:val="0"/>
          <w:szCs w:val="32"/>
        </w:rPr>
        <w:t>人员的共性工作进行考核，目标分值30分。其中：敬业精神占10分，主要包括工作责任心、工作态度、工作作风、团结协作、出勤情况等方面；廉洁自律占10分，主要包括遵纪守法、廉洁奉公、行政行为、行政成本等方面；思想品德占10分，主要包括政治态度、思想品质、职业道德、社会公德等方面。</w:t>
      </w:r>
    </w:p>
    <w:p>
      <w:pPr>
        <w:spacing w:line="600" w:lineRule="exact"/>
        <w:ind w:firstLine="660"/>
        <w:rPr>
          <w:rFonts w:ascii="仿宋" w:hAnsi="仿宋" w:cs="仿宋"/>
          <w:kern w:val="0"/>
          <w:szCs w:val="32"/>
        </w:rPr>
      </w:pPr>
      <w:r>
        <w:rPr>
          <w:rFonts w:hint="eastAsia" w:ascii="仿宋" w:hAnsi="仿宋" w:cs="仿宋"/>
          <w:kern w:val="0"/>
          <w:szCs w:val="32"/>
        </w:rPr>
        <w:t>（三）测评分40分。领导班子测评分值占50%，测评分值20分；中层领导测评分值占50%，测评分值20分。</w:t>
      </w:r>
    </w:p>
    <w:p>
      <w:pPr>
        <w:spacing w:line="600" w:lineRule="exact"/>
        <w:ind w:firstLine="660"/>
        <w:rPr>
          <w:rFonts w:ascii="仿宋" w:hAnsi="仿宋" w:cs="仿宋"/>
          <w:kern w:val="0"/>
          <w:szCs w:val="32"/>
        </w:rPr>
      </w:pPr>
      <w:r>
        <w:rPr>
          <w:rFonts w:hint="eastAsia" w:ascii="仿宋" w:hAnsi="仿宋" w:cs="仿宋"/>
          <w:kern w:val="0"/>
          <w:szCs w:val="32"/>
        </w:rPr>
        <w:t>（四）考核结果分为四个等次：优秀、良好、称职、不称职。考核确定优秀等次的占考核人数的15%，良好等次的占考核人数的20%，称职等次的占考核人数的60%，不称职等次的占考核人数的5%。执行末尾淘汰制，连续两年考核位次靠后者，无条件解聘。</w:t>
      </w:r>
    </w:p>
    <w:p>
      <w:pPr>
        <w:pStyle w:val="8"/>
        <w:spacing w:before="0" w:beforeAutospacing="0" w:after="0" w:afterAutospacing="0" w:line="576" w:lineRule="exact"/>
        <w:jc w:val="center"/>
        <w:outlineLvl w:val="0"/>
        <w:rPr>
          <w:rFonts w:ascii="仿宋" w:hAnsi="仿宋" w:eastAsia="仿宋" w:cs="仿宋"/>
          <w:sz w:val="32"/>
          <w:szCs w:val="32"/>
        </w:rPr>
      </w:pPr>
      <w:bookmarkStart w:id="120" w:name="_Toc3516"/>
      <w:bookmarkStart w:id="121" w:name="_Toc13759"/>
      <w:bookmarkStart w:id="122" w:name="_Toc17621"/>
      <w:bookmarkStart w:id="123" w:name="_Toc1782"/>
      <w:r>
        <w:rPr>
          <w:rFonts w:hint="eastAsia" w:ascii="黑体" w:hAnsi="黑体" w:eastAsia="黑体" w:cs="黑体"/>
          <w:bCs/>
          <w:sz w:val="32"/>
          <w:szCs w:val="32"/>
        </w:rPr>
        <w:t>第四章　合同解除和终止</w:t>
      </w:r>
      <w:bookmarkEnd w:id="120"/>
      <w:bookmarkEnd w:id="121"/>
      <w:bookmarkEnd w:id="122"/>
      <w:bookmarkEnd w:id="123"/>
    </w:p>
    <w:p>
      <w:pPr>
        <w:spacing w:line="576" w:lineRule="exact"/>
        <w:ind w:firstLine="643" w:firstLineChars="200"/>
        <w:rPr>
          <w:rFonts w:ascii="仿宋" w:hAnsi="仿宋" w:cs="仿宋"/>
          <w:kern w:val="0"/>
          <w:szCs w:val="32"/>
        </w:rPr>
      </w:pPr>
      <w:r>
        <w:rPr>
          <w:rFonts w:hint="eastAsia" w:ascii="仿宋" w:hAnsi="仿宋" w:cs="仿宋"/>
          <w:b/>
          <w:szCs w:val="32"/>
        </w:rPr>
        <w:t>第十八条</w:t>
      </w:r>
      <w:r>
        <w:rPr>
          <w:rFonts w:hint="eastAsia" w:ascii="仿宋" w:hAnsi="仿宋" w:cs="仿宋"/>
          <w:szCs w:val="32"/>
        </w:rPr>
        <w:t>　除劳动合同规定的情形外，下列情况可以解除劳动合同。劳动合同期内，因客观情况发生变化，致使原劳动合同无法履行，经双方协商一致，可对劳动合同相关内容作相应变更。当事人一方要求变更劳动合同，应将变更要求书面送交另一方，另一方应在15日内做出书面答复。</w:t>
      </w:r>
    </w:p>
    <w:p>
      <w:pPr>
        <w:spacing w:line="576" w:lineRule="exact"/>
        <w:rPr>
          <w:rFonts w:ascii="仿宋" w:hAnsi="仿宋" w:cs="仿宋"/>
          <w:szCs w:val="32"/>
        </w:rPr>
      </w:pPr>
      <w:r>
        <w:rPr>
          <w:rFonts w:hint="eastAsia" w:ascii="仿宋" w:hAnsi="仿宋" w:cs="仿宋"/>
          <w:szCs w:val="32"/>
        </w:rPr>
        <w:t xml:space="preserve">    </w:t>
      </w:r>
      <w:r>
        <w:rPr>
          <w:rFonts w:hint="eastAsia" w:ascii="仿宋" w:hAnsi="仿宋" w:cs="仿宋"/>
          <w:b/>
          <w:kern w:val="0"/>
          <w:szCs w:val="32"/>
        </w:rPr>
        <w:t>第十九条</w:t>
      </w:r>
      <w:r>
        <w:rPr>
          <w:rFonts w:hint="eastAsia" w:ascii="仿宋" w:hAnsi="仿宋" w:cs="仿宋"/>
          <w:kern w:val="0"/>
          <w:szCs w:val="32"/>
        </w:rPr>
        <w:t>　劳动合同期满或合同双方约定的终止条件出现，劳动合同即行终止。离职人员按要求办理相关离职手续，按照单位要求交接本岗位工作。如果未履行相关要求，将把失信行为纳入个人诚信档案。</w:t>
      </w:r>
    </w:p>
    <w:p>
      <w:pPr>
        <w:pStyle w:val="8"/>
        <w:spacing w:before="0" w:beforeAutospacing="0" w:after="0" w:afterAutospacing="0" w:line="576" w:lineRule="exact"/>
        <w:ind w:firstLine="643" w:firstLineChars="200"/>
        <w:jc w:val="both"/>
        <w:rPr>
          <w:rFonts w:ascii="仿宋" w:hAnsi="仿宋" w:eastAsia="仿宋" w:cs="仿宋"/>
          <w:sz w:val="32"/>
          <w:szCs w:val="32"/>
        </w:rPr>
      </w:pPr>
      <w:r>
        <w:rPr>
          <w:rFonts w:hint="eastAsia" w:ascii="仿宋" w:hAnsi="仿宋" w:eastAsia="仿宋" w:cs="仿宋"/>
          <w:b/>
          <w:sz w:val="32"/>
          <w:szCs w:val="32"/>
        </w:rPr>
        <w:t>第二十条</w:t>
      </w:r>
      <w:r>
        <w:rPr>
          <w:rFonts w:hint="eastAsia" w:ascii="仿宋" w:hAnsi="仿宋" w:eastAsia="仿宋" w:cs="仿宋"/>
          <w:sz w:val="32"/>
          <w:szCs w:val="32"/>
        </w:rPr>
        <w:t xml:space="preserve">　聘用人员有下列情形之一的，生态新区及直属企业单位可以解除劳动合同： </w:t>
      </w:r>
    </w:p>
    <w:p>
      <w:pPr>
        <w:pStyle w:val="8"/>
        <w:spacing w:before="0" w:beforeAutospacing="0" w:after="0" w:afterAutospacing="0" w:line="576" w:lineRule="exact"/>
        <w:ind w:firstLine="640" w:firstLineChars="200"/>
        <w:jc w:val="both"/>
        <w:rPr>
          <w:rFonts w:ascii="仿宋" w:hAnsi="仿宋" w:eastAsia="仿宋" w:cs="仿宋"/>
          <w:sz w:val="32"/>
          <w:szCs w:val="32"/>
        </w:rPr>
      </w:pPr>
      <w:r>
        <w:rPr>
          <w:rFonts w:hint="eastAsia" w:ascii="仿宋" w:hAnsi="仿宋" w:eastAsia="仿宋" w:cs="仿宋"/>
          <w:sz w:val="32"/>
          <w:szCs w:val="32"/>
        </w:rPr>
        <w:t xml:space="preserve">（一）在试用期间被证明不符合聘用条件的； </w:t>
      </w:r>
    </w:p>
    <w:p>
      <w:pPr>
        <w:pStyle w:val="8"/>
        <w:spacing w:before="0" w:beforeAutospacing="0" w:after="0" w:afterAutospacing="0" w:line="576" w:lineRule="exact"/>
        <w:ind w:firstLine="640" w:firstLineChars="200"/>
        <w:jc w:val="both"/>
        <w:rPr>
          <w:rFonts w:ascii="仿宋" w:hAnsi="仿宋" w:eastAsia="仿宋" w:cs="仿宋"/>
          <w:sz w:val="32"/>
          <w:szCs w:val="32"/>
        </w:rPr>
      </w:pPr>
      <w:r>
        <w:rPr>
          <w:rFonts w:hint="eastAsia" w:ascii="仿宋" w:hAnsi="仿宋" w:eastAsia="仿宋" w:cs="仿宋"/>
          <w:sz w:val="32"/>
          <w:szCs w:val="32"/>
        </w:rPr>
        <w:t xml:space="preserve">（二）严重违反生态新区的规章制度的； </w:t>
      </w:r>
    </w:p>
    <w:p>
      <w:pPr>
        <w:pStyle w:val="8"/>
        <w:spacing w:before="0" w:beforeAutospacing="0" w:after="0" w:afterAutospacing="0" w:line="576" w:lineRule="exact"/>
        <w:ind w:firstLine="640" w:firstLineChars="200"/>
        <w:jc w:val="both"/>
        <w:rPr>
          <w:rFonts w:ascii="仿宋" w:hAnsi="仿宋" w:eastAsia="仿宋" w:cs="仿宋"/>
          <w:sz w:val="32"/>
          <w:szCs w:val="32"/>
        </w:rPr>
      </w:pPr>
      <w:r>
        <w:rPr>
          <w:rFonts w:hint="eastAsia" w:ascii="仿宋" w:hAnsi="仿宋" w:eastAsia="仿宋" w:cs="仿宋"/>
          <w:sz w:val="32"/>
          <w:szCs w:val="32"/>
        </w:rPr>
        <w:t xml:space="preserve">（三）严重失职，营私舞弊，给生态新区造成重大损害的； </w:t>
      </w:r>
    </w:p>
    <w:p>
      <w:pPr>
        <w:pStyle w:val="8"/>
        <w:spacing w:before="0" w:beforeAutospacing="0" w:after="0" w:afterAutospacing="0" w:line="576" w:lineRule="exact"/>
        <w:ind w:firstLine="640" w:firstLineChars="200"/>
        <w:jc w:val="both"/>
        <w:rPr>
          <w:rFonts w:ascii="仿宋" w:hAnsi="仿宋" w:eastAsia="仿宋" w:cs="仿宋"/>
          <w:sz w:val="32"/>
          <w:szCs w:val="32"/>
        </w:rPr>
      </w:pPr>
      <w:r>
        <w:rPr>
          <w:rFonts w:hint="eastAsia" w:ascii="仿宋" w:hAnsi="仿宋" w:eastAsia="仿宋" w:cs="仿宋"/>
          <w:sz w:val="32"/>
          <w:szCs w:val="32"/>
        </w:rPr>
        <w:t xml:space="preserve">（四）聘用人员同时与其他用人单位建立劳动关系，对完成本单位的工作任务造成严重影响，拒不改正的； </w:t>
      </w:r>
    </w:p>
    <w:p>
      <w:pPr>
        <w:pStyle w:val="8"/>
        <w:spacing w:before="0" w:beforeAutospacing="0" w:after="0" w:afterAutospacing="0" w:line="576" w:lineRule="exact"/>
        <w:ind w:firstLine="640" w:firstLineChars="200"/>
        <w:jc w:val="both"/>
        <w:rPr>
          <w:rFonts w:ascii="仿宋" w:hAnsi="仿宋" w:eastAsia="仿宋" w:cs="仿宋"/>
          <w:sz w:val="32"/>
          <w:szCs w:val="32"/>
        </w:rPr>
      </w:pPr>
      <w:r>
        <w:rPr>
          <w:rFonts w:hint="eastAsia" w:ascii="仿宋" w:hAnsi="仿宋" w:eastAsia="仿宋" w:cs="仿宋"/>
          <w:sz w:val="32"/>
          <w:szCs w:val="32"/>
        </w:rPr>
        <w:t xml:space="preserve">（五）被依法追究刑事责任的。 </w:t>
      </w:r>
    </w:p>
    <w:p>
      <w:pPr>
        <w:pStyle w:val="8"/>
        <w:spacing w:before="0" w:beforeAutospacing="0" w:after="0" w:afterAutospacing="0" w:line="576" w:lineRule="exact"/>
        <w:ind w:firstLine="3534" w:firstLineChars="1100"/>
        <w:jc w:val="both"/>
        <w:outlineLvl w:val="0"/>
        <w:rPr>
          <w:rFonts w:ascii="黑体" w:hAnsi="黑体" w:eastAsia="黑体" w:cs="黑体"/>
          <w:sz w:val="32"/>
          <w:szCs w:val="32"/>
        </w:rPr>
      </w:pPr>
      <w:bookmarkStart w:id="124" w:name="_Toc20308"/>
      <w:bookmarkStart w:id="125" w:name="_Toc1671"/>
      <w:bookmarkStart w:id="126" w:name="_Toc16816"/>
      <w:bookmarkStart w:id="127" w:name="_Toc21513"/>
      <w:r>
        <w:rPr>
          <w:rFonts w:hint="eastAsia" w:ascii="黑体" w:hAnsi="黑体" w:eastAsia="黑体" w:cs="黑体"/>
          <w:b/>
          <w:sz w:val="32"/>
          <w:szCs w:val="32"/>
        </w:rPr>
        <w:t>第五章  违约责任</w:t>
      </w:r>
      <w:bookmarkEnd w:id="124"/>
      <w:bookmarkEnd w:id="125"/>
      <w:bookmarkEnd w:id="126"/>
      <w:bookmarkEnd w:id="127"/>
    </w:p>
    <w:p>
      <w:pPr>
        <w:pStyle w:val="8"/>
        <w:spacing w:before="0" w:beforeAutospacing="0" w:after="0" w:afterAutospacing="0" w:line="576" w:lineRule="exact"/>
        <w:jc w:val="both"/>
        <w:rPr>
          <w:rFonts w:ascii="仿宋" w:hAnsi="仿宋" w:eastAsia="仿宋" w:cs="仿宋"/>
          <w:sz w:val="32"/>
          <w:szCs w:val="32"/>
        </w:rPr>
      </w:pPr>
      <w:r>
        <w:rPr>
          <w:rFonts w:hint="eastAsia" w:ascii="仿宋" w:hAnsi="仿宋" w:eastAsia="仿宋" w:cs="仿宋"/>
          <w:sz w:val="32"/>
          <w:szCs w:val="32"/>
        </w:rPr>
        <w:t>　</w:t>
      </w:r>
      <w:r>
        <w:rPr>
          <w:rFonts w:hint="eastAsia" w:ascii="仿宋" w:hAnsi="仿宋" w:eastAsia="仿宋" w:cs="仿宋"/>
          <w:b/>
          <w:sz w:val="32"/>
          <w:szCs w:val="32"/>
        </w:rPr>
        <w:t>　第二十一条</w:t>
      </w:r>
      <w:r>
        <w:rPr>
          <w:rFonts w:hint="eastAsia" w:ascii="仿宋" w:hAnsi="仿宋" w:eastAsia="仿宋" w:cs="仿宋"/>
          <w:sz w:val="32"/>
          <w:szCs w:val="32"/>
        </w:rPr>
        <w:t>　聘用人员未经新区办党委会同意，单方面解除劳动合同，给生态新区造成经济损失的，由聘用人员承担相应的赔偿责任。</w:t>
      </w:r>
    </w:p>
    <w:p>
      <w:pPr>
        <w:pStyle w:val="8"/>
        <w:spacing w:before="0" w:beforeAutospacing="0" w:after="0" w:afterAutospacing="0" w:line="576" w:lineRule="exact"/>
        <w:ind w:firstLine="660"/>
        <w:jc w:val="both"/>
        <w:rPr>
          <w:rFonts w:ascii="仿宋" w:hAnsi="仿宋" w:eastAsia="仿宋" w:cs="仿宋"/>
          <w:sz w:val="32"/>
          <w:szCs w:val="32"/>
        </w:rPr>
      </w:pPr>
      <w:r>
        <w:rPr>
          <w:rFonts w:hint="eastAsia" w:ascii="仿宋" w:hAnsi="仿宋" w:eastAsia="仿宋" w:cs="仿宋"/>
          <w:b/>
          <w:sz w:val="32"/>
          <w:szCs w:val="32"/>
        </w:rPr>
        <w:t>第二十二条</w:t>
      </w:r>
      <w:r>
        <w:rPr>
          <w:rFonts w:hint="eastAsia" w:ascii="仿宋" w:hAnsi="仿宋" w:eastAsia="仿宋" w:cs="仿宋"/>
          <w:sz w:val="32"/>
          <w:szCs w:val="32"/>
        </w:rPr>
        <w:t>　生态新区在合同期内无故将聘用人员辞退，给聘用人员造成损失的，由新区办按《劳动合同法》相关规定向聘用人员支付补偿金。</w:t>
      </w:r>
    </w:p>
    <w:p>
      <w:pPr>
        <w:pStyle w:val="8"/>
        <w:spacing w:before="0" w:beforeAutospacing="0" w:after="0" w:afterAutospacing="0" w:line="576" w:lineRule="exact"/>
        <w:jc w:val="center"/>
        <w:outlineLvl w:val="0"/>
        <w:rPr>
          <w:rFonts w:ascii="黑体" w:hAnsi="黑体" w:eastAsia="黑体" w:cs="黑体"/>
          <w:sz w:val="32"/>
          <w:szCs w:val="32"/>
        </w:rPr>
      </w:pPr>
      <w:bookmarkStart w:id="128" w:name="_Toc21055"/>
      <w:bookmarkStart w:id="129" w:name="_Toc32586"/>
      <w:bookmarkStart w:id="130" w:name="_Toc23909"/>
      <w:bookmarkStart w:id="131" w:name="_Toc5992"/>
      <w:r>
        <w:rPr>
          <w:rFonts w:hint="eastAsia" w:ascii="黑体" w:hAnsi="黑体" w:eastAsia="黑体" w:cs="黑体"/>
          <w:b/>
          <w:sz w:val="32"/>
          <w:szCs w:val="32"/>
        </w:rPr>
        <w:t>第六章　附则</w:t>
      </w:r>
      <w:bookmarkEnd w:id="128"/>
      <w:bookmarkEnd w:id="129"/>
      <w:bookmarkEnd w:id="130"/>
      <w:bookmarkEnd w:id="131"/>
    </w:p>
    <w:p>
      <w:pPr>
        <w:pStyle w:val="8"/>
        <w:spacing w:before="0" w:beforeAutospacing="0" w:after="0" w:afterAutospacing="0" w:line="576" w:lineRule="exact"/>
        <w:ind w:firstLine="630"/>
        <w:jc w:val="both"/>
        <w:rPr>
          <w:rFonts w:ascii="仿宋" w:hAnsi="仿宋" w:eastAsia="仿宋" w:cs="仿宋"/>
          <w:sz w:val="32"/>
          <w:szCs w:val="32"/>
        </w:rPr>
      </w:pPr>
      <w:r>
        <w:rPr>
          <w:rFonts w:hint="eastAsia" w:ascii="仿宋" w:hAnsi="仿宋" w:eastAsia="仿宋" w:cs="仿宋"/>
          <w:b/>
          <w:sz w:val="32"/>
          <w:szCs w:val="32"/>
        </w:rPr>
        <w:t>第二十三条</w:t>
      </w:r>
      <w:r>
        <w:rPr>
          <w:rFonts w:hint="eastAsia" w:ascii="仿宋" w:hAnsi="仿宋" w:eastAsia="仿宋" w:cs="仿宋"/>
          <w:sz w:val="32"/>
          <w:szCs w:val="32"/>
        </w:rPr>
        <w:t>　本制度从发文之日起执行，与此制度不符的所有规定同时废止。</w:t>
      </w:r>
    </w:p>
    <w:p>
      <w:pPr>
        <w:pStyle w:val="8"/>
        <w:spacing w:before="0" w:beforeAutospacing="0" w:after="0" w:afterAutospacing="0" w:line="576" w:lineRule="exact"/>
        <w:ind w:firstLine="630"/>
        <w:jc w:val="both"/>
        <w:rPr>
          <w:rFonts w:ascii="仿宋" w:hAnsi="仿宋" w:eastAsia="仿宋" w:cs="仿宋"/>
          <w:kern w:val="2"/>
          <w:sz w:val="32"/>
          <w:szCs w:val="32"/>
        </w:rPr>
      </w:pPr>
      <w:r>
        <w:rPr>
          <w:rFonts w:hint="eastAsia" w:ascii="仿宋" w:hAnsi="仿宋" w:eastAsia="仿宋" w:cs="仿宋"/>
          <w:b/>
          <w:sz w:val="32"/>
          <w:szCs w:val="32"/>
        </w:rPr>
        <w:t>第二十四条</w:t>
      </w:r>
      <w:r>
        <w:rPr>
          <w:rFonts w:hint="eastAsia" w:ascii="仿宋" w:hAnsi="仿宋" w:eastAsia="仿宋" w:cs="仿宋"/>
          <w:sz w:val="32"/>
          <w:szCs w:val="32"/>
        </w:rPr>
        <w:t>　本</w:t>
      </w:r>
      <w:r>
        <w:rPr>
          <w:rFonts w:hint="eastAsia" w:ascii="仿宋" w:hAnsi="仿宋" w:eastAsia="仿宋" w:cs="仿宋"/>
          <w:kern w:val="2"/>
          <w:sz w:val="32"/>
          <w:szCs w:val="32"/>
        </w:rPr>
        <w:t>制度由生态新区综合办公室负责解释。</w:t>
      </w:r>
    </w:p>
    <w:p>
      <w:pPr>
        <w:pStyle w:val="2"/>
      </w:pPr>
    </w:p>
    <w:p>
      <w:pPr>
        <w:pStyle w:val="2"/>
        <w:sectPr>
          <w:footerReference r:id="rId7" w:type="default"/>
          <w:pgSz w:w="11906" w:h="16838"/>
          <w:pgMar w:top="1440" w:right="1800" w:bottom="1440" w:left="1800" w:header="851" w:footer="992" w:gutter="0"/>
          <w:pgNumType w:fmt="numberInDash"/>
          <w:cols w:space="425" w:num="1"/>
          <w:docGrid w:type="lines" w:linePitch="312" w:charSpace="0"/>
        </w:sectPr>
      </w:pPr>
    </w:p>
    <w:p>
      <w:pPr>
        <w:jc w:val="center"/>
        <w:outlineLvl w:val="0"/>
        <w:rPr>
          <w:rFonts w:ascii="宋体" w:hAnsi="宋体"/>
          <w:b/>
          <w:sz w:val="36"/>
          <w:szCs w:val="36"/>
        </w:rPr>
      </w:pPr>
      <w:bookmarkStart w:id="132" w:name="_Toc30179"/>
      <w:bookmarkStart w:id="133" w:name="_Toc29013"/>
      <w:bookmarkStart w:id="134" w:name="_Toc9370"/>
      <w:bookmarkStart w:id="135" w:name="_Toc11039"/>
      <w:r>
        <w:rPr>
          <w:rFonts w:hint="eastAsia" w:ascii="宋体" w:hAnsi="宋体"/>
          <w:b/>
          <w:sz w:val="36"/>
          <w:szCs w:val="36"/>
        </w:rPr>
        <w:t>聘用人员岗位分类及工资标准</w:t>
      </w:r>
      <w:bookmarkEnd w:id="132"/>
      <w:bookmarkEnd w:id="133"/>
      <w:bookmarkEnd w:id="134"/>
      <w:bookmarkEnd w:id="135"/>
    </w:p>
    <w:p>
      <w:pPr>
        <w:jc w:val="center"/>
        <w:outlineLvl w:val="0"/>
        <w:rPr>
          <w:rFonts w:ascii="宋体" w:hAnsi="宋体"/>
          <w:b/>
          <w:sz w:val="24"/>
        </w:rPr>
      </w:pPr>
      <w:r>
        <w:rPr>
          <w:rFonts w:hint="eastAsia"/>
          <w:sz w:val="24"/>
        </w:rPr>
        <w:t xml:space="preserve">                                                                               </w:t>
      </w:r>
      <w:bookmarkStart w:id="136" w:name="_Toc6241"/>
      <w:bookmarkStart w:id="137" w:name="_Toc24511"/>
      <w:bookmarkStart w:id="138" w:name="_Toc22832"/>
      <w:bookmarkStart w:id="139" w:name="_Toc21286"/>
      <w:r>
        <w:rPr>
          <w:rFonts w:hint="eastAsia"/>
          <w:sz w:val="24"/>
        </w:rPr>
        <w:t>单位：元/月</w:t>
      </w:r>
      <w:bookmarkEnd w:id="136"/>
      <w:bookmarkEnd w:id="137"/>
      <w:bookmarkEnd w:id="138"/>
      <w:bookmarkEnd w:id="139"/>
    </w:p>
    <w:tbl>
      <w:tblPr>
        <w:tblStyle w:val="10"/>
        <w:tblW w:w="12276" w:type="dxa"/>
        <w:tblInd w:w="9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708"/>
        <w:gridCol w:w="2175"/>
        <w:gridCol w:w="1597"/>
        <w:gridCol w:w="2294"/>
        <w:gridCol w:w="3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2992" w:type="dxa"/>
            <w:gridSpan w:val="2"/>
            <w:vAlign w:val="center"/>
          </w:tcPr>
          <w:p>
            <w:pPr>
              <w:jc w:val="center"/>
              <w:rPr>
                <w:rFonts w:hAnsi="宋体"/>
                <w:b/>
                <w:sz w:val="24"/>
              </w:rPr>
            </w:pPr>
            <w:r>
              <w:rPr>
                <w:rFonts w:hAnsi="宋体"/>
                <w:b/>
                <w:sz w:val="28"/>
                <w:szCs w:val="28"/>
              </w:rPr>
              <w:t>岗位名</w:t>
            </w:r>
            <w:r>
              <w:rPr>
                <w:rFonts w:hint="eastAsia" w:hAnsi="宋体"/>
                <w:b/>
                <w:sz w:val="28"/>
                <w:szCs w:val="28"/>
              </w:rPr>
              <w:t>称</w:t>
            </w:r>
          </w:p>
        </w:tc>
        <w:tc>
          <w:tcPr>
            <w:tcW w:w="2175" w:type="dxa"/>
            <w:vAlign w:val="center"/>
          </w:tcPr>
          <w:p>
            <w:pPr>
              <w:jc w:val="center"/>
              <w:rPr>
                <w:rFonts w:hAnsi="宋体"/>
                <w:b/>
                <w:sz w:val="24"/>
              </w:rPr>
            </w:pPr>
            <w:r>
              <w:rPr>
                <w:rFonts w:hAnsi="宋体"/>
                <w:b/>
                <w:sz w:val="28"/>
                <w:szCs w:val="28"/>
              </w:rPr>
              <w:t>岗位</w:t>
            </w:r>
            <w:r>
              <w:rPr>
                <w:rFonts w:hint="eastAsia" w:hAnsi="宋体"/>
                <w:b/>
                <w:sz w:val="28"/>
                <w:szCs w:val="28"/>
              </w:rPr>
              <w:t>类别</w:t>
            </w:r>
          </w:p>
        </w:tc>
        <w:tc>
          <w:tcPr>
            <w:tcW w:w="1597" w:type="dxa"/>
            <w:vAlign w:val="center"/>
          </w:tcPr>
          <w:p>
            <w:pPr>
              <w:jc w:val="center"/>
              <w:rPr>
                <w:rFonts w:hAnsi="宋体"/>
                <w:b/>
                <w:sz w:val="24"/>
              </w:rPr>
            </w:pPr>
            <w:r>
              <w:rPr>
                <w:rFonts w:hint="eastAsia" w:hAnsi="宋体"/>
                <w:b/>
                <w:sz w:val="24"/>
              </w:rPr>
              <w:t>协议工资</w:t>
            </w:r>
          </w:p>
        </w:tc>
        <w:tc>
          <w:tcPr>
            <w:tcW w:w="2294" w:type="dxa"/>
            <w:vAlign w:val="center"/>
          </w:tcPr>
          <w:p>
            <w:pPr>
              <w:jc w:val="center"/>
              <w:rPr>
                <w:rFonts w:hAnsi="宋体"/>
                <w:b/>
                <w:sz w:val="24"/>
              </w:rPr>
            </w:pPr>
            <w:r>
              <w:rPr>
                <w:rFonts w:hint="eastAsia" w:hAnsi="宋体"/>
                <w:b/>
                <w:sz w:val="24"/>
              </w:rPr>
              <w:t>工龄工资</w:t>
            </w:r>
          </w:p>
        </w:tc>
        <w:tc>
          <w:tcPr>
            <w:tcW w:w="3218" w:type="dxa"/>
            <w:vAlign w:val="center"/>
          </w:tcPr>
          <w:p>
            <w:pPr>
              <w:jc w:val="center"/>
              <w:rPr>
                <w:rFonts w:hAnsi="宋体"/>
                <w:b/>
                <w:sz w:val="24"/>
              </w:rPr>
            </w:pPr>
            <w:r>
              <w:rPr>
                <w:rFonts w:hint="eastAsia" w:hAnsi="宋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1284" w:type="dxa"/>
            <w:vMerge w:val="restart"/>
            <w:vAlign w:val="center"/>
          </w:tcPr>
          <w:p>
            <w:pPr>
              <w:ind w:left="-163" w:leftChars="-51"/>
              <w:jc w:val="center"/>
              <w:rPr>
                <w:sz w:val="28"/>
                <w:szCs w:val="28"/>
              </w:rPr>
            </w:pPr>
            <w:r>
              <w:rPr>
                <w:rFonts w:hint="eastAsia"/>
                <w:sz w:val="24"/>
              </w:rPr>
              <w:t>管理</w:t>
            </w:r>
            <w:r>
              <w:rPr>
                <w:rFonts w:hint="eastAsia"/>
                <w:sz w:val="28"/>
                <w:szCs w:val="28"/>
              </w:rPr>
              <w:t>岗位</w:t>
            </w:r>
          </w:p>
        </w:tc>
        <w:tc>
          <w:tcPr>
            <w:tcW w:w="1708" w:type="dxa"/>
            <w:vAlign w:val="center"/>
          </w:tcPr>
          <w:p>
            <w:pPr>
              <w:ind w:left="-163" w:leftChars="-51"/>
              <w:jc w:val="center"/>
              <w:rPr>
                <w:sz w:val="24"/>
              </w:rPr>
            </w:pPr>
            <w:r>
              <w:rPr>
                <w:rFonts w:hint="eastAsia"/>
                <w:sz w:val="24"/>
              </w:rPr>
              <w:t>总经理</w:t>
            </w:r>
          </w:p>
        </w:tc>
        <w:tc>
          <w:tcPr>
            <w:tcW w:w="2175" w:type="dxa"/>
            <w:vAlign w:val="center"/>
          </w:tcPr>
          <w:p>
            <w:pPr>
              <w:ind w:left="-163" w:leftChars="-51"/>
              <w:jc w:val="center"/>
              <w:rPr>
                <w:sz w:val="24"/>
              </w:rPr>
            </w:pPr>
            <w:r>
              <w:rPr>
                <w:rFonts w:hint="eastAsia"/>
                <w:sz w:val="24"/>
              </w:rPr>
              <w:t>在直属企业（公司）</w:t>
            </w:r>
          </w:p>
          <w:p>
            <w:pPr>
              <w:ind w:left="-163" w:leftChars="-51"/>
              <w:jc w:val="center"/>
              <w:rPr>
                <w:sz w:val="24"/>
              </w:rPr>
            </w:pPr>
            <w:r>
              <w:rPr>
                <w:rFonts w:hint="eastAsia"/>
                <w:sz w:val="24"/>
              </w:rPr>
              <w:t>担任正职领导</w:t>
            </w:r>
          </w:p>
        </w:tc>
        <w:tc>
          <w:tcPr>
            <w:tcW w:w="1597" w:type="dxa"/>
            <w:vAlign w:val="center"/>
          </w:tcPr>
          <w:p>
            <w:pPr>
              <w:ind w:left="-163" w:leftChars="-51"/>
              <w:jc w:val="center"/>
              <w:rPr>
                <w:sz w:val="24"/>
              </w:rPr>
            </w:pPr>
            <w:r>
              <w:rPr>
                <w:rFonts w:hint="eastAsia"/>
                <w:sz w:val="24"/>
              </w:rPr>
              <w:t>3800</w:t>
            </w:r>
          </w:p>
        </w:tc>
        <w:tc>
          <w:tcPr>
            <w:tcW w:w="2294" w:type="dxa"/>
            <w:vMerge w:val="restart"/>
            <w:vAlign w:val="center"/>
          </w:tcPr>
          <w:p>
            <w:pPr>
              <w:ind w:left="-163" w:leftChars="-51"/>
              <w:jc w:val="center"/>
              <w:rPr>
                <w:sz w:val="24"/>
              </w:rPr>
            </w:pPr>
            <w:r>
              <w:rPr>
                <w:rFonts w:hint="eastAsia"/>
                <w:sz w:val="24"/>
              </w:rPr>
              <w:t>聘用人员工龄确认时间为与新区正式签订合同起始时间，工龄工资每年为15元，逐年递增。</w:t>
            </w:r>
          </w:p>
          <w:p>
            <w:pPr>
              <w:ind w:left="-163" w:leftChars="-51"/>
              <w:jc w:val="center"/>
              <w:rPr>
                <w:sz w:val="24"/>
              </w:rPr>
            </w:pPr>
          </w:p>
        </w:tc>
        <w:tc>
          <w:tcPr>
            <w:tcW w:w="3218" w:type="dxa"/>
            <w:vMerge w:val="restart"/>
            <w:vAlign w:val="center"/>
          </w:tcPr>
          <w:p>
            <w:pPr>
              <w:ind w:left="-163" w:leftChars="-51"/>
              <w:jc w:val="center"/>
              <w:rPr>
                <w:sz w:val="24"/>
              </w:rPr>
            </w:pPr>
            <w:r>
              <w:rPr>
                <w:rFonts w:hint="eastAsia"/>
                <w:sz w:val="24"/>
              </w:rPr>
              <w:t>试用期满后，享受养老保险、失业保险、基本医疗保险、工伤保险、生育保险（简称五险）。续签三年以上合同期的聘用人员从续签之日起享受享受养老保险、失业保险、基本医疗保险、工伤保险、生育保险、住房公积积（简称五险一金）。公积金缴纳比例个人8%，单位缴纳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1284" w:type="dxa"/>
            <w:vMerge w:val="continue"/>
            <w:vAlign w:val="center"/>
          </w:tcPr>
          <w:p>
            <w:pPr>
              <w:jc w:val="center"/>
              <w:rPr>
                <w:b/>
                <w:sz w:val="28"/>
                <w:szCs w:val="28"/>
              </w:rPr>
            </w:pPr>
          </w:p>
        </w:tc>
        <w:tc>
          <w:tcPr>
            <w:tcW w:w="1708" w:type="dxa"/>
            <w:vAlign w:val="center"/>
          </w:tcPr>
          <w:p>
            <w:pPr>
              <w:ind w:left="-163" w:leftChars="-51"/>
              <w:jc w:val="center"/>
              <w:rPr>
                <w:sz w:val="24"/>
              </w:rPr>
            </w:pPr>
            <w:r>
              <w:rPr>
                <w:rFonts w:hint="eastAsia"/>
                <w:sz w:val="24"/>
              </w:rPr>
              <w:t>副总</w:t>
            </w:r>
          </w:p>
          <w:p>
            <w:pPr>
              <w:ind w:left="-163" w:leftChars="-51"/>
              <w:jc w:val="center"/>
              <w:rPr>
                <w:sz w:val="24"/>
              </w:rPr>
            </w:pPr>
            <w:r>
              <w:rPr>
                <w:rFonts w:hint="eastAsia"/>
                <w:sz w:val="24"/>
              </w:rPr>
              <w:t>经理</w:t>
            </w:r>
          </w:p>
        </w:tc>
        <w:tc>
          <w:tcPr>
            <w:tcW w:w="2175" w:type="dxa"/>
            <w:vAlign w:val="center"/>
          </w:tcPr>
          <w:p>
            <w:pPr>
              <w:ind w:left="-163" w:leftChars="-51"/>
              <w:jc w:val="center"/>
              <w:rPr>
                <w:sz w:val="24"/>
              </w:rPr>
            </w:pPr>
            <w:r>
              <w:rPr>
                <w:rFonts w:hint="eastAsia"/>
                <w:sz w:val="24"/>
              </w:rPr>
              <w:t>在直属企业（公司）</w:t>
            </w:r>
          </w:p>
          <w:p>
            <w:pPr>
              <w:ind w:left="-163" w:leftChars="-51"/>
              <w:jc w:val="center"/>
              <w:rPr>
                <w:sz w:val="24"/>
              </w:rPr>
            </w:pPr>
            <w:r>
              <w:rPr>
                <w:rFonts w:hint="eastAsia"/>
                <w:sz w:val="24"/>
              </w:rPr>
              <w:t>担任副职领导</w:t>
            </w:r>
          </w:p>
        </w:tc>
        <w:tc>
          <w:tcPr>
            <w:tcW w:w="1597" w:type="dxa"/>
            <w:vAlign w:val="center"/>
          </w:tcPr>
          <w:p>
            <w:pPr>
              <w:ind w:left="-163" w:leftChars="-51"/>
              <w:jc w:val="center"/>
              <w:rPr>
                <w:sz w:val="24"/>
              </w:rPr>
            </w:pPr>
            <w:r>
              <w:rPr>
                <w:rFonts w:hint="eastAsia"/>
                <w:sz w:val="24"/>
              </w:rPr>
              <w:t>3300</w:t>
            </w:r>
          </w:p>
        </w:tc>
        <w:tc>
          <w:tcPr>
            <w:tcW w:w="2294" w:type="dxa"/>
            <w:vMerge w:val="continue"/>
            <w:vAlign w:val="center"/>
          </w:tcPr>
          <w:p>
            <w:pPr>
              <w:jc w:val="center"/>
              <w:rPr>
                <w:b/>
                <w:sz w:val="18"/>
                <w:szCs w:val="18"/>
              </w:rPr>
            </w:pPr>
          </w:p>
        </w:tc>
        <w:tc>
          <w:tcPr>
            <w:tcW w:w="3218" w:type="dxa"/>
            <w:vMerge w:val="continue"/>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284" w:type="dxa"/>
            <w:vMerge w:val="restart"/>
            <w:vAlign w:val="center"/>
          </w:tcPr>
          <w:p>
            <w:pPr>
              <w:jc w:val="center"/>
              <w:rPr>
                <w:b/>
                <w:sz w:val="28"/>
                <w:szCs w:val="28"/>
              </w:rPr>
            </w:pPr>
            <w:r>
              <w:rPr>
                <w:rFonts w:hint="eastAsia"/>
                <w:sz w:val="28"/>
                <w:szCs w:val="28"/>
              </w:rPr>
              <w:t>一般工作人员</w:t>
            </w:r>
          </w:p>
        </w:tc>
        <w:tc>
          <w:tcPr>
            <w:tcW w:w="1708" w:type="dxa"/>
            <w:vMerge w:val="restart"/>
            <w:vAlign w:val="center"/>
          </w:tcPr>
          <w:p>
            <w:pPr>
              <w:ind w:left="-163" w:leftChars="-51"/>
              <w:jc w:val="center"/>
              <w:rPr>
                <w:sz w:val="24"/>
              </w:rPr>
            </w:pPr>
            <w:r>
              <w:rPr>
                <w:rFonts w:hint="eastAsia"/>
                <w:sz w:val="24"/>
              </w:rPr>
              <w:t>办事员、工勤人员（驾驶员、保洁员、后勤服务员）</w:t>
            </w:r>
          </w:p>
        </w:tc>
        <w:tc>
          <w:tcPr>
            <w:tcW w:w="2175" w:type="dxa"/>
            <w:vAlign w:val="center"/>
          </w:tcPr>
          <w:p>
            <w:pPr>
              <w:ind w:left="-163" w:leftChars="-51"/>
              <w:jc w:val="center"/>
              <w:rPr>
                <w:sz w:val="24"/>
              </w:rPr>
            </w:pPr>
            <w:r>
              <w:rPr>
                <w:rFonts w:hint="eastAsia"/>
                <w:sz w:val="24"/>
              </w:rPr>
              <w:t>试用期</w:t>
            </w:r>
          </w:p>
        </w:tc>
        <w:tc>
          <w:tcPr>
            <w:tcW w:w="1597" w:type="dxa"/>
            <w:vAlign w:val="center"/>
          </w:tcPr>
          <w:p>
            <w:pPr>
              <w:ind w:left="-163" w:leftChars="-51"/>
              <w:jc w:val="center"/>
              <w:rPr>
                <w:sz w:val="24"/>
              </w:rPr>
            </w:pPr>
            <w:r>
              <w:rPr>
                <w:rFonts w:hint="eastAsia"/>
                <w:sz w:val="24"/>
              </w:rPr>
              <w:t>1750</w:t>
            </w:r>
          </w:p>
        </w:tc>
        <w:tc>
          <w:tcPr>
            <w:tcW w:w="2294" w:type="dxa"/>
            <w:vMerge w:val="continue"/>
            <w:vAlign w:val="center"/>
          </w:tcPr>
          <w:p>
            <w:pPr>
              <w:jc w:val="center"/>
              <w:rPr>
                <w:b/>
                <w:sz w:val="18"/>
                <w:szCs w:val="18"/>
              </w:rPr>
            </w:pPr>
          </w:p>
        </w:tc>
        <w:tc>
          <w:tcPr>
            <w:tcW w:w="3218" w:type="dxa"/>
            <w:vMerge w:val="continue"/>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1284" w:type="dxa"/>
            <w:vMerge w:val="continue"/>
            <w:vAlign w:val="center"/>
          </w:tcPr>
          <w:p>
            <w:pPr>
              <w:jc w:val="center"/>
              <w:rPr>
                <w:sz w:val="28"/>
                <w:szCs w:val="28"/>
              </w:rPr>
            </w:pPr>
          </w:p>
        </w:tc>
        <w:tc>
          <w:tcPr>
            <w:tcW w:w="1708" w:type="dxa"/>
            <w:vMerge w:val="continue"/>
            <w:vAlign w:val="center"/>
          </w:tcPr>
          <w:p>
            <w:pPr>
              <w:ind w:left="-163" w:leftChars="-51"/>
              <w:jc w:val="center"/>
              <w:rPr>
                <w:sz w:val="24"/>
              </w:rPr>
            </w:pPr>
          </w:p>
        </w:tc>
        <w:tc>
          <w:tcPr>
            <w:tcW w:w="2175" w:type="dxa"/>
            <w:vAlign w:val="center"/>
          </w:tcPr>
          <w:p>
            <w:pPr>
              <w:ind w:left="-163" w:leftChars="-51"/>
              <w:jc w:val="center"/>
              <w:rPr>
                <w:sz w:val="24"/>
              </w:rPr>
            </w:pPr>
            <w:r>
              <w:rPr>
                <w:rFonts w:hint="eastAsia"/>
                <w:sz w:val="24"/>
              </w:rPr>
              <w:t>一年期合同</w:t>
            </w:r>
          </w:p>
        </w:tc>
        <w:tc>
          <w:tcPr>
            <w:tcW w:w="1597" w:type="dxa"/>
            <w:vAlign w:val="center"/>
          </w:tcPr>
          <w:p>
            <w:pPr>
              <w:ind w:left="-163" w:leftChars="-51"/>
              <w:jc w:val="center"/>
              <w:rPr>
                <w:sz w:val="24"/>
              </w:rPr>
            </w:pPr>
            <w:r>
              <w:rPr>
                <w:rFonts w:hint="eastAsia"/>
                <w:sz w:val="24"/>
              </w:rPr>
              <w:t>2300</w:t>
            </w:r>
          </w:p>
        </w:tc>
        <w:tc>
          <w:tcPr>
            <w:tcW w:w="2294" w:type="dxa"/>
            <w:vMerge w:val="continue"/>
            <w:vAlign w:val="center"/>
          </w:tcPr>
          <w:p>
            <w:pPr>
              <w:jc w:val="center"/>
              <w:rPr>
                <w:sz w:val="18"/>
                <w:szCs w:val="18"/>
              </w:rPr>
            </w:pPr>
          </w:p>
        </w:tc>
        <w:tc>
          <w:tcPr>
            <w:tcW w:w="3218"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1284" w:type="dxa"/>
            <w:vMerge w:val="continue"/>
            <w:vAlign w:val="center"/>
          </w:tcPr>
          <w:p>
            <w:pPr>
              <w:jc w:val="center"/>
              <w:rPr>
                <w:sz w:val="28"/>
                <w:szCs w:val="28"/>
              </w:rPr>
            </w:pPr>
          </w:p>
        </w:tc>
        <w:tc>
          <w:tcPr>
            <w:tcW w:w="1708" w:type="dxa"/>
            <w:vMerge w:val="continue"/>
            <w:vAlign w:val="center"/>
          </w:tcPr>
          <w:p>
            <w:pPr>
              <w:ind w:left="-163" w:leftChars="-51"/>
              <w:jc w:val="center"/>
              <w:rPr>
                <w:sz w:val="24"/>
              </w:rPr>
            </w:pPr>
          </w:p>
        </w:tc>
        <w:tc>
          <w:tcPr>
            <w:tcW w:w="2175" w:type="dxa"/>
            <w:vAlign w:val="center"/>
          </w:tcPr>
          <w:p>
            <w:pPr>
              <w:ind w:left="-163" w:leftChars="-51"/>
              <w:jc w:val="center"/>
              <w:rPr>
                <w:sz w:val="24"/>
              </w:rPr>
            </w:pPr>
            <w:r>
              <w:rPr>
                <w:rFonts w:hint="eastAsia"/>
                <w:sz w:val="24"/>
              </w:rPr>
              <w:t>三年期合同</w:t>
            </w:r>
          </w:p>
        </w:tc>
        <w:tc>
          <w:tcPr>
            <w:tcW w:w="1597" w:type="dxa"/>
            <w:vAlign w:val="center"/>
          </w:tcPr>
          <w:p>
            <w:pPr>
              <w:ind w:left="-163" w:leftChars="-51"/>
              <w:jc w:val="center"/>
              <w:rPr>
                <w:sz w:val="24"/>
              </w:rPr>
            </w:pPr>
            <w:r>
              <w:rPr>
                <w:rFonts w:hint="eastAsia"/>
                <w:sz w:val="24"/>
              </w:rPr>
              <w:t>2600</w:t>
            </w:r>
          </w:p>
        </w:tc>
        <w:tc>
          <w:tcPr>
            <w:tcW w:w="2294" w:type="dxa"/>
            <w:vMerge w:val="continue"/>
            <w:vAlign w:val="center"/>
          </w:tcPr>
          <w:p>
            <w:pPr>
              <w:jc w:val="center"/>
              <w:rPr>
                <w:sz w:val="18"/>
                <w:szCs w:val="18"/>
              </w:rPr>
            </w:pPr>
          </w:p>
        </w:tc>
        <w:tc>
          <w:tcPr>
            <w:tcW w:w="3218"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6" w:hRule="atLeast"/>
        </w:trPr>
        <w:tc>
          <w:tcPr>
            <w:tcW w:w="1284" w:type="dxa"/>
            <w:vMerge w:val="continue"/>
            <w:vAlign w:val="center"/>
          </w:tcPr>
          <w:p>
            <w:pPr>
              <w:jc w:val="center"/>
              <w:rPr>
                <w:sz w:val="28"/>
                <w:szCs w:val="28"/>
              </w:rPr>
            </w:pPr>
          </w:p>
        </w:tc>
        <w:tc>
          <w:tcPr>
            <w:tcW w:w="1708" w:type="dxa"/>
            <w:vMerge w:val="continue"/>
            <w:vAlign w:val="center"/>
          </w:tcPr>
          <w:p>
            <w:pPr>
              <w:ind w:left="-163" w:leftChars="-51"/>
              <w:jc w:val="center"/>
              <w:rPr>
                <w:sz w:val="24"/>
              </w:rPr>
            </w:pPr>
          </w:p>
        </w:tc>
        <w:tc>
          <w:tcPr>
            <w:tcW w:w="2175" w:type="dxa"/>
            <w:vAlign w:val="center"/>
          </w:tcPr>
          <w:p>
            <w:pPr>
              <w:ind w:left="-163" w:leftChars="-51"/>
              <w:jc w:val="center"/>
              <w:rPr>
                <w:sz w:val="24"/>
              </w:rPr>
            </w:pPr>
            <w:r>
              <w:rPr>
                <w:rFonts w:hint="eastAsia"/>
                <w:sz w:val="24"/>
              </w:rPr>
              <w:t>长期合同</w:t>
            </w:r>
          </w:p>
        </w:tc>
        <w:tc>
          <w:tcPr>
            <w:tcW w:w="1597" w:type="dxa"/>
            <w:vAlign w:val="center"/>
          </w:tcPr>
          <w:p>
            <w:pPr>
              <w:ind w:left="-163" w:leftChars="-51"/>
              <w:jc w:val="center"/>
              <w:rPr>
                <w:sz w:val="24"/>
              </w:rPr>
            </w:pPr>
            <w:r>
              <w:rPr>
                <w:rFonts w:hint="eastAsia"/>
                <w:sz w:val="24"/>
              </w:rPr>
              <w:t>2800</w:t>
            </w:r>
          </w:p>
        </w:tc>
        <w:tc>
          <w:tcPr>
            <w:tcW w:w="2294" w:type="dxa"/>
            <w:vMerge w:val="continue"/>
            <w:vAlign w:val="center"/>
          </w:tcPr>
          <w:p>
            <w:pPr>
              <w:jc w:val="center"/>
              <w:rPr>
                <w:sz w:val="18"/>
                <w:szCs w:val="18"/>
              </w:rPr>
            </w:pPr>
          </w:p>
        </w:tc>
        <w:tc>
          <w:tcPr>
            <w:tcW w:w="3218" w:type="dxa"/>
            <w:vMerge w:val="continue"/>
            <w:vAlign w:val="center"/>
          </w:tcPr>
          <w:p>
            <w:pPr>
              <w:jc w:val="center"/>
              <w:rPr>
                <w:sz w:val="18"/>
                <w:szCs w:val="18"/>
              </w:rPr>
            </w:pPr>
          </w:p>
        </w:tc>
      </w:tr>
    </w:tbl>
    <w:p>
      <w:pPr>
        <w:sectPr>
          <w:pgSz w:w="16838" w:h="11906" w:orient="landscape"/>
          <w:pgMar w:top="1800" w:right="1440" w:bottom="1800" w:left="1440" w:header="851" w:footer="992" w:gutter="0"/>
          <w:pgNumType w:fmt="numberInDash"/>
          <w:cols w:space="425" w:num="1"/>
          <w:docGrid w:type="lines" w:linePitch="312" w:charSpace="0"/>
        </w:sectPr>
      </w:pPr>
    </w:p>
    <w:p>
      <w:pPr>
        <w:pStyle w:val="2"/>
      </w:pPr>
      <w:bookmarkStart w:id="140" w:name="_Toc9049"/>
      <w:bookmarkStart w:id="141" w:name="_Toc2350"/>
      <w:r>
        <w:rPr>
          <w:rFonts w:hint="eastAsia"/>
        </w:rPr>
        <w:t>9、财务管理制度</w:t>
      </w:r>
      <w:bookmarkEnd w:id="140"/>
    </w:p>
    <w:p>
      <w:pPr>
        <w:widowControl/>
        <w:wordWrap w:val="0"/>
        <w:spacing w:line="432" w:lineRule="atLeast"/>
        <w:jc w:val="center"/>
        <w:rPr>
          <w:rFonts w:ascii="仿宋" w:hAnsi="仿宋" w:cs="Arial"/>
          <w:color w:val="000000"/>
          <w:kern w:val="0"/>
          <w:szCs w:val="32"/>
        </w:rPr>
      </w:pPr>
      <w:r>
        <w:rPr>
          <w:rFonts w:hint="eastAsia" w:ascii="黑体" w:hAnsi="黑体" w:eastAsia="黑体" w:cs="黑体"/>
          <w:color w:val="000000"/>
          <w:kern w:val="0"/>
          <w:szCs w:val="32"/>
        </w:rPr>
        <w:t>第一章  总  则</w:t>
      </w:r>
    </w:p>
    <w:p>
      <w:pPr>
        <w:widowControl/>
        <w:wordWrap w:val="0"/>
        <w:spacing w:line="432" w:lineRule="atLeast"/>
        <w:jc w:val="left"/>
        <w:rPr>
          <w:rFonts w:ascii="仿宋" w:hAnsi="仿宋" w:cs="Arial"/>
          <w:color w:val="000000"/>
          <w:kern w:val="0"/>
          <w:szCs w:val="32"/>
        </w:rPr>
      </w:pPr>
      <w:r>
        <w:rPr>
          <w:rFonts w:ascii="仿宋" w:hAnsi="仿宋" w:cs="Arial"/>
          <w:color w:val="000000"/>
          <w:kern w:val="0"/>
          <w:szCs w:val="32"/>
        </w:rPr>
        <w:t>　　</w:t>
      </w:r>
      <w:r>
        <w:rPr>
          <w:rFonts w:ascii="仿宋" w:hAnsi="仿宋" w:cs="Arial"/>
          <w:b/>
          <w:bCs/>
          <w:color w:val="000000"/>
          <w:kern w:val="0"/>
          <w:szCs w:val="32"/>
        </w:rPr>
        <w:t>第一条</w:t>
      </w:r>
      <w:r>
        <w:rPr>
          <w:rFonts w:ascii="宋体" w:hAnsi="宋体" w:cs="Arial"/>
          <w:color w:val="000000"/>
          <w:kern w:val="0"/>
          <w:szCs w:val="32"/>
        </w:rPr>
        <w:t> </w:t>
      </w:r>
      <w:r>
        <w:rPr>
          <w:rFonts w:ascii="仿宋" w:hAnsi="仿宋" w:cs="Arial"/>
          <w:color w:val="000000"/>
          <w:kern w:val="0"/>
          <w:szCs w:val="32"/>
        </w:rPr>
        <w:t>为了规范</w:t>
      </w:r>
      <w:r>
        <w:rPr>
          <w:rFonts w:hint="eastAsia" w:ascii="仿宋" w:hAnsi="仿宋" w:cs="Arial"/>
          <w:color w:val="000000"/>
          <w:kern w:val="0"/>
          <w:szCs w:val="32"/>
        </w:rPr>
        <w:t>新区</w:t>
      </w:r>
      <w:r>
        <w:rPr>
          <w:rFonts w:ascii="仿宋" w:hAnsi="仿宋" w:cs="Arial"/>
          <w:color w:val="000000"/>
          <w:kern w:val="0"/>
          <w:szCs w:val="32"/>
        </w:rPr>
        <w:t>财务管理，提高资金使用效益，制定本制度。</w:t>
      </w:r>
    </w:p>
    <w:p>
      <w:pPr>
        <w:widowControl/>
        <w:wordWrap w:val="0"/>
        <w:spacing w:line="432" w:lineRule="atLeast"/>
        <w:jc w:val="left"/>
        <w:rPr>
          <w:rFonts w:ascii="仿宋" w:hAnsi="仿宋" w:cs="Arial"/>
          <w:color w:val="000000"/>
          <w:kern w:val="0"/>
          <w:szCs w:val="32"/>
        </w:rPr>
      </w:pPr>
      <w:r>
        <w:rPr>
          <w:rFonts w:ascii="仿宋" w:hAnsi="仿宋" w:cs="Arial"/>
          <w:color w:val="000000"/>
          <w:kern w:val="0"/>
          <w:szCs w:val="32"/>
        </w:rPr>
        <w:t>　　</w:t>
      </w:r>
      <w:r>
        <w:rPr>
          <w:rFonts w:ascii="仿宋" w:hAnsi="仿宋" w:cs="Arial"/>
          <w:b/>
          <w:bCs/>
          <w:color w:val="000000"/>
          <w:kern w:val="0"/>
          <w:szCs w:val="32"/>
        </w:rPr>
        <w:t>第二条</w:t>
      </w:r>
      <w:r>
        <w:rPr>
          <w:rFonts w:ascii="宋体" w:hAnsi="宋体" w:cs="Arial"/>
          <w:color w:val="000000"/>
          <w:kern w:val="0"/>
          <w:szCs w:val="32"/>
        </w:rPr>
        <w:t> </w:t>
      </w:r>
      <w:r>
        <w:rPr>
          <w:rFonts w:ascii="仿宋" w:hAnsi="仿宋" w:cs="Arial"/>
          <w:color w:val="000000"/>
          <w:kern w:val="0"/>
          <w:szCs w:val="32"/>
        </w:rPr>
        <w:t>本制度适用于</w:t>
      </w:r>
      <w:r>
        <w:rPr>
          <w:rFonts w:hint="eastAsia" w:ascii="仿宋" w:hAnsi="仿宋" w:cs="Arial"/>
          <w:color w:val="000000"/>
          <w:kern w:val="0"/>
          <w:szCs w:val="32"/>
        </w:rPr>
        <w:t>新区各</w:t>
      </w:r>
      <w:r>
        <w:rPr>
          <w:rFonts w:ascii="仿宋" w:hAnsi="仿宋" w:cs="Arial"/>
          <w:color w:val="000000"/>
          <w:kern w:val="0"/>
          <w:szCs w:val="32"/>
        </w:rPr>
        <w:t>单位参照本制度执行。</w:t>
      </w:r>
    </w:p>
    <w:p>
      <w:pPr>
        <w:widowControl/>
        <w:wordWrap w:val="0"/>
        <w:spacing w:line="432" w:lineRule="atLeast"/>
        <w:jc w:val="center"/>
        <w:rPr>
          <w:rFonts w:ascii="黑体" w:hAnsi="黑体" w:eastAsia="黑体" w:cs="黑体"/>
          <w:color w:val="000000"/>
          <w:kern w:val="0"/>
          <w:szCs w:val="32"/>
        </w:rPr>
      </w:pPr>
      <w:r>
        <w:rPr>
          <w:rFonts w:hint="eastAsia" w:ascii="黑体" w:hAnsi="黑体" w:eastAsia="黑体" w:cs="黑体"/>
          <w:color w:val="000000"/>
          <w:kern w:val="0"/>
          <w:szCs w:val="32"/>
        </w:rPr>
        <w:t>第二章  管理职责</w:t>
      </w:r>
    </w:p>
    <w:p>
      <w:pPr>
        <w:widowControl/>
        <w:wordWrap w:val="0"/>
        <w:spacing w:line="432" w:lineRule="atLeast"/>
        <w:jc w:val="left"/>
        <w:rPr>
          <w:rFonts w:ascii="仿宋" w:hAnsi="仿宋" w:cs="Arial"/>
          <w:color w:val="000000"/>
          <w:kern w:val="0"/>
          <w:szCs w:val="32"/>
        </w:rPr>
      </w:pPr>
      <w:r>
        <w:rPr>
          <w:rFonts w:ascii="仿宋" w:hAnsi="仿宋" w:cs="Arial"/>
          <w:color w:val="000000"/>
          <w:kern w:val="0"/>
          <w:szCs w:val="32"/>
        </w:rPr>
        <w:t>　　</w:t>
      </w:r>
      <w:r>
        <w:rPr>
          <w:rFonts w:ascii="仿宋" w:hAnsi="仿宋" w:cs="Arial"/>
          <w:b/>
          <w:bCs/>
          <w:color w:val="000000"/>
          <w:kern w:val="0"/>
          <w:szCs w:val="32"/>
        </w:rPr>
        <w:t>第</w:t>
      </w:r>
      <w:r>
        <w:rPr>
          <w:rFonts w:hint="eastAsia" w:ascii="仿宋" w:hAnsi="仿宋" w:cs="Arial"/>
          <w:b/>
          <w:bCs/>
          <w:color w:val="000000"/>
          <w:kern w:val="0"/>
          <w:szCs w:val="32"/>
        </w:rPr>
        <w:t>三</w:t>
      </w:r>
      <w:r>
        <w:rPr>
          <w:rFonts w:ascii="仿宋" w:hAnsi="仿宋" w:cs="Arial"/>
          <w:b/>
          <w:bCs/>
          <w:color w:val="000000"/>
          <w:kern w:val="0"/>
          <w:szCs w:val="32"/>
        </w:rPr>
        <w:t>条</w:t>
      </w:r>
      <w:r>
        <w:rPr>
          <w:rFonts w:ascii="宋体" w:hAnsi="宋体" w:cs="Arial"/>
          <w:color w:val="000000"/>
          <w:kern w:val="0"/>
          <w:szCs w:val="32"/>
        </w:rPr>
        <w:t> </w:t>
      </w:r>
      <w:r>
        <w:rPr>
          <w:rFonts w:ascii="仿宋" w:hAnsi="仿宋" w:cs="Arial"/>
          <w:color w:val="000000"/>
          <w:kern w:val="0"/>
          <w:szCs w:val="32"/>
        </w:rPr>
        <w:t>会计岗位职责</w:t>
      </w:r>
    </w:p>
    <w:p>
      <w:pPr>
        <w:widowControl/>
        <w:wordWrap w:val="0"/>
        <w:spacing w:line="432" w:lineRule="atLeast"/>
        <w:jc w:val="left"/>
        <w:rPr>
          <w:rFonts w:ascii="仿宋" w:hAnsi="仿宋" w:cs="Arial"/>
          <w:color w:val="000000"/>
          <w:kern w:val="0"/>
          <w:szCs w:val="32"/>
        </w:rPr>
      </w:pPr>
      <w:r>
        <w:rPr>
          <w:rFonts w:ascii="仿宋" w:hAnsi="仿宋" w:cs="Arial"/>
          <w:color w:val="000000"/>
          <w:kern w:val="0"/>
          <w:szCs w:val="32"/>
        </w:rPr>
        <w:t>　　会计在分管</w:t>
      </w:r>
      <w:r>
        <w:rPr>
          <w:rFonts w:hint="eastAsia" w:ascii="仿宋" w:hAnsi="仿宋" w:cs="Arial"/>
          <w:color w:val="000000"/>
          <w:kern w:val="0"/>
          <w:szCs w:val="32"/>
        </w:rPr>
        <w:t>主任及财政</w:t>
      </w:r>
      <w:r>
        <w:rPr>
          <w:rFonts w:ascii="仿宋" w:hAnsi="仿宋" w:cs="Arial"/>
          <w:color w:val="000000"/>
          <w:kern w:val="0"/>
          <w:szCs w:val="32"/>
        </w:rPr>
        <w:t>局长领导下进行工作，主要职责为：</w:t>
      </w:r>
    </w:p>
    <w:p>
      <w:pPr>
        <w:widowControl/>
        <w:wordWrap w:val="0"/>
        <w:spacing w:line="432" w:lineRule="atLeast"/>
        <w:jc w:val="left"/>
        <w:rPr>
          <w:rFonts w:ascii="仿宋" w:hAnsi="仿宋" w:cs="Arial"/>
          <w:color w:val="000000"/>
          <w:kern w:val="0"/>
          <w:szCs w:val="32"/>
        </w:rPr>
      </w:pPr>
      <w:r>
        <w:rPr>
          <w:rFonts w:hint="eastAsia" w:ascii="仿宋" w:hAnsi="仿宋" w:cs="Arial"/>
          <w:color w:val="000000"/>
          <w:kern w:val="0"/>
          <w:szCs w:val="32"/>
        </w:rPr>
        <w:t xml:space="preserve"> </w:t>
      </w:r>
      <w:r>
        <w:rPr>
          <w:rFonts w:ascii="仿宋" w:hAnsi="仿宋" w:cs="Arial"/>
          <w:color w:val="000000"/>
          <w:kern w:val="0"/>
          <w:szCs w:val="32"/>
        </w:rPr>
        <w:t>　（</w:t>
      </w:r>
      <w:r>
        <w:rPr>
          <w:rFonts w:hint="eastAsia" w:ascii="仿宋" w:hAnsi="仿宋" w:cs="Arial"/>
          <w:color w:val="000000"/>
          <w:kern w:val="0"/>
          <w:szCs w:val="32"/>
        </w:rPr>
        <w:t>一</w:t>
      </w:r>
      <w:r>
        <w:rPr>
          <w:rFonts w:ascii="仿宋" w:hAnsi="仿宋" w:cs="Arial"/>
          <w:color w:val="000000"/>
          <w:kern w:val="0"/>
          <w:szCs w:val="32"/>
        </w:rPr>
        <w:t>）严格执行《会计法》等有关财会工作法律法规，认真执行各项财经纪律、方针、政策、法规、制度和各项开支标准，对违反制度的业务事项有权拒付，并向领导汇报。</w:t>
      </w:r>
    </w:p>
    <w:p>
      <w:pPr>
        <w:widowControl/>
        <w:wordWrap w:val="0"/>
        <w:spacing w:line="432" w:lineRule="atLeast"/>
        <w:jc w:val="left"/>
        <w:rPr>
          <w:rFonts w:ascii="仿宋" w:hAnsi="仿宋" w:cs="Arial"/>
          <w:color w:val="000000"/>
          <w:kern w:val="0"/>
          <w:szCs w:val="32"/>
        </w:rPr>
      </w:pPr>
      <w:r>
        <w:rPr>
          <w:rFonts w:ascii="仿宋" w:hAnsi="仿宋" w:cs="Arial"/>
          <w:color w:val="000000"/>
          <w:kern w:val="0"/>
          <w:szCs w:val="32"/>
        </w:rPr>
        <w:t>　　（</w:t>
      </w:r>
      <w:r>
        <w:rPr>
          <w:rFonts w:hint="eastAsia" w:ascii="仿宋" w:hAnsi="仿宋" w:cs="Arial"/>
          <w:color w:val="000000"/>
          <w:kern w:val="0"/>
          <w:szCs w:val="32"/>
        </w:rPr>
        <w:t>二</w:t>
      </w:r>
      <w:r>
        <w:rPr>
          <w:rFonts w:ascii="仿宋" w:hAnsi="仿宋" w:cs="Arial"/>
          <w:color w:val="000000"/>
          <w:kern w:val="0"/>
          <w:szCs w:val="32"/>
        </w:rPr>
        <w:t>）会计人员必须审查原始凭证，对于不正确、不完整的原始凭证，退回更正补充，对于不合法的原始凭证坚决拒绝受理，保证一切会计凭证、账簿、报表及其它会计资料的真实、准确和完整，并及时做好整理归档工作。</w:t>
      </w:r>
    </w:p>
    <w:p>
      <w:pPr>
        <w:widowControl/>
        <w:wordWrap w:val="0"/>
        <w:spacing w:line="432" w:lineRule="atLeast"/>
        <w:ind w:firstLine="640"/>
        <w:jc w:val="left"/>
        <w:rPr>
          <w:rFonts w:ascii="仿宋" w:hAnsi="仿宋" w:cs="Arial"/>
          <w:color w:val="000000"/>
          <w:kern w:val="0"/>
          <w:szCs w:val="32"/>
        </w:rPr>
      </w:pPr>
      <w:r>
        <w:rPr>
          <w:rFonts w:ascii="仿宋" w:hAnsi="仿宋" w:cs="Arial"/>
          <w:color w:val="000000"/>
          <w:kern w:val="0"/>
          <w:szCs w:val="32"/>
        </w:rPr>
        <w:t>（</w:t>
      </w:r>
      <w:r>
        <w:rPr>
          <w:rFonts w:hint="eastAsia" w:ascii="仿宋" w:hAnsi="仿宋" w:cs="Arial"/>
          <w:color w:val="000000"/>
          <w:kern w:val="0"/>
          <w:szCs w:val="32"/>
        </w:rPr>
        <w:t>三</w:t>
      </w:r>
      <w:r>
        <w:rPr>
          <w:rFonts w:ascii="仿宋" w:hAnsi="仿宋" w:cs="Arial"/>
          <w:color w:val="000000"/>
          <w:kern w:val="0"/>
          <w:szCs w:val="32"/>
        </w:rPr>
        <w:t>）会计人员要按照会计制度和规定设置会计科目和会计账簿，数字必须真实，严禁弄虚作假，伪造</w:t>
      </w:r>
      <w:r>
        <w:rPr>
          <w:rFonts w:hint="eastAsia" w:ascii="仿宋" w:hAnsi="仿宋" w:cs="Arial"/>
          <w:color w:val="000000"/>
          <w:kern w:val="0"/>
          <w:szCs w:val="32"/>
        </w:rPr>
        <w:t>账目</w:t>
      </w:r>
      <w:r>
        <w:rPr>
          <w:rFonts w:ascii="仿宋" w:hAnsi="仿宋" w:cs="Arial"/>
          <w:color w:val="000000"/>
          <w:kern w:val="0"/>
          <w:szCs w:val="32"/>
        </w:rPr>
        <w:t>。对发生的经济活动要进行如实的反映和监督，按会计制度及时</w:t>
      </w:r>
      <w:r>
        <w:rPr>
          <w:rFonts w:hint="eastAsia" w:ascii="仿宋" w:hAnsi="仿宋" w:cs="Arial"/>
          <w:color w:val="000000"/>
          <w:kern w:val="0"/>
          <w:szCs w:val="32"/>
        </w:rPr>
        <w:t>记账</w:t>
      </w:r>
      <w:r>
        <w:rPr>
          <w:rFonts w:ascii="仿宋" w:hAnsi="仿宋" w:cs="Arial"/>
          <w:color w:val="000000"/>
          <w:kern w:val="0"/>
          <w:szCs w:val="32"/>
        </w:rPr>
        <w:t>、算账、报账。账簿内容完整，按规则记收，字迹工整，账账清洁，账账相符。</w:t>
      </w:r>
    </w:p>
    <w:p>
      <w:pPr>
        <w:widowControl/>
        <w:wordWrap w:val="0"/>
        <w:spacing w:line="432" w:lineRule="atLeast"/>
        <w:ind w:firstLine="640" w:firstLineChars="200"/>
        <w:jc w:val="left"/>
        <w:rPr>
          <w:rFonts w:ascii="仿宋" w:hAnsi="仿宋" w:cs="Arial"/>
          <w:color w:val="000000"/>
          <w:kern w:val="0"/>
          <w:szCs w:val="32"/>
        </w:rPr>
      </w:pPr>
      <w:r>
        <w:rPr>
          <w:rFonts w:ascii="仿宋" w:hAnsi="仿宋" w:cs="Arial"/>
          <w:color w:val="000000"/>
          <w:kern w:val="0"/>
          <w:szCs w:val="32"/>
        </w:rPr>
        <w:t>（</w:t>
      </w:r>
      <w:r>
        <w:rPr>
          <w:rFonts w:hint="eastAsia" w:ascii="仿宋" w:hAnsi="仿宋" w:cs="Arial"/>
          <w:color w:val="000000"/>
          <w:kern w:val="0"/>
          <w:szCs w:val="32"/>
        </w:rPr>
        <w:t>四</w:t>
      </w:r>
      <w:r>
        <w:rPr>
          <w:rFonts w:ascii="仿宋" w:hAnsi="仿宋" w:cs="Arial"/>
          <w:color w:val="000000"/>
          <w:kern w:val="0"/>
          <w:szCs w:val="32"/>
        </w:rPr>
        <w:t>）建立</w:t>
      </w:r>
      <w:r>
        <w:rPr>
          <w:rFonts w:hint="eastAsia" w:ascii="仿宋" w:hAnsi="仿宋" w:cs="Arial"/>
          <w:color w:val="000000"/>
          <w:kern w:val="0"/>
          <w:szCs w:val="32"/>
        </w:rPr>
        <w:t>资</w:t>
      </w:r>
      <w:r>
        <w:rPr>
          <w:rFonts w:ascii="仿宋" w:hAnsi="仿宋" w:cs="Arial"/>
          <w:color w:val="000000"/>
          <w:kern w:val="0"/>
          <w:szCs w:val="32"/>
        </w:rPr>
        <w:t>产清查制度，保证账簿、记录与实物款项相符。</w:t>
      </w:r>
    </w:p>
    <w:p>
      <w:pPr>
        <w:widowControl/>
        <w:wordWrap w:val="0"/>
        <w:spacing w:line="432" w:lineRule="atLeast"/>
        <w:jc w:val="left"/>
        <w:rPr>
          <w:rFonts w:ascii="仿宋" w:hAnsi="仿宋" w:cs="Arial"/>
          <w:color w:val="000000"/>
          <w:kern w:val="0"/>
          <w:szCs w:val="32"/>
        </w:rPr>
      </w:pPr>
      <w:r>
        <w:rPr>
          <w:rFonts w:ascii="仿宋" w:hAnsi="仿宋" w:cs="Arial"/>
          <w:color w:val="000000"/>
          <w:kern w:val="0"/>
          <w:szCs w:val="32"/>
        </w:rPr>
        <w:t>　　（</w:t>
      </w:r>
      <w:r>
        <w:rPr>
          <w:rFonts w:hint="eastAsia" w:ascii="仿宋" w:hAnsi="仿宋" w:cs="Arial"/>
          <w:color w:val="000000"/>
          <w:kern w:val="0"/>
          <w:szCs w:val="32"/>
        </w:rPr>
        <w:t>五</w:t>
      </w:r>
      <w:r>
        <w:rPr>
          <w:rFonts w:ascii="仿宋" w:hAnsi="仿宋" w:cs="Arial"/>
          <w:color w:val="000000"/>
          <w:kern w:val="0"/>
          <w:szCs w:val="32"/>
        </w:rPr>
        <w:t>）经费使用做到年初有预算，年终有决算，并定期向主管领导汇报。按要求及时公开预决算和“三公经费”。</w:t>
      </w:r>
    </w:p>
    <w:p>
      <w:pPr>
        <w:widowControl/>
        <w:wordWrap w:val="0"/>
        <w:spacing w:line="432" w:lineRule="atLeast"/>
        <w:jc w:val="left"/>
        <w:rPr>
          <w:rFonts w:ascii="仿宋" w:hAnsi="仿宋" w:cs="Arial"/>
          <w:color w:val="000000"/>
          <w:kern w:val="0"/>
          <w:szCs w:val="32"/>
        </w:rPr>
      </w:pPr>
      <w:r>
        <w:rPr>
          <w:rFonts w:ascii="仿宋" w:hAnsi="仿宋" w:cs="Arial"/>
          <w:color w:val="000000"/>
          <w:kern w:val="0"/>
          <w:szCs w:val="32"/>
        </w:rPr>
        <w:t>　　（</w:t>
      </w:r>
      <w:r>
        <w:rPr>
          <w:rFonts w:hint="eastAsia" w:ascii="仿宋" w:hAnsi="仿宋" w:cs="Arial"/>
          <w:color w:val="000000"/>
          <w:kern w:val="0"/>
          <w:szCs w:val="32"/>
        </w:rPr>
        <w:t>六</w:t>
      </w:r>
      <w:r>
        <w:rPr>
          <w:rFonts w:ascii="仿宋" w:hAnsi="仿宋" w:cs="Arial"/>
          <w:color w:val="000000"/>
          <w:kern w:val="0"/>
          <w:szCs w:val="32"/>
        </w:rPr>
        <w:t>）管理会计账簿、报表、凭证和电算化信息资料。</w:t>
      </w:r>
    </w:p>
    <w:p>
      <w:pPr>
        <w:widowControl/>
        <w:wordWrap w:val="0"/>
        <w:spacing w:line="432" w:lineRule="atLeast"/>
        <w:ind w:firstLine="643" w:firstLineChars="200"/>
        <w:rPr>
          <w:rFonts w:ascii="仿宋" w:hAnsi="仿宋" w:cs="Arial"/>
          <w:color w:val="000000"/>
          <w:kern w:val="0"/>
          <w:szCs w:val="32"/>
        </w:rPr>
      </w:pPr>
      <w:r>
        <w:rPr>
          <w:rFonts w:ascii="仿宋" w:hAnsi="仿宋" w:cs="Arial"/>
          <w:b/>
          <w:bCs/>
          <w:color w:val="000000"/>
          <w:kern w:val="0"/>
          <w:szCs w:val="32"/>
        </w:rPr>
        <w:t>第</w:t>
      </w:r>
      <w:r>
        <w:rPr>
          <w:rFonts w:hint="eastAsia" w:ascii="仿宋" w:hAnsi="仿宋" w:cs="Arial"/>
          <w:b/>
          <w:bCs/>
          <w:color w:val="000000"/>
          <w:kern w:val="0"/>
          <w:szCs w:val="32"/>
        </w:rPr>
        <w:t>四</w:t>
      </w:r>
      <w:r>
        <w:rPr>
          <w:rFonts w:ascii="仿宋" w:hAnsi="仿宋" w:cs="Arial"/>
          <w:b/>
          <w:bCs/>
          <w:color w:val="000000"/>
          <w:kern w:val="0"/>
          <w:szCs w:val="32"/>
        </w:rPr>
        <w:t>条</w:t>
      </w:r>
      <w:r>
        <w:rPr>
          <w:rFonts w:ascii="宋体" w:hAnsi="宋体" w:cs="Arial"/>
          <w:color w:val="000000"/>
          <w:kern w:val="0"/>
          <w:szCs w:val="32"/>
        </w:rPr>
        <w:t> </w:t>
      </w:r>
      <w:r>
        <w:rPr>
          <w:rFonts w:ascii="仿宋" w:hAnsi="仿宋" w:cs="Arial"/>
          <w:color w:val="000000"/>
          <w:kern w:val="0"/>
          <w:szCs w:val="32"/>
        </w:rPr>
        <w:t>出纳</w:t>
      </w:r>
      <w:r>
        <w:rPr>
          <w:rFonts w:hint="eastAsia" w:ascii="仿宋" w:hAnsi="仿宋" w:cs="Arial"/>
          <w:color w:val="000000"/>
          <w:kern w:val="0"/>
          <w:szCs w:val="32"/>
        </w:rPr>
        <w:t>岗位</w:t>
      </w:r>
      <w:r>
        <w:rPr>
          <w:rFonts w:ascii="仿宋" w:hAnsi="仿宋" w:cs="Arial"/>
          <w:color w:val="000000"/>
          <w:kern w:val="0"/>
          <w:szCs w:val="32"/>
        </w:rPr>
        <w:t>职责</w:t>
      </w:r>
    </w:p>
    <w:p>
      <w:pPr>
        <w:widowControl/>
        <w:wordWrap w:val="0"/>
        <w:spacing w:line="432" w:lineRule="atLeast"/>
        <w:jc w:val="left"/>
        <w:rPr>
          <w:rFonts w:ascii="仿宋" w:hAnsi="仿宋" w:cs="Arial"/>
          <w:color w:val="000000"/>
          <w:kern w:val="0"/>
          <w:szCs w:val="32"/>
        </w:rPr>
      </w:pPr>
      <w:r>
        <w:rPr>
          <w:rFonts w:ascii="仿宋" w:hAnsi="仿宋" w:cs="Arial"/>
          <w:color w:val="000000"/>
          <w:kern w:val="0"/>
          <w:szCs w:val="32"/>
        </w:rPr>
        <w:t>　　</w:t>
      </w:r>
      <w:r>
        <w:rPr>
          <w:rFonts w:hint="eastAsia" w:ascii="仿宋" w:hAnsi="仿宋" w:cs="Arial"/>
          <w:color w:val="000000"/>
          <w:kern w:val="0"/>
          <w:szCs w:val="32"/>
        </w:rPr>
        <w:t xml:space="preserve"> </w:t>
      </w:r>
      <w:r>
        <w:rPr>
          <w:rFonts w:ascii="仿宋" w:hAnsi="仿宋" w:cs="Arial"/>
          <w:color w:val="000000"/>
          <w:kern w:val="0"/>
          <w:szCs w:val="32"/>
        </w:rPr>
        <w:t>出纳人员的主要职责为：</w:t>
      </w:r>
    </w:p>
    <w:p>
      <w:pPr>
        <w:widowControl/>
        <w:wordWrap w:val="0"/>
        <w:spacing w:line="432" w:lineRule="atLeast"/>
        <w:jc w:val="left"/>
        <w:rPr>
          <w:rFonts w:ascii="仿宋" w:hAnsi="仿宋" w:cs="Arial"/>
          <w:color w:val="000000"/>
          <w:kern w:val="0"/>
          <w:szCs w:val="32"/>
        </w:rPr>
      </w:pPr>
      <w:r>
        <w:rPr>
          <w:rFonts w:ascii="仿宋" w:hAnsi="仿宋" w:cs="Arial"/>
          <w:color w:val="000000"/>
          <w:kern w:val="0"/>
          <w:szCs w:val="32"/>
        </w:rPr>
        <w:t>　　（一）严格执行会计法和财经纪律。</w:t>
      </w:r>
    </w:p>
    <w:p>
      <w:pPr>
        <w:widowControl/>
        <w:wordWrap w:val="0"/>
        <w:spacing w:line="432" w:lineRule="atLeast"/>
        <w:jc w:val="left"/>
        <w:rPr>
          <w:rFonts w:ascii="仿宋" w:hAnsi="仿宋" w:cs="Arial"/>
          <w:color w:val="000000"/>
          <w:kern w:val="0"/>
          <w:szCs w:val="32"/>
        </w:rPr>
      </w:pPr>
      <w:r>
        <w:rPr>
          <w:rFonts w:ascii="仿宋" w:hAnsi="仿宋" w:cs="Arial"/>
          <w:color w:val="000000"/>
          <w:kern w:val="0"/>
          <w:szCs w:val="32"/>
        </w:rPr>
        <w:t>　　（二）严格执行库存现金和银行存款管理制度，及时准确登记库存现金和银行存款账目，做到日清月结，账款相符，确保资金安全。</w:t>
      </w:r>
    </w:p>
    <w:p>
      <w:pPr>
        <w:widowControl/>
        <w:wordWrap w:val="0"/>
        <w:spacing w:line="432" w:lineRule="atLeast"/>
        <w:jc w:val="left"/>
        <w:rPr>
          <w:rFonts w:ascii="仿宋" w:hAnsi="仿宋" w:cs="Arial"/>
          <w:color w:val="000000"/>
          <w:kern w:val="0"/>
          <w:szCs w:val="32"/>
        </w:rPr>
      </w:pPr>
      <w:r>
        <w:rPr>
          <w:rFonts w:ascii="仿宋" w:hAnsi="仿宋" w:cs="Arial"/>
          <w:color w:val="000000"/>
          <w:kern w:val="0"/>
          <w:szCs w:val="32"/>
        </w:rPr>
        <w:t>　　（三）按时发放职工工资和报销公务支出，准确支取、缴纳职工社会保险费、住房公积金、养老金</w:t>
      </w:r>
      <w:r>
        <w:rPr>
          <w:rFonts w:hint="eastAsia" w:ascii="仿宋" w:hAnsi="仿宋" w:cs="Arial"/>
          <w:color w:val="000000"/>
          <w:kern w:val="0"/>
          <w:szCs w:val="32"/>
        </w:rPr>
        <w:t>等</w:t>
      </w:r>
      <w:r>
        <w:rPr>
          <w:rFonts w:ascii="仿宋" w:hAnsi="仿宋" w:cs="Arial"/>
          <w:color w:val="000000"/>
          <w:kern w:val="0"/>
          <w:szCs w:val="32"/>
        </w:rPr>
        <w:t>。</w:t>
      </w:r>
    </w:p>
    <w:p>
      <w:pPr>
        <w:widowControl/>
        <w:wordWrap w:val="0"/>
        <w:spacing w:line="432" w:lineRule="atLeast"/>
        <w:jc w:val="left"/>
        <w:rPr>
          <w:rFonts w:ascii="仿宋" w:hAnsi="仿宋" w:cs="Arial"/>
          <w:color w:val="000000"/>
          <w:kern w:val="0"/>
          <w:szCs w:val="32"/>
        </w:rPr>
      </w:pPr>
      <w:r>
        <w:rPr>
          <w:rFonts w:ascii="仿宋" w:hAnsi="仿宋" w:cs="Arial"/>
          <w:color w:val="000000"/>
          <w:kern w:val="0"/>
          <w:szCs w:val="32"/>
        </w:rPr>
        <w:t>　　（四）及时向</w:t>
      </w:r>
      <w:r>
        <w:rPr>
          <w:rFonts w:hint="eastAsia" w:ascii="仿宋" w:hAnsi="仿宋" w:cs="Arial"/>
          <w:color w:val="000000"/>
          <w:kern w:val="0"/>
          <w:szCs w:val="32"/>
        </w:rPr>
        <w:t>主管</w:t>
      </w:r>
      <w:r>
        <w:rPr>
          <w:rFonts w:ascii="仿宋" w:hAnsi="仿宋" w:cs="Arial"/>
          <w:color w:val="000000"/>
          <w:kern w:val="0"/>
          <w:szCs w:val="32"/>
        </w:rPr>
        <w:t>局长汇报账户资金状况，确保公务活动正常运行。</w:t>
      </w:r>
    </w:p>
    <w:p>
      <w:pPr>
        <w:widowControl/>
        <w:wordWrap w:val="0"/>
        <w:spacing w:line="432" w:lineRule="atLeast"/>
        <w:jc w:val="left"/>
        <w:rPr>
          <w:rFonts w:ascii="黑体" w:hAnsi="黑体" w:eastAsia="黑体" w:cs="黑体"/>
          <w:color w:val="000000"/>
          <w:kern w:val="0"/>
          <w:szCs w:val="32"/>
        </w:rPr>
      </w:pPr>
      <w:r>
        <w:rPr>
          <w:rFonts w:ascii="仿宋" w:hAnsi="仿宋" w:cs="Arial"/>
          <w:color w:val="000000"/>
          <w:kern w:val="0"/>
          <w:szCs w:val="32"/>
        </w:rPr>
        <w:t>　　</w:t>
      </w:r>
      <w:r>
        <w:rPr>
          <w:rFonts w:hint="eastAsia" w:ascii="仿宋" w:hAnsi="仿宋" w:cs="Arial"/>
          <w:color w:val="000000"/>
          <w:kern w:val="0"/>
          <w:szCs w:val="32"/>
        </w:rPr>
        <w:t xml:space="preserve">             </w:t>
      </w:r>
      <w:r>
        <w:rPr>
          <w:rFonts w:hint="eastAsia" w:ascii="黑体" w:hAnsi="黑体" w:eastAsia="黑体" w:cs="黑体"/>
          <w:color w:val="000000"/>
          <w:kern w:val="0"/>
          <w:szCs w:val="32"/>
        </w:rPr>
        <w:t>第三章  收入管理</w:t>
      </w:r>
    </w:p>
    <w:p>
      <w:pPr>
        <w:widowControl/>
        <w:wordWrap w:val="0"/>
        <w:spacing w:line="432" w:lineRule="atLeast"/>
        <w:jc w:val="left"/>
        <w:rPr>
          <w:rFonts w:ascii="仿宋" w:hAnsi="仿宋" w:cs="Arial"/>
          <w:color w:val="000000"/>
          <w:kern w:val="0"/>
          <w:szCs w:val="32"/>
        </w:rPr>
      </w:pPr>
      <w:r>
        <w:rPr>
          <w:rFonts w:ascii="仿宋" w:hAnsi="仿宋" w:cs="Arial"/>
          <w:color w:val="000000"/>
          <w:kern w:val="0"/>
          <w:szCs w:val="32"/>
        </w:rPr>
        <w:t>　　</w:t>
      </w:r>
      <w:r>
        <w:rPr>
          <w:rFonts w:ascii="仿宋" w:hAnsi="仿宋" w:cs="Arial"/>
          <w:b/>
          <w:bCs/>
          <w:color w:val="000000"/>
          <w:kern w:val="0"/>
          <w:szCs w:val="32"/>
        </w:rPr>
        <w:t>第</w:t>
      </w:r>
      <w:r>
        <w:rPr>
          <w:rFonts w:hint="eastAsia" w:ascii="仿宋" w:hAnsi="仿宋" w:cs="Arial"/>
          <w:b/>
          <w:bCs/>
          <w:color w:val="000000"/>
          <w:kern w:val="0"/>
          <w:szCs w:val="32"/>
        </w:rPr>
        <w:t>五条</w:t>
      </w:r>
      <w:r>
        <w:rPr>
          <w:rFonts w:ascii="宋体" w:hAnsi="宋体" w:cs="Arial"/>
          <w:color w:val="000000"/>
          <w:kern w:val="0"/>
          <w:szCs w:val="32"/>
        </w:rPr>
        <w:t> </w:t>
      </w:r>
      <w:r>
        <w:rPr>
          <w:rFonts w:ascii="仿宋" w:hAnsi="仿宋" w:cs="Arial"/>
          <w:color w:val="000000"/>
          <w:kern w:val="0"/>
          <w:szCs w:val="32"/>
        </w:rPr>
        <w:t>专项资金管理。专项资金必须按照批准的项目和用途使用，不得挤占挪用。未在预算核定范围的专项支出，由承办</w:t>
      </w:r>
      <w:r>
        <w:rPr>
          <w:rFonts w:hint="eastAsia" w:ascii="仿宋" w:hAnsi="仿宋" w:cs="Arial"/>
          <w:color w:val="000000"/>
          <w:kern w:val="0"/>
          <w:szCs w:val="32"/>
        </w:rPr>
        <w:t>局办</w:t>
      </w:r>
      <w:r>
        <w:rPr>
          <w:rFonts w:ascii="仿宋" w:hAnsi="仿宋" w:cs="Arial"/>
          <w:color w:val="000000"/>
          <w:kern w:val="0"/>
          <w:szCs w:val="32"/>
        </w:rPr>
        <w:t>向</w:t>
      </w:r>
      <w:r>
        <w:rPr>
          <w:rFonts w:hint="eastAsia" w:ascii="仿宋" w:hAnsi="仿宋" w:cs="Arial"/>
          <w:color w:val="000000"/>
          <w:kern w:val="0"/>
          <w:szCs w:val="32"/>
        </w:rPr>
        <w:t>分管财政副主任、财政局长</w:t>
      </w:r>
      <w:r>
        <w:rPr>
          <w:rFonts w:ascii="仿宋" w:hAnsi="仿宋" w:cs="Arial"/>
          <w:color w:val="000000"/>
          <w:kern w:val="0"/>
          <w:szCs w:val="32"/>
        </w:rPr>
        <w:t>提出经费支出计划，资金到位后按有关规定支付。</w:t>
      </w:r>
    </w:p>
    <w:p>
      <w:pPr>
        <w:widowControl/>
        <w:wordWrap w:val="0"/>
        <w:spacing w:line="432" w:lineRule="atLeast"/>
        <w:jc w:val="left"/>
        <w:rPr>
          <w:rFonts w:ascii="仿宋" w:hAnsi="仿宋" w:cs="Arial"/>
          <w:color w:val="000000"/>
          <w:kern w:val="0"/>
          <w:szCs w:val="32"/>
        </w:rPr>
      </w:pPr>
      <w:r>
        <w:rPr>
          <w:rFonts w:ascii="仿宋" w:hAnsi="仿宋" w:cs="Arial"/>
          <w:color w:val="000000"/>
          <w:kern w:val="0"/>
          <w:szCs w:val="32"/>
        </w:rPr>
        <w:t>　　</w:t>
      </w:r>
      <w:r>
        <w:rPr>
          <w:rFonts w:hint="eastAsia" w:ascii="仿宋" w:hAnsi="仿宋" w:cs="Arial"/>
          <w:color w:val="000000"/>
          <w:kern w:val="0"/>
          <w:szCs w:val="32"/>
        </w:rPr>
        <w:t xml:space="preserve">            </w:t>
      </w:r>
      <w:r>
        <w:rPr>
          <w:rFonts w:hint="eastAsia" w:ascii="黑体" w:hAnsi="黑体" w:eastAsia="黑体" w:cs="黑体"/>
          <w:color w:val="000000"/>
          <w:kern w:val="0"/>
          <w:szCs w:val="32"/>
        </w:rPr>
        <w:t>第四章  支出管理</w:t>
      </w:r>
    </w:p>
    <w:p>
      <w:pPr>
        <w:widowControl/>
        <w:wordWrap w:val="0"/>
        <w:spacing w:line="432" w:lineRule="atLeast"/>
        <w:ind w:firstLine="643" w:firstLineChars="200"/>
        <w:jc w:val="left"/>
        <w:rPr>
          <w:rFonts w:ascii="仿宋" w:hAnsi="仿宋" w:cs="Arial"/>
          <w:color w:val="000000"/>
          <w:kern w:val="0"/>
          <w:szCs w:val="32"/>
        </w:rPr>
      </w:pPr>
      <w:r>
        <w:rPr>
          <w:rFonts w:ascii="仿宋" w:hAnsi="仿宋" w:cs="Arial"/>
          <w:b/>
          <w:bCs/>
          <w:color w:val="000000"/>
          <w:kern w:val="0"/>
          <w:szCs w:val="32"/>
        </w:rPr>
        <w:t>第</w:t>
      </w:r>
      <w:r>
        <w:rPr>
          <w:rFonts w:hint="eastAsia" w:ascii="仿宋" w:hAnsi="仿宋" w:cs="Arial"/>
          <w:b/>
          <w:bCs/>
          <w:color w:val="000000"/>
          <w:kern w:val="0"/>
          <w:szCs w:val="32"/>
        </w:rPr>
        <w:t>六</w:t>
      </w:r>
      <w:r>
        <w:rPr>
          <w:rFonts w:ascii="仿宋" w:hAnsi="仿宋" w:cs="Arial"/>
          <w:b/>
          <w:bCs/>
          <w:color w:val="000000"/>
          <w:kern w:val="0"/>
          <w:szCs w:val="32"/>
        </w:rPr>
        <w:t>条</w:t>
      </w:r>
      <w:r>
        <w:rPr>
          <w:rFonts w:ascii="宋体" w:hAnsi="宋体" w:cs="Arial"/>
          <w:color w:val="000000"/>
          <w:kern w:val="0"/>
          <w:szCs w:val="32"/>
        </w:rPr>
        <w:t> </w:t>
      </w:r>
      <w:r>
        <w:rPr>
          <w:rFonts w:ascii="仿宋" w:hAnsi="仿宋" w:cs="Arial"/>
          <w:color w:val="000000"/>
          <w:kern w:val="0"/>
          <w:szCs w:val="32"/>
        </w:rPr>
        <w:t>工资和福利管理。要确保在职职工、聘用人员工资按时、足额发放。准确计算并及时支</w:t>
      </w:r>
      <w:r>
        <w:rPr>
          <w:rFonts w:hint="eastAsia" w:ascii="仿宋" w:hAnsi="仿宋" w:cs="Arial"/>
          <w:color w:val="000000"/>
          <w:kern w:val="0"/>
          <w:szCs w:val="32"/>
        </w:rPr>
        <w:t>付</w:t>
      </w:r>
      <w:r>
        <w:rPr>
          <w:rFonts w:ascii="仿宋" w:hAnsi="仿宋" w:cs="Arial"/>
          <w:color w:val="000000"/>
          <w:kern w:val="0"/>
          <w:szCs w:val="32"/>
        </w:rPr>
        <w:t>工会会费，按时缴纳社会保险费、住房公积金、养老金</w:t>
      </w:r>
      <w:r>
        <w:rPr>
          <w:rFonts w:hint="eastAsia" w:ascii="仿宋" w:hAnsi="仿宋" w:cs="Arial"/>
          <w:color w:val="000000"/>
          <w:kern w:val="0"/>
          <w:szCs w:val="32"/>
        </w:rPr>
        <w:t>等</w:t>
      </w:r>
      <w:r>
        <w:rPr>
          <w:rFonts w:ascii="仿宋" w:hAnsi="仿宋" w:cs="Arial"/>
          <w:color w:val="000000"/>
          <w:kern w:val="0"/>
          <w:szCs w:val="32"/>
        </w:rPr>
        <w:t>。</w:t>
      </w:r>
    </w:p>
    <w:p>
      <w:pPr>
        <w:widowControl/>
        <w:wordWrap w:val="0"/>
        <w:spacing w:line="432" w:lineRule="atLeast"/>
        <w:jc w:val="left"/>
        <w:rPr>
          <w:rFonts w:ascii="仿宋" w:hAnsi="仿宋" w:cs="Arial"/>
          <w:color w:val="000000"/>
          <w:kern w:val="0"/>
          <w:szCs w:val="32"/>
        </w:rPr>
      </w:pPr>
      <w:r>
        <w:rPr>
          <w:rFonts w:ascii="仿宋" w:hAnsi="仿宋" w:cs="Arial"/>
          <w:color w:val="000000"/>
          <w:kern w:val="0"/>
          <w:szCs w:val="32"/>
        </w:rPr>
        <w:t>　　</w:t>
      </w:r>
      <w:r>
        <w:rPr>
          <w:rFonts w:ascii="仿宋" w:hAnsi="仿宋" w:cs="Arial"/>
          <w:b/>
          <w:bCs/>
          <w:color w:val="000000"/>
          <w:kern w:val="0"/>
          <w:szCs w:val="32"/>
        </w:rPr>
        <w:t>第</w:t>
      </w:r>
      <w:r>
        <w:rPr>
          <w:rFonts w:hint="eastAsia" w:ascii="仿宋" w:hAnsi="仿宋" w:cs="Arial"/>
          <w:b/>
          <w:bCs/>
          <w:color w:val="000000"/>
          <w:kern w:val="0"/>
          <w:szCs w:val="32"/>
        </w:rPr>
        <w:t>七</w:t>
      </w:r>
      <w:r>
        <w:rPr>
          <w:rFonts w:ascii="仿宋" w:hAnsi="仿宋" w:cs="Arial"/>
          <w:b/>
          <w:bCs/>
          <w:color w:val="000000"/>
          <w:kern w:val="0"/>
          <w:szCs w:val="32"/>
        </w:rPr>
        <w:t>条</w:t>
      </w:r>
      <w:r>
        <w:rPr>
          <w:rFonts w:ascii="宋体" w:hAnsi="宋体" w:cs="Arial"/>
          <w:color w:val="000000"/>
          <w:kern w:val="0"/>
          <w:szCs w:val="32"/>
        </w:rPr>
        <w:t> </w:t>
      </w:r>
      <w:r>
        <w:rPr>
          <w:rFonts w:ascii="仿宋" w:hAnsi="仿宋" w:cs="Arial"/>
          <w:color w:val="000000"/>
          <w:kern w:val="0"/>
          <w:szCs w:val="32"/>
        </w:rPr>
        <w:t>办公用品管理。要坚持经济、适用的原则，既要保证质量，又要节省经费开支。</w:t>
      </w:r>
    </w:p>
    <w:p>
      <w:pPr>
        <w:widowControl/>
        <w:wordWrap w:val="0"/>
        <w:spacing w:line="432" w:lineRule="atLeast"/>
        <w:jc w:val="left"/>
        <w:rPr>
          <w:rFonts w:ascii="仿宋" w:hAnsi="仿宋" w:cs="Arial"/>
          <w:color w:val="000000"/>
          <w:kern w:val="0"/>
          <w:szCs w:val="32"/>
        </w:rPr>
      </w:pPr>
      <w:r>
        <w:rPr>
          <w:rFonts w:ascii="仿宋" w:hAnsi="仿宋" w:cs="Arial"/>
          <w:color w:val="000000"/>
          <w:kern w:val="0"/>
          <w:szCs w:val="32"/>
        </w:rPr>
        <w:t>　　（一）</w:t>
      </w:r>
      <w:r>
        <w:rPr>
          <w:rFonts w:hint="eastAsia" w:ascii="仿宋" w:hAnsi="仿宋" w:cs="Arial"/>
          <w:color w:val="000000"/>
          <w:kern w:val="0"/>
          <w:szCs w:val="32"/>
        </w:rPr>
        <w:t>各局办</w:t>
      </w:r>
      <w:r>
        <w:rPr>
          <w:rFonts w:ascii="仿宋" w:hAnsi="仿宋" w:cs="Arial"/>
          <w:color w:val="000000"/>
          <w:kern w:val="0"/>
          <w:szCs w:val="32"/>
        </w:rPr>
        <w:t>领取日常办公</w:t>
      </w:r>
      <w:r>
        <w:rPr>
          <w:rFonts w:hint="eastAsia" w:ascii="仿宋" w:hAnsi="仿宋" w:cs="Arial"/>
          <w:color w:val="000000"/>
          <w:kern w:val="0"/>
          <w:szCs w:val="32"/>
        </w:rPr>
        <w:t>用</w:t>
      </w:r>
      <w:r>
        <w:rPr>
          <w:rFonts w:ascii="仿宋" w:hAnsi="仿宋" w:cs="Arial"/>
          <w:color w:val="000000"/>
          <w:kern w:val="0"/>
          <w:szCs w:val="32"/>
        </w:rPr>
        <w:t>品，需做好领用台账。</w:t>
      </w:r>
    </w:p>
    <w:p>
      <w:pPr>
        <w:widowControl/>
        <w:wordWrap w:val="0"/>
        <w:spacing w:line="432" w:lineRule="atLeast"/>
        <w:jc w:val="left"/>
        <w:rPr>
          <w:rFonts w:ascii="仿宋" w:hAnsi="仿宋" w:cs="Arial"/>
          <w:color w:val="000000"/>
          <w:kern w:val="0"/>
          <w:szCs w:val="32"/>
        </w:rPr>
      </w:pPr>
      <w:r>
        <w:rPr>
          <w:rFonts w:ascii="仿宋" w:hAnsi="仿宋" w:cs="Arial"/>
          <w:color w:val="000000"/>
          <w:kern w:val="0"/>
          <w:szCs w:val="32"/>
        </w:rPr>
        <w:t>　　（二）</w:t>
      </w:r>
      <w:r>
        <w:rPr>
          <w:rFonts w:hint="eastAsia" w:ascii="仿宋" w:hAnsi="仿宋" w:cs="Arial"/>
          <w:color w:val="000000"/>
          <w:kern w:val="0"/>
          <w:szCs w:val="32"/>
        </w:rPr>
        <w:t>各举办</w:t>
      </w:r>
      <w:r>
        <w:rPr>
          <w:rFonts w:ascii="仿宋" w:hAnsi="仿宋" w:cs="Arial"/>
          <w:color w:val="000000"/>
          <w:kern w:val="0"/>
          <w:szCs w:val="32"/>
        </w:rPr>
        <w:t>购置非日常办公消耗品，如：电脑、打印机等设备，由办公室统一汇总后向政府采购</w:t>
      </w:r>
      <w:r>
        <w:rPr>
          <w:rFonts w:hint="eastAsia" w:ascii="仿宋" w:hAnsi="仿宋" w:cs="Arial"/>
          <w:color w:val="000000"/>
          <w:kern w:val="0"/>
          <w:szCs w:val="32"/>
        </w:rPr>
        <w:t>科室办理相关</w:t>
      </w:r>
      <w:r>
        <w:rPr>
          <w:rFonts w:ascii="仿宋" w:hAnsi="仿宋" w:cs="Arial"/>
          <w:color w:val="000000"/>
          <w:kern w:val="0"/>
          <w:szCs w:val="32"/>
        </w:rPr>
        <w:t>购置手续。</w:t>
      </w:r>
    </w:p>
    <w:p>
      <w:pPr>
        <w:widowControl/>
        <w:wordWrap w:val="0"/>
        <w:spacing w:line="432" w:lineRule="atLeast"/>
        <w:jc w:val="left"/>
        <w:rPr>
          <w:rFonts w:ascii="仿宋" w:hAnsi="仿宋" w:cs="Arial"/>
          <w:color w:val="000000"/>
          <w:kern w:val="0"/>
          <w:szCs w:val="32"/>
        </w:rPr>
      </w:pPr>
      <w:r>
        <w:rPr>
          <w:rFonts w:ascii="仿宋" w:hAnsi="仿宋" w:cs="Arial"/>
          <w:color w:val="000000"/>
          <w:kern w:val="0"/>
          <w:szCs w:val="32"/>
        </w:rPr>
        <w:t>　　（四）固定资产和设备，要按照国有资产管理办法有关要求设账建卡，在财务记账的同时，对各类资产的购入、调拨、报损等情况建立台账。</w:t>
      </w:r>
    </w:p>
    <w:p>
      <w:pPr>
        <w:widowControl/>
        <w:wordWrap w:val="0"/>
        <w:spacing w:line="432" w:lineRule="atLeast"/>
        <w:jc w:val="left"/>
        <w:rPr>
          <w:rFonts w:ascii="仿宋" w:hAnsi="仿宋" w:cs="Arial"/>
          <w:color w:val="000000"/>
          <w:kern w:val="0"/>
          <w:szCs w:val="32"/>
        </w:rPr>
      </w:pPr>
      <w:r>
        <w:rPr>
          <w:rFonts w:ascii="仿宋" w:hAnsi="仿宋" w:cs="Arial"/>
          <w:color w:val="000000"/>
          <w:kern w:val="0"/>
          <w:szCs w:val="32"/>
        </w:rPr>
        <w:t>　　</w:t>
      </w:r>
      <w:r>
        <w:rPr>
          <w:rFonts w:ascii="仿宋" w:hAnsi="仿宋" w:cs="Arial"/>
          <w:b/>
          <w:bCs/>
          <w:color w:val="000000"/>
          <w:kern w:val="0"/>
          <w:szCs w:val="32"/>
        </w:rPr>
        <w:t>第</w:t>
      </w:r>
      <w:r>
        <w:rPr>
          <w:rFonts w:hint="eastAsia" w:ascii="仿宋" w:hAnsi="仿宋" w:cs="Arial"/>
          <w:b/>
          <w:bCs/>
          <w:color w:val="000000"/>
          <w:kern w:val="0"/>
          <w:szCs w:val="32"/>
        </w:rPr>
        <w:t>八</w:t>
      </w:r>
      <w:r>
        <w:rPr>
          <w:rFonts w:ascii="仿宋" w:hAnsi="仿宋" w:cs="Arial"/>
          <w:b/>
          <w:bCs/>
          <w:color w:val="000000"/>
          <w:kern w:val="0"/>
          <w:szCs w:val="32"/>
        </w:rPr>
        <w:t>条</w:t>
      </w:r>
      <w:r>
        <w:rPr>
          <w:rFonts w:ascii="宋体" w:hAnsi="宋体" w:cs="Arial"/>
          <w:color w:val="000000"/>
          <w:kern w:val="0"/>
          <w:szCs w:val="32"/>
        </w:rPr>
        <w:t> </w:t>
      </w:r>
      <w:r>
        <w:rPr>
          <w:rFonts w:ascii="仿宋" w:hAnsi="仿宋" w:cs="Arial"/>
          <w:color w:val="000000"/>
          <w:kern w:val="0"/>
          <w:szCs w:val="32"/>
        </w:rPr>
        <w:t>经费审批管理。</w:t>
      </w:r>
      <w:r>
        <w:rPr>
          <w:rFonts w:hint="eastAsia" w:ascii="仿宋" w:hAnsi="仿宋" w:cs="Arial"/>
          <w:color w:val="000000"/>
          <w:kern w:val="0"/>
          <w:szCs w:val="32"/>
        </w:rPr>
        <w:t>新区</w:t>
      </w:r>
      <w:r>
        <w:rPr>
          <w:rFonts w:ascii="仿宋" w:hAnsi="仿宋" w:cs="Arial"/>
          <w:color w:val="000000"/>
          <w:kern w:val="0"/>
          <w:szCs w:val="32"/>
        </w:rPr>
        <w:t>一切经费开支实行</w:t>
      </w:r>
      <w:r>
        <w:rPr>
          <w:rFonts w:hint="eastAsia" w:ascii="仿宋" w:hAnsi="仿宋" w:cs="Arial"/>
          <w:color w:val="000000"/>
          <w:kern w:val="0"/>
          <w:szCs w:val="32"/>
        </w:rPr>
        <w:t>分级</w:t>
      </w:r>
      <w:r>
        <w:rPr>
          <w:rFonts w:ascii="仿宋" w:hAnsi="仿宋" w:cs="Arial"/>
          <w:color w:val="000000"/>
          <w:kern w:val="0"/>
          <w:szCs w:val="32"/>
        </w:rPr>
        <w:t>审批制度</w:t>
      </w:r>
      <w:r>
        <w:rPr>
          <w:rFonts w:hint="eastAsia" w:ascii="仿宋" w:hAnsi="仿宋" w:cs="Arial"/>
          <w:color w:val="000000"/>
          <w:kern w:val="0"/>
          <w:szCs w:val="32"/>
        </w:rPr>
        <w:t>。</w:t>
      </w:r>
    </w:p>
    <w:p>
      <w:pPr>
        <w:widowControl/>
        <w:wordWrap w:val="0"/>
        <w:spacing w:line="432" w:lineRule="atLeast"/>
        <w:jc w:val="left"/>
        <w:rPr>
          <w:rFonts w:ascii="仿宋" w:hAnsi="仿宋" w:cs="Arial"/>
          <w:color w:val="000000"/>
          <w:kern w:val="0"/>
          <w:szCs w:val="32"/>
        </w:rPr>
      </w:pPr>
      <w:r>
        <w:rPr>
          <w:rFonts w:hint="eastAsia" w:ascii="仿宋" w:hAnsi="仿宋" w:cs="Arial"/>
          <w:color w:val="000000"/>
          <w:kern w:val="0"/>
          <w:szCs w:val="32"/>
        </w:rPr>
        <w:t xml:space="preserve">    </w:t>
      </w:r>
      <w:r>
        <w:rPr>
          <w:rFonts w:ascii="仿宋" w:hAnsi="仿宋" w:cs="Arial"/>
          <w:color w:val="000000"/>
          <w:kern w:val="0"/>
          <w:szCs w:val="32"/>
        </w:rPr>
        <w:t>（</w:t>
      </w:r>
      <w:r>
        <w:rPr>
          <w:rFonts w:hint="eastAsia" w:ascii="仿宋" w:hAnsi="仿宋" w:cs="Arial"/>
          <w:color w:val="000000"/>
          <w:kern w:val="0"/>
          <w:szCs w:val="32"/>
        </w:rPr>
        <w:t>一</w:t>
      </w:r>
      <w:r>
        <w:rPr>
          <w:rFonts w:ascii="仿宋" w:hAnsi="仿宋" w:cs="Arial"/>
          <w:color w:val="000000"/>
          <w:kern w:val="0"/>
          <w:szCs w:val="32"/>
        </w:rPr>
        <w:t>）财务审核：单位经办人将签有所办事项和本人</w:t>
      </w:r>
      <w:r>
        <w:rPr>
          <w:rFonts w:hint="eastAsia" w:ascii="仿宋" w:hAnsi="仿宋" w:cs="Arial"/>
          <w:color w:val="000000"/>
          <w:kern w:val="0"/>
          <w:szCs w:val="32"/>
        </w:rPr>
        <w:t>签名的</w:t>
      </w:r>
      <w:r>
        <w:rPr>
          <w:rFonts w:ascii="仿宋" w:hAnsi="仿宋" w:cs="Arial"/>
          <w:color w:val="000000"/>
          <w:kern w:val="0"/>
          <w:szCs w:val="32"/>
        </w:rPr>
        <w:t>原始凭证交会计审核，会计对所报单据真实性、规范性、合法性进行审核</w:t>
      </w:r>
      <w:r>
        <w:rPr>
          <w:rFonts w:hint="eastAsia" w:ascii="仿宋" w:hAnsi="仿宋" w:cs="Arial"/>
          <w:color w:val="000000"/>
          <w:kern w:val="0"/>
          <w:szCs w:val="32"/>
        </w:rPr>
        <w:t>并签字</w:t>
      </w:r>
      <w:r>
        <w:rPr>
          <w:rFonts w:ascii="仿宋" w:hAnsi="仿宋" w:cs="Arial"/>
          <w:color w:val="000000"/>
          <w:kern w:val="0"/>
          <w:szCs w:val="32"/>
        </w:rPr>
        <w:t>。</w:t>
      </w:r>
    </w:p>
    <w:p>
      <w:pPr>
        <w:widowControl/>
        <w:wordWrap w:val="0"/>
        <w:spacing w:line="432" w:lineRule="atLeast"/>
        <w:jc w:val="left"/>
        <w:rPr>
          <w:rFonts w:ascii="仿宋" w:hAnsi="仿宋" w:cs="Arial"/>
          <w:color w:val="000000"/>
          <w:kern w:val="0"/>
          <w:szCs w:val="32"/>
        </w:rPr>
      </w:pPr>
      <w:r>
        <w:rPr>
          <w:rFonts w:ascii="仿宋" w:hAnsi="仿宋" w:cs="Arial"/>
          <w:color w:val="000000"/>
          <w:kern w:val="0"/>
          <w:szCs w:val="32"/>
        </w:rPr>
        <w:t>　　（</w:t>
      </w:r>
      <w:r>
        <w:rPr>
          <w:rFonts w:hint="eastAsia" w:ascii="仿宋" w:hAnsi="仿宋" w:cs="Arial"/>
          <w:color w:val="000000"/>
          <w:kern w:val="0"/>
          <w:szCs w:val="32"/>
        </w:rPr>
        <w:t>二</w:t>
      </w:r>
      <w:r>
        <w:rPr>
          <w:rFonts w:ascii="仿宋" w:hAnsi="仿宋" w:cs="Arial"/>
          <w:color w:val="000000"/>
          <w:kern w:val="0"/>
          <w:szCs w:val="32"/>
        </w:rPr>
        <w:t>）领导审批：单位经办人将经过财务审核后的原始凭证，由分管</w:t>
      </w:r>
      <w:r>
        <w:rPr>
          <w:rFonts w:hint="eastAsia" w:ascii="仿宋" w:hAnsi="仿宋" w:cs="Arial"/>
          <w:color w:val="000000"/>
          <w:kern w:val="0"/>
          <w:szCs w:val="32"/>
        </w:rPr>
        <w:t>财政局长、分管财政副主任</w:t>
      </w:r>
      <w:r>
        <w:rPr>
          <w:rFonts w:ascii="仿宋" w:hAnsi="仿宋" w:cs="Arial"/>
          <w:color w:val="000000"/>
          <w:kern w:val="0"/>
          <w:szCs w:val="32"/>
        </w:rPr>
        <w:t>复核审批</w:t>
      </w:r>
      <w:r>
        <w:rPr>
          <w:rFonts w:hint="eastAsia" w:ascii="仿宋" w:hAnsi="仿宋" w:cs="Arial"/>
          <w:color w:val="000000"/>
          <w:kern w:val="0"/>
          <w:szCs w:val="32"/>
        </w:rPr>
        <w:t>后签字</w:t>
      </w:r>
      <w:r>
        <w:rPr>
          <w:rFonts w:ascii="仿宋" w:hAnsi="仿宋" w:cs="Arial"/>
          <w:color w:val="000000"/>
          <w:kern w:val="0"/>
          <w:szCs w:val="32"/>
        </w:rPr>
        <w:t>。</w:t>
      </w:r>
    </w:p>
    <w:p>
      <w:pPr>
        <w:widowControl/>
        <w:wordWrap w:val="0"/>
        <w:spacing w:line="432" w:lineRule="atLeast"/>
        <w:jc w:val="left"/>
        <w:rPr>
          <w:rFonts w:ascii="仿宋" w:hAnsi="仿宋" w:cs="Arial"/>
          <w:color w:val="000000"/>
          <w:kern w:val="0"/>
          <w:szCs w:val="32"/>
        </w:rPr>
      </w:pPr>
      <w:r>
        <w:rPr>
          <w:rFonts w:ascii="仿宋" w:hAnsi="仿宋" w:cs="Arial"/>
          <w:color w:val="000000"/>
          <w:kern w:val="0"/>
          <w:szCs w:val="32"/>
        </w:rPr>
        <w:t>　　（</w:t>
      </w:r>
      <w:r>
        <w:rPr>
          <w:rFonts w:hint="eastAsia" w:ascii="仿宋" w:hAnsi="仿宋" w:cs="Arial"/>
          <w:color w:val="000000"/>
          <w:kern w:val="0"/>
          <w:szCs w:val="32"/>
        </w:rPr>
        <w:t>三</w:t>
      </w:r>
      <w:r>
        <w:rPr>
          <w:rFonts w:ascii="仿宋" w:hAnsi="仿宋" w:cs="Arial"/>
          <w:color w:val="000000"/>
          <w:kern w:val="0"/>
          <w:szCs w:val="32"/>
        </w:rPr>
        <w:t>）财务报销：经办人持经过全部审核审批程序后的原始凭证到出纳处办理报销手续</w:t>
      </w:r>
      <w:r>
        <w:rPr>
          <w:rFonts w:hint="eastAsia" w:ascii="仿宋" w:hAnsi="仿宋" w:cs="Arial"/>
          <w:color w:val="000000"/>
          <w:kern w:val="0"/>
          <w:szCs w:val="32"/>
        </w:rPr>
        <w:t>，</w:t>
      </w:r>
      <w:r>
        <w:rPr>
          <w:rFonts w:ascii="仿宋" w:hAnsi="仿宋" w:cs="Arial"/>
          <w:color w:val="000000"/>
          <w:kern w:val="0"/>
          <w:szCs w:val="32"/>
        </w:rPr>
        <w:t>原则上票据形成日至审批日不得超过30日，特殊原因超过30日须说明理由，否则不予报销。</w:t>
      </w:r>
    </w:p>
    <w:p>
      <w:pPr>
        <w:ind w:left="3" w:leftChars="1"/>
        <w:rPr>
          <w:rFonts w:ascii="仿宋" w:hAnsi="仿宋"/>
          <w:szCs w:val="32"/>
        </w:rPr>
      </w:pPr>
      <w:r>
        <w:rPr>
          <w:rFonts w:hint="eastAsia" w:ascii="仿宋" w:hAnsi="仿宋"/>
          <w:szCs w:val="32"/>
        </w:rPr>
        <w:t xml:space="preserve">    </w:t>
      </w:r>
      <w:r>
        <w:rPr>
          <w:rFonts w:hint="eastAsia" w:ascii="仿宋" w:hAnsi="仿宋"/>
          <w:b/>
          <w:bCs/>
          <w:szCs w:val="32"/>
        </w:rPr>
        <w:t>第九条</w:t>
      </w:r>
      <w:r>
        <w:rPr>
          <w:rFonts w:hint="eastAsia" w:ascii="仿宋" w:hAnsi="仿宋"/>
          <w:szCs w:val="32"/>
        </w:rPr>
        <w:t xml:space="preserve"> 各种会议、食宿等费用支出，必须经分局主任、分管局长签批后方可安排，凡未经批准擅自安排的费用自理。</w:t>
      </w:r>
    </w:p>
    <w:p>
      <w:pPr>
        <w:ind w:firstLine="643" w:firstLineChars="200"/>
        <w:rPr>
          <w:rFonts w:ascii="仿宋" w:hAnsi="仿宋"/>
          <w:szCs w:val="32"/>
        </w:rPr>
      </w:pPr>
      <w:r>
        <w:rPr>
          <w:rFonts w:hint="eastAsia" w:ascii="仿宋" w:hAnsi="仿宋"/>
          <w:b/>
          <w:bCs/>
          <w:szCs w:val="32"/>
        </w:rPr>
        <w:t>第十条</w:t>
      </w:r>
      <w:r>
        <w:rPr>
          <w:rFonts w:hint="eastAsia" w:ascii="仿宋" w:hAnsi="仿宋"/>
          <w:szCs w:val="32"/>
        </w:rPr>
        <w:t xml:space="preserve"> 必要的业务招待，要本着“节约、适度、从俭”的原则，填报招待审批单，经主管财政局长、分管财政副主任审批后并按规定标准安排。</w:t>
      </w:r>
    </w:p>
    <w:p>
      <w:pPr>
        <w:ind w:firstLine="643" w:firstLineChars="200"/>
        <w:rPr>
          <w:rFonts w:ascii="仿宋" w:hAnsi="仿宋"/>
          <w:szCs w:val="32"/>
        </w:rPr>
      </w:pPr>
      <w:r>
        <w:rPr>
          <w:rFonts w:hint="eastAsia" w:ascii="仿宋" w:hAnsi="仿宋"/>
          <w:b/>
          <w:bCs/>
          <w:szCs w:val="32"/>
        </w:rPr>
        <w:t>第十一条</w:t>
      </w:r>
      <w:r>
        <w:rPr>
          <w:rFonts w:hint="eastAsia" w:ascii="仿宋" w:hAnsi="仿宋"/>
          <w:szCs w:val="32"/>
        </w:rPr>
        <w:t xml:space="preserve"> 因公出差，需在外地食宿者，用餐、住宿标准按照相关文件标准执行。</w:t>
      </w:r>
    </w:p>
    <w:p>
      <w:pPr>
        <w:ind w:left="6" w:leftChars="2" w:firstLine="643" w:firstLineChars="200"/>
        <w:rPr>
          <w:rFonts w:ascii="仿宋" w:hAnsi="仿宋"/>
          <w:szCs w:val="32"/>
        </w:rPr>
      </w:pPr>
      <w:r>
        <w:rPr>
          <w:rFonts w:hint="eastAsia" w:ascii="仿宋" w:hAnsi="仿宋"/>
          <w:b/>
          <w:bCs/>
          <w:szCs w:val="32"/>
        </w:rPr>
        <w:t>第十二条</w:t>
      </w:r>
      <w:r>
        <w:rPr>
          <w:rFonts w:hint="eastAsia" w:ascii="仿宋" w:hAnsi="仿宋"/>
          <w:szCs w:val="32"/>
        </w:rPr>
        <w:t xml:space="preserve"> 各级举办的业务学习、培训班，经主管副主任、主管局长同意后，方可参加，学习期间的培训费、食宿费，按上级业务部门的要求和财务部门有关规定报销，车船费报销往返一次。</w:t>
      </w:r>
    </w:p>
    <w:p>
      <w:pPr>
        <w:widowControl/>
        <w:wordWrap w:val="0"/>
        <w:spacing w:line="432" w:lineRule="atLeast"/>
        <w:jc w:val="center"/>
        <w:rPr>
          <w:rFonts w:ascii="黑体" w:hAnsi="黑体" w:eastAsia="黑体" w:cs="黑体"/>
          <w:color w:val="000000"/>
          <w:kern w:val="0"/>
          <w:szCs w:val="32"/>
        </w:rPr>
      </w:pPr>
      <w:r>
        <w:rPr>
          <w:rFonts w:hint="eastAsia" w:ascii="黑体" w:hAnsi="黑体" w:eastAsia="黑体" w:cs="黑体"/>
          <w:color w:val="000000"/>
          <w:kern w:val="0"/>
          <w:szCs w:val="32"/>
        </w:rPr>
        <w:t>第五章 财务章管理</w:t>
      </w:r>
    </w:p>
    <w:p>
      <w:pPr>
        <w:ind w:firstLine="643" w:firstLineChars="200"/>
        <w:rPr>
          <w:rFonts w:ascii="仿宋" w:hAnsi="仿宋"/>
          <w:szCs w:val="32"/>
        </w:rPr>
      </w:pPr>
      <w:r>
        <w:rPr>
          <w:rFonts w:hint="eastAsia" w:ascii="仿宋" w:hAnsi="仿宋"/>
          <w:b/>
          <w:bCs/>
          <w:szCs w:val="32"/>
        </w:rPr>
        <w:t>第十三条</w:t>
      </w:r>
      <w:r>
        <w:rPr>
          <w:rFonts w:hint="eastAsia" w:ascii="仿宋" w:hAnsi="仿宋"/>
          <w:szCs w:val="32"/>
        </w:rPr>
        <w:t xml:space="preserve"> 本单位财务专用章由专人保管，办理相关业务时需向主管领导请示后再加盖印章。禁止非财务事项加盖财务专用章。对特殊事项需要加盖印章应填写《印章使用审批单》，由负责人、分管领导审批方可办理。</w:t>
      </w:r>
    </w:p>
    <w:p>
      <w:pPr>
        <w:ind w:firstLine="643" w:firstLineChars="200"/>
        <w:rPr>
          <w:rFonts w:ascii="仿宋" w:hAnsi="仿宋"/>
          <w:szCs w:val="32"/>
        </w:rPr>
      </w:pPr>
      <w:r>
        <w:rPr>
          <w:rFonts w:hint="eastAsia" w:ascii="仿宋" w:hAnsi="仿宋"/>
          <w:b/>
          <w:bCs/>
          <w:szCs w:val="32"/>
        </w:rPr>
        <w:t>第十四条</w:t>
      </w:r>
      <w:r>
        <w:rPr>
          <w:rFonts w:hint="eastAsia" w:ascii="仿宋" w:hAnsi="仿宋"/>
          <w:szCs w:val="32"/>
        </w:rPr>
        <w:t xml:space="preserve"> 印章保管人员用印需填写《印章使用登记簿》，登记内容包括：用印时间、用印事项、用印单位、用印人、用印数量等。使用财务专用章必须是发生真实、合规、手续完备的财务会计业务，加盖印章时，应加盖在规定位置。</w:t>
      </w:r>
    </w:p>
    <w:p>
      <w:pPr>
        <w:rPr>
          <w:rFonts w:ascii="仿宋" w:hAnsi="仿宋" w:cs="Arial"/>
          <w:color w:val="000000"/>
          <w:kern w:val="0"/>
          <w:szCs w:val="32"/>
        </w:rPr>
      </w:pPr>
      <w:r>
        <w:rPr>
          <w:rFonts w:hint="eastAsia" w:ascii="仿宋" w:hAnsi="仿宋"/>
          <w:szCs w:val="32"/>
        </w:rPr>
        <w:t xml:space="preserve">    </w:t>
      </w:r>
      <w:r>
        <w:rPr>
          <w:rFonts w:hint="eastAsia" w:ascii="仿宋" w:hAnsi="仿宋"/>
          <w:b/>
          <w:bCs/>
          <w:szCs w:val="32"/>
        </w:rPr>
        <w:t>第十五条</w:t>
      </w:r>
      <w:r>
        <w:rPr>
          <w:rFonts w:hint="eastAsia" w:ascii="仿宋" w:hAnsi="仿宋"/>
          <w:szCs w:val="32"/>
        </w:rPr>
        <w:t xml:space="preserve"> 财务专用章必须保存在安全地方，非保管人员不得使用，不经批准不得携带外出。如发生工作调动，由本单位负责人负责监交，办理财务专用章交接手续。</w:t>
      </w:r>
    </w:p>
    <w:p>
      <w:pPr>
        <w:pStyle w:val="3"/>
        <w:jc w:val="center"/>
      </w:pPr>
      <w:r>
        <w:rPr>
          <w:rFonts w:hint="eastAsia" w:ascii="黑体" w:hAnsi="黑体" w:cs="黑体"/>
          <w:color w:val="000000"/>
          <w:kern w:val="0"/>
          <w:szCs w:val="32"/>
        </w:rPr>
        <w:t xml:space="preserve">第六章 </w:t>
      </w:r>
      <w:r>
        <w:rPr>
          <w:rFonts w:hint="eastAsia" w:ascii="黑体" w:hAnsi="黑体" w:cs="黑体"/>
        </w:rPr>
        <w:t>专项资金管理暂行办法</w:t>
      </w:r>
    </w:p>
    <w:p>
      <w:pPr>
        <w:widowControl/>
        <w:spacing w:line="360" w:lineRule="auto"/>
        <w:ind w:firstLine="643" w:firstLineChars="200"/>
        <w:jc w:val="left"/>
        <w:rPr>
          <w:rFonts w:ascii="仿宋" w:hAnsi="仿宋" w:cs="宋体"/>
          <w:kern w:val="0"/>
          <w:szCs w:val="32"/>
        </w:rPr>
      </w:pPr>
      <w:r>
        <w:rPr>
          <w:rFonts w:hint="eastAsia" w:ascii="楷体" w:hAnsi="楷体" w:eastAsia="楷体" w:cs="宋体"/>
          <w:b/>
          <w:snapToGrid w:val="0"/>
          <w:kern w:val="0"/>
          <w:szCs w:val="32"/>
        </w:rPr>
        <w:t>第十六条</w:t>
      </w:r>
      <w:r>
        <w:rPr>
          <w:rFonts w:hint="eastAsia" w:ascii="仿宋" w:hAnsi="仿宋" w:cs="宋体"/>
          <w:snapToGrid w:val="0"/>
          <w:kern w:val="0"/>
          <w:szCs w:val="32"/>
        </w:rPr>
        <w:t xml:space="preserve">  为了进一步加强和规范财政专项资金（以下简称“专项资金”）管理，保障专项资金安全运行，提高专项资金使用效益，确保专款专用，根据《中华人民共和国预算法》、《中华人民共和国会计法》及吉林省财政专项资金管理和国家有关法律、法规的规定，结合我市和生态新区实际情况，制定本办法。</w:t>
      </w:r>
    </w:p>
    <w:p>
      <w:pPr>
        <w:widowControl/>
        <w:spacing w:line="360" w:lineRule="auto"/>
        <w:ind w:firstLine="643" w:firstLineChars="200"/>
        <w:jc w:val="left"/>
        <w:rPr>
          <w:rFonts w:ascii="仿宋" w:hAnsi="仿宋" w:cs="宋体"/>
          <w:kern w:val="0"/>
          <w:szCs w:val="32"/>
        </w:rPr>
      </w:pPr>
      <w:r>
        <w:rPr>
          <w:rFonts w:hint="eastAsia" w:ascii="楷体" w:hAnsi="楷体" w:eastAsia="楷体" w:cs="宋体"/>
          <w:b/>
          <w:snapToGrid w:val="0"/>
          <w:kern w:val="0"/>
          <w:szCs w:val="32"/>
        </w:rPr>
        <w:t>第十七条</w:t>
      </w:r>
      <w:r>
        <w:rPr>
          <w:rFonts w:hint="eastAsia" w:ascii="仿宋" w:hAnsi="仿宋" w:cs="宋体"/>
          <w:snapToGrid w:val="0"/>
          <w:kern w:val="0"/>
          <w:szCs w:val="32"/>
        </w:rPr>
        <w:t xml:space="preserve">  本办法所称专项资金，是指上级财政部门下达的社会管理、公共事业发展、社会保障、经济建设以及政策补贴等方面具有指定用途，以及本级财政预算安排的具有特定用途、专款专用的财政资金。</w:t>
      </w:r>
    </w:p>
    <w:p>
      <w:pPr>
        <w:widowControl/>
        <w:spacing w:line="360" w:lineRule="auto"/>
        <w:ind w:firstLine="643" w:firstLineChars="200"/>
        <w:jc w:val="left"/>
        <w:rPr>
          <w:rFonts w:ascii="仿宋" w:hAnsi="仿宋" w:cs="宋体"/>
          <w:kern w:val="0"/>
          <w:szCs w:val="32"/>
        </w:rPr>
      </w:pPr>
      <w:r>
        <w:rPr>
          <w:rFonts w:hint="eastAsia" w:ascii="楷体" w:hAnsi="楷体" w:eastAsia="楷体" w:cs="宋体"/>
          <w:b/>
          <w:snapToGrid w:val="0"/>
          <w:kern w:val="0"/>
          <w:szCs w:val="32"/>
        </w:rPr>
        <w:t xml:space="preserve">第十八条 </w:t>
      </w:r>
      <w:r>
        <w:rPr>
          <w:rFonts w:hint="eastAsia" w:ascii="仿宋" w:hAnsi="仿宋" w:cs="宋体"/>
          <w:snapToGrid w:val="0"/>
          <w:kern w:val="0"/>
          <w:szCs w:val="32"/>
        </w:rPr>
        <w:t xml:space="preserve"> 专项资金使用按照评审、申请、审核、下达指标文件、拨款的程序进行，专项资金拨付申请使用统一格式（附表）。实行公开透明、跟踪问效和责任追究制度。</w:t>
      </w:r>
    </w:p>
    <w:p>
      <w:pPr>
        <w:widowControl/>
        <w:spacing w:line="360" w:lineRule="auto"/>
        <w:ind w:firstLine="643" w:firstLineChars="200"/>
        <w:jc w:val="left"/>
        <w:rPr>
          <w:rFonts w:ascii="仿宋" w:hAnsi="仿宋" w:cs="宋体"/>
          <w:kern w:val="0"/>
          <w:szCs w:val="32"/>
        </w:rPr>
      </w:pPr>
      <w:r>
        <w:rPr>
          <w:rFonts w:hint="eastAsia" w:ascii="楷体" w:hAnsi="楷体" w:eastAsia="楷体" w:cs="宋体"/>
          <w:b/>
          <w:snapToGrid w:val="0"/>
          <w:kern w:val="0"/>
          <w:szCs w:val="32"/>
        </w:rPr>
        <w:t>第十九条</w:t>
      </w:r>
      <w:r>
        <w:rPr>
          <w:rFonts w:hint="eastAsia" w:ascii="仿宋" w:hAnsi="仿宋" w:cs="宋体"/>
          <w:snapToGrid w:val="0"/>
          <w:kern w:val="0"/>
          <w:szCs w:val="32"/>
        </w:rPr>
        <w:t xml:space="preserve">  依据本办法，生态新区财政金融审计局进行专户管理、建立专项资金台账，履行财政监督职能。资金监管实行事前审核、事中监控、事后检查有机结合的监督管理体系。</w:t>
      </w:r>
    </w:p>
    <w:p>
      <w:pPr>
        <w:widowControl/>
        <w:spacing w:line="360" w:lineRule="auto"/>
        <w:ind w:firstLine="643" w:firstLineChars="200"/>
        <w:jc w:val="left"/>
        <w:rPr>
          <w:rFonts w:ascii="仿宋" w:hAnsi="仿宋" w:cs="宋体"/>
          <w:kern w:val="0"/>
          <w:szCs w:val="32"/>
        </w:rPr>
      </w:pPr>
      <w:r>
        <w:rPr>
          <w:rFonts w:hint="eastAsia" w:ascii="楷体" w:hAnsi="楷体" w:eastAsia="楷体" w:cs="宋体"/>
          <w:b/>
          <w:snapToGrid w:val="0"/>
          <w:kern w:val="0"/>
          <w:szCs w:val="32"/>
        </w:rPr>
        <w:t xml:space="preserve">第二十条 </w:t>
      </w:r>
      <w:r>
        <w:rPr>
          <w:rFonts w:hint="eastAsia" w:ascii="仿宋" w:hAnsi="仿宋" w:cs="宋体"/>
          <w:snapToGrid w:val="0"/>
          <w:kern w:val="0"/>
          <w:szCs w:val="32"/>
        </w:rPr>
        <w:t xml:space="preserve"> 项目单位申请拨付上级财政部门下达的专项资金时，需向生态新区财政金融审计局提出资金拨付申请，并按要求提供有关项目资料。项目单位申请拨付本级财政安排的专项资金时，首先报请生态新区领导批准，并按要求向生态新区财政金融审计局提供项目的有关资料。</w:t>
      </w:r>
    </w:p>
    <w:p>
      <w:pPr>
        <w:widowControl/>
        <w:spacing w:line="360" w:lineRule="auto"/>
        <w:ind w:firstLine="643" w:firstLineChars="200"/>
        <w:rPr>
          <w:rFonts w:ascii="仿宋" w:hAnsi="仿宋" w:cs="宋体"/>
          <w:kern w:val="0"/>
          <w:szCs w:val="32"/>
        </w:rPr>
      </w:pPr>
      <w:r>
        <w:rPr>
          <w:rFonts w:hint="eastAsia" w:ascii="楷体" w:hAnsi="楷体" w:eastAsia="楷体" w:cs="宋体"/>
          <w:b/>
          <w:snapToGrid w:val="0"/>
          <w:kern w:val="0"/>
          <w:szCs w:val="32"/>
        </w:rPr>
        <w:t>第二十一条</w:t>
      </w:r>
      <w:r>
        <w:rPr>
          <w:rFonts w:hint="eastAsia" w:ascii="仿宋" w:hAnsi="仿宋" w:cs="宋体"/>
          <w:snapToGrid w:val="0"/>
          <w:kern w:val="0"/>
          <w:szCs w:val="32"/>
        </w:rPr>
        <w:t xml:space="preserve">  项目单位申请拨付建设性工程项目资金，在资金申请书中须附生态新区财政评审人员出具的该项目评审结论；申请非建设性项目资金所提供的资料，按照生态新区财政金融审计局具体要求办理。</w:t>
      </w:r>
    </w:p>
    <w:p>
      <w:pPr>
        <w:widowControl/>
        <w:spacing w:line="360" w:lineRule="auto"/>
        <w:ind w:firstLine="643" w:firstLineChars="200"/>
        <w:rPr>
          <w:rFonts w:ascii="仿宋" w:hAnsi="仿宋" w:cs="宋体"/>
          <w:snapToGrid w:val="0"/>
          <w:kern w:val="0"/>
          <w:szCs w:val="32"/>
        </w:rPr>
      </w:pPr>
      <w:r>
        <w:rPr>
          <w:rFonts w:hint="eastAsia" w:ascii="楷体" w:hAnsi="楷体" w:eastAsia="楷体" w:cs="宋体"/>
          <w:b/>
          <w:snapToGrid w:val="0"/>
          <w:kern w:val="0"/>
          <w:szCs w:val="32"/>
        </w:rPr>
        <w:t>第二十二条</w:t>
      </w:r>
      <w:r>
        <w:rPr>
          <w:rFonts w:hint="eastAsia" w:ascii="仿宋" w:hAnsi="仿宋" w:cs="宋体"/>
          <w:snapToGrid w:val="0"/>
          <w:kern w:val="0"/>
          <w:szCs w:val="32"/>
        </w:rPr>
        <w:t xml:space="preserve">  上级财政部门下达的实施单位明确的专项资金，生态新区财政金融审计局要在接到专项资金文件后及时告知项目实施单位。生态新区财政金融审计局根据项目单位的申请和提供资料进行审核及签署意见并批复。</w:t>
      </w:r>
    </w:p>
    <w:p>
      <w:pPr>
        <w:widowControl/>
        <w:spacing w:line="360" w:lineRule="auto"/>
        <w:ind w:firstLine="643" w:firstLineChars="200"/>
        <w:rPr>
          <w:rFonts w:ascii="仿宋" w:hAnsi="仿宋" w:cs="宋体"/>
          <w:snapToGrid w:val="0"/>
          <w:kern w:val="0"/>
          <w:szCs w:val="32"/>
        </w:rPr>
      </w:pPr>
      <w:r>
        <w:rPr>
          <w:rFonts w:hint="eastAsia" w:ascii="楷体" w:hAnsi="楷体" w:eastAsia="楷体" w:cs="宋体"/>
          <w:b/>
          <w:snapToGrid w:val="0"/>
          <w:kern w:val="0"/>
          <w:szCs w:val="32"/>
        </w:rPr>
        <w:t>第二十三条</w:t>
      </w:r>
      <w:r>
        <w:rPr>
          <w:rFonts w:hint="eastAsia" w:ascii="仿宋" w:hAnsi="仿宋" w:cs="宋体"/>
          <w:snapToGrid w:val="0"/>
          <w:kern w:val="0"/>
          <w:szCs w:val="32"/>
        </w:rPr>
        <w:t xml:space="preserve">  本级安排的专项资金，项目单位申请在生态新区领导签批后送达生态新区财政金融审计局办理，提交相关资料、专项资金拨付申请表填报等业务。</w:t>
      </w:r>
    </w:p>
    <w:p>
      <w:pPr>
        <w:widowControl/>
        <w:spacing w:line="360" w:lineRule="auto"/>
        <w:ind w:firstLine="643" w:firstLineChars="200"/>
        <w:rPr>
          <w:rFonts w:ascii="仿宋" w:hAnsi="仿宋" w:cs="宋体"/>
          <w:kern w:val="0"/>
          <w:szCs w:val="32"/>
        </w:rPr>
      </w:pPr>
      <w:r>
        <w:rPr>
          <w:rFonts w:hint="eastAsia" w:ascii="楷体" w:hAnsi="楷体" w:eastAsia="楷体" w:cs="宋体"/>
          <w:b/>
          <w:snapToGrid w:val="0"/>
          <w:kern w:val="0"/>
          <w:szCs w:val="32"/>
        </w:rPr>
        <w:t>第二十四条</w:t>
      </w:r>
      <w:r>
        <w:rPr>
          <w:rFonts w:hint="eastAsia" w:ascii="仿宋" w:hAnsi="仿宋" w:cs="宋体"/>
          <w:snapToGrid w:val="0"/>
          <w:kern w:val="0"/>
          <w:szCs w:val="32"/>
        </w:rPr>
        <w:t xml:space="preserve">  生态新区财政金融审计局对专项资金统一下达指标文件，专项资金的落实以下达专项资金指标文件为依据，资金可以按进度或实际情况分批次拨付。</w:t>
      </w:r>
    </w:p>
    <w:p>
      <w:pPr>
        <w:widowControl/>
        <w:spacing w:line="360" w:lineRule="auto"/>
        <w:ind w:firstLine="643" w:firstLineChars="200"/>
        <w:rPr>
          <w:rFonts w:ascii="仿宋" w:hAnsi="仿宋" w:cs="宋体"/>
          <w:kern w:val="0"/>
          <w:szCs w:val="32"/>
        </w:rPr>
      </w:pPr>
      <w:r>
        <w:rPr>
          <w:rFonts w:hint="eastAsia" w:ascii="楷体" w:hAnsi="楷体" w:eastAsia="楷体" w:cs="宋体"/>
          <w:b/>
          <w:snapToGrid w:val="0"/>
          <w:kern w:val="0"/>
          <w:szCs w:val="32"/>
        </w:rPr>
        <w:t>第二十五条</w:t>
      </w:r>
      <w:r>
        <w:rPr>
          <w:rFonts w:hint="eastAsia" w:ascii="仿宋" w:hAnsi="仿宋" w:cs="宋体"/>
          <w:snapToGrid w:val="0"/>
          <w:kern w:val="0"/>
          <w:szCs w:val="32"/>
        </w:rPr>
        <w:t xml:space="preserve">  对于要求项目单位自筹配套的项目，生态新区财政金融审计局视项目单位自筹配套资金进度情况审核拨付专项资金。</w:t>
      </w:r>
    </w:p>
    <w:p>
      <w:pPr>
        <w:widowControl/>
        <w:spacing w:line="360" w:lineRule="auto"/>
        <w:ind w:firstLine="643" w:firstLineChars="200"/>
        <w:jc w:val="left"/>
        <w:rPr>
          <w:rFonts w:ascii="仿宋" w:hAnsi="仿宋" w:cs="宋体"/>
          <w:kern w:val="0"/>
          <w:szCs w:val="32"/>
        </w:rPr>
      </w:pPr>
      <w:r>
        <w:rPr>
          <w:rFonts w:hint="eastAsia" w:ascii="楷体" w:hAnsi="楷体" w:eastAsia="楷体" w:cs="宋体"/>
          <w:b/>
          <w:snapToGrid w:val="0"/>
          <w:kern w:val="0"/>
          <w:szCs w:val="32"/>
        </w:rPr>
        <w:t>第二十六条</w:t>
      </w:r>
      <w:r>
        <w:rPr>
          <w:rFonts w:hint="eastAsia" w:ascii="仿宋" w:hAnsi="仿宋" w:cs="宋体"/>
          <w:snapToGrid w:val="0"/>
          <w:kern w:val="0"/>
          <w:szCs w:val="32"/>
        </w:rPr>
        <w:t xml:space="preserve">  专项资金的拨付，生态新区财政金融审计局对项目单位填报的专项资金拨付申请表进行审核，要及时将专项资金拨付到项目单位。</w:t>
      </w:r>
    </w:p>
    <w:p>
      <w:pPr>
        <w:widowControl/>
        <w:spacing w:line="360" w:lineRule="auto"/>
        <w:ind w:firstLine="643" w:firstLineChars="200"/>
        <w:rPr>
          <w:rFonts w:ascii="仿宋" w:hAnsi="仿宋" w:cs="宋体"/>
          <w:snapToGrid w:val="0"/>
          <w:kern w:val="0"/>
          <w:szCs w:val="32"/>
        </w:rPr>
      </w:pPr>
      <w:r>
        <w:rPr>
          <w:rFonts w:hint="eastAsia" w:ascii="楷体" w:hAnsi="楷体" w:eastAsia="楷体" w:cs="宋体"/>
          <w:b/>
          <w:snapToGrid w:val="0"/>
          <w:kern w:val="0"/>
          <w:szCs w:val="32"/>
        </w:rPr>
        <w:t>第二十七条</w:t>
      </w:r>
      <w:r>
        <w:rPr>
          <w:rFonts w:hint="eastAsia" w:ascii="仿宋" w:hAnsi="仿宋" w:cs="宋体"/>
          <w:snapToGrid w:val="0"/>
          <w:kern w:val="0"/>
          <w:szCs w:val="32"/>
        </w:rPr>
        <w:t xml:space="preserve">  建设性工程项目，生态新区财政金融审计局和项目单位严格按照《白城市财政性资金基本建设投资评审细则》办理。工程在100万元以内，由生态新区财政金融审计局审核相关文件及工程预算后即可实施；工程在100万元（含100万元）~400万元以内，由生态新区财政金融审计局核定招标控制价后进行招标；工程在400万元以上（含400万元），由生态新区财政金融审计局联合市财政评审中心核定招标控制价后，进行公开招标。在项目开工申请资金时，按5％-30%预拨工程款作为启动资金；在工程建设期间申请工程款，需报送生态新区财政金融审计局评审工程进度，按工程进度拨付财政专项资金，累计拨付的资金不得超过工程造价或投资计划的80％；工程完工后预留5％工程质量保证金；工程竣工后，由工程管理部门及相关监管部门对工程项目进行验收，验收合格后方可进行工程结算。工程保质期满后，按合同规定拨付5％工程质量保证金，工程质量如出现问题，将5％工程质量保证金转做维修费，并按合同、协议的相关规定进行处置。疾病防治、救灾、救济资金，依据疫情、灾情情况，原则上按实际需要拨付，特殊情况可一次性拨付到位。其它方面的专项资金，依据实际需要和财政资金调度情况，据实拨付。</w:t>
      </w:r>
    </w:p>
    <w:p>
      <w:pPr>
        <w:widowControl/>
        <w:spacing w:line="360" w:lineRule="auto"/>
        <w:ind w:firstLine="643" w:firstLineChars="200"/>
        <w:rPr>
          <w:rFonts w:ascii="仿宋" w:hAnsi="仿宋" w:cs="宋体"/>
          <w:kern w:val="0"/>
          <w:szCs w:val="32"/>
        </w:rPr>
      </w:pPr>
      <w:r>
        <w:rPr>
          <w:rFonts w:hint="eastAsia" w:ascii="楷体" w:hAnsi="楷体" w:eastAsia="楷体" w:cs="宋体"/>
          <w:b/>
          <w:snapToGrid w:val="0"/>
          <w:kern w:val="0"/>
          <w:szCs w:val="32"/>
        </w:rPr>
        <w:t>第二十八条</w:t>
      </w:r>
      <w:r>
        <w:rPr>
          <w:rFonts w:hint="eastAsia" w:ascii="仿宋" w:hAnsi="仿宋" w:cs="宋体"/>
          <w:snapToGrid w:val="0"/>
          <w:kern w:val="0"/>
          <w:szCs w:val="32"/>
        </w:rPr>
        <w:t xml:space="preserve">  属于报账的专项资金，项目单位依据项目资金使用情况，提出拨款申请，并填报资金使用费用表及提供相关合法票据，经生态新区财政金融审计局审验合格，按程序报生态新区领导签批后，再予以拨付。对下列情况，生态新区财政部门不予报账及决算批复:  </w:t>
      </w:r>
    </w:p>
    <w:p>
      <w:pPr>
        <w:widowControl/>
        <w:spacing w:line="360" w:lineRule="auto"/>
        <w:ind w:firstLine="640" w:firstLineChars="200"/>
        <w:jc w:val="left"/>
        <w:rPr>
          <w:rFonts w:ascii="仿宋" w:hAnsi="仿宋" w:cs="宋体"/>
          <w:kern w:val="0"/>
          <w:szCs w:val="32"/>
        </w:rPr>
      </w:pPr>
      <w:r>
        <w:rPr>
          <w:rFonts w:hint="eastAsia" w:ascii="仿宋" w:hAnsi="仿宋" w:cs="宋体"/>
          <w:snapToGrid w:val="0"/>
          <w:kern w:val="0"/>
          <w:szCs w:val="32"/>
        </w:rPr>
        <w:t>1、按照资金计划分配指标超额支出的。</w:t>
      </w:r>
    </w:p>
    <w:p>
      <w:pPr>
        <w:widowControl/>
        <w:spacing w:line="360" w:lineRule="auto"/>
        <w:ind w:firstLine="640" w:firstLineChars="200"/>
        <w:jc w:val="left"/>
        <w:rPr>
          <w:rFonts w:ascii="仿宋" w:hAnsi="仿宋" w:cs="宋体"/>
          <w:kern w:val="0"/>
          <w:szCs w:val="32"/>
        </w:rPr>
      </w:pPr>
      <w:r>
        <w:rPr>
          <w:rFonts w:hint="eastAsia" w:ascii="仿宋" w:hAnsi="仿宋" w:cs="宋体"/>
          <w:snapToGrid w:val="0"/>
          <w:kern w:val="0"/>
          <w:szCs w:val="32"/>
        </w:rPr>
        <w:t>2、不按要求提供有效文件和报账凭证的。</w:t>
      </w:r>
    </w:p>
    <w:p>
      <w:pPr>
        <w:widowControl/>
        <w:spacing w:line="360" w:lineRule="auto"/>
        <w:ind w:firstLine="640" w:firstLineChars="200"/>
        <w:jc w:val="left"/>
        <w:rPr>
          <w:rFonts w:ascii="仿宋" w:hAnsi="仿宋" w:cs="宋体"/>
          <w:kern w:val="0"/>
          <w:szCs w:val="32"/>
        </w:rPr>
      </w:pPr>
      <w:r>
        <w:rPr>
          <w:rFonts w:hint="eastAsia" w:ascii="仿宋" w:hAnsi="仿宋" w:cs="宋体"/>
          <w:snapToGrid w:val="0"/>
          <w:kern w:val="0"/>
          <w:szCs w:val="32"/>
        </w:rPr>
        <w:t xml:space="preserve">3、项目单位及责任人没有审签的。  </w:t>
      </w:r>
    </w:p>
    <w:p>
      <w:pPr>
        <w:widowControl/>
        <w:spacing w:line="360" w:lineRule="auto"/>
        <w:ind w:firstLine="640" w:firstLineChars="200"/>
        <w:jc w:val="left"/>
        <w:rPr>
          <w:rFonts w:ascii="仿宋" w:hAnsi="仿宋" w:cs="宋体"/>
          <w:kern w:val="0"/>
          <w:szCs w:val="32"/>
        </w:rPr>
      </w:pPr>
      <w:r>
        <w:rPr>
          <w:rFonts w:hint="eastAsia" w:ascii="仿宋" w:hAnsi="仿宋" w:cs="宋体"/>
          <w:snapToGrid w:val="0"/>
          <w:kern w:val="0"/>
          <w:szCs w:val="32"/>
        </w:rPr>
        <w:t xml:space="preserve">4、虚报项目，套取专项资金的。  </w:t>
      </w:r>
    </w:p>
    <w:p>
      <w:pPr>
        <w:widowControl/>
        <w:spacing w:line="360" w:lineRule="auto"/>
        <w:ind w:firstLine="640" w:firstLineChars="200"/>
        <w:jc w:val="left"/>
        <w:rPr>
          <w:rFonts w:ascii="仿宋" w:hAnsi="仿宋" w:cs="宋体"/>
          <w:kern w:val="0"/>
          <w:szCs w:val="32"/>
        </w:rPr>
      </w:pPr>
      <w:r>
        <w:rPr>
          <w:rFonts w:hint="eastAsia" w:ascii="仿宋" w:hAnsi="仿宋" w:cs="宋体"/>
          <w:snapToGrid w:val="0"/>
          <w:kern w:val="0"/>
          <w:szCs w:val="32"/>
        </w:rPr>
        <w:t>5、其他违反国家法律、法规和规定支出的。</w:t>
      </w:r>
    </w:p>
    <w:p>
      <w:pPr>
        <w:widowControl/>
        <w:spacing w:line="360" w:lineRule="auto"/>
        <w:ind w:firstLine="643" w:firstLineChars="200"/>
        <w:rPr>
          <w:rFonts w:ascii="仿宋" w:hAnsi="仿宋" w:cs="宋体"/>
          <w:kern w:val="0"/>
          <w:szCs w:val="32"/>
        </w:rPr>
      </w:pPr>
      <w:r>
        <w:rPr>
          <w:rFonts w:hint="eastAsia" w:ascii="楷体" w:hAnsi="楷体" w:eastAsia="楷体" w:cs="宋体"/>
          <w:b/>
          <w:snapToGrid w:val="0"/>
          <w:kern w:val="0"/>
          <w:szCs w:val="32"/>
        </w:rPr>
        <w:t>第二十九条</w:t>
      </w:r>
      <w:r>
        <w:rPr>
          <w:rFonts w:hint="eastAsia" w:ascii="仿宋" w:hAnsi="仿宋" w:cs="宋体"/>
          <w:snapToGrid w:val="0"/>
          <w:kern w:val="0"/>
          <w:szCs w:val="32"/>
        </w:rPr>
        <w:t xml:space="preserve">  生态新区财政金融审计局对专项资金实行全方位全过程的监管，并不定期对项目单位进行专项资金的检查，检查后将结果上报生态新区领导。</w:t>
      </w:r>
    </w:p>
    <w:p>
      <w:pPr>
        <w:widowControl/>
        <w:spacing w:line="360" w:lineRule="auto"/>
        <w:ind w:firstLine="643" w:firstLineChars="200"/>
        <w:rPr>
          <w:rFonts w:ascii="仿宋" w:hAnsi="仿宋" w:cs="宋体"/>
          <w:kern w:val="0"/>
          <w:szCs w:val="32"/>
        </w:rPr>
      </w:pPr>
      <w:r>
        <w:rPr>
          <w:rFonts w:hint="eastAsia" w:ascii="楷体" w:hAnsi="楷体" w:eastAsia="楷体" w:cs="宋体"/>
          <w:b/>
          <w:snapToGrid w:val="0"/>
          <w:kern w:val="0"/>
          <w:szCs w:val="32"/>
        </w:rPr>
        <w:t>第三十条</w:t>
      </w:r>
      <w:r>
        <w:rPr>
          <w:rFonts w:hint="eastAsia" w:ascii="仿宋" w:hAnsi="仿宋" w:cs="宋体"/>
          <w:snapToGrid w:val="0"/>
          <w:kern w:val="0"/>
          <w:szCs w:val="32"/>
        </w:rPr>
        <w:t xml:space="preserve">  生态新区财政金融审计局要参与项目立项审批到工程预算、项目完工验收的全过程，严格依据相关规定管理、拨付专项资金。对于建设性工程项目，第一次拨款前要严格审核项目单位提供的资料，做到手续完备、程序合规。在下一次拨款前，要组织专人对项目进展和资金使用情况进行实地勘察和检查验收。发现项目实施或资金使用不符合相关规定的，立即停拨资金，并将情况报告生态新区领导。</w:t>
      </w:r>
    </w:p>
    <w:p>
      <w:pPr>
        <w:widowControl/>
        <w:spacing w:line="360" w:lineRule="auto"/>
        <w:ind w:firstLine="643" w:firstLineChars="200"/>
        <w:jc w:val="left"/>
        <w:rPr>
          <w:rFonts w:ascii="仿宋" w:hAnsi="仿宋" w:cs="宋体"/>
          <w:kern w:val="0"/>
          <w:szCs w:val="32"/>
        </w:rPr>
      </w:pPr>
      <w:r>
        <w:rPr>
          <w:rFonts w:hint="eastAsia" w:ascii="楷体" w:hAnsi="楷体" w:eastAsia="楷体" w:cs="宋体"/>
          <w:b/>
          <w:snapToGrid w:val="0"/>
          <w:kern w:val="0"/>
          <w:szCs w:val="32"/>
        </w:rPr>
        <w:t>第三十一条</w:t>
      </w:r>
      <w:r>
        <w:rPr>
          <w:rFonts w:hint="eastAsia" w:ascii="仿宋" w:hAnsi="仿宋" w:cs="宋体"/>
          <w:snapToGrid w:val="0"/>
          <w:kern w:val="0"/>
          <w:szCs w:val="32"/>
        </w:rPr>
        <w:t xml:space="preserve"> 本办法未尽事宜，按国家法律法规及有关规定执行。</w:t>
      </w:r>
    </w:p>
    <w:p>
      <w:pPr>
        <w:widowControl/>
        <w:spacing w:line="360" w:lineRule="auto"/>
        <w:ind w:firstLine="640" w:firstLineChars="200"/>
        <w:jc w:val="left"/>
        <w:outlineLvl w:val="0"/>
        <w:rPr>
          <w:rFonts w:ascii="仿宋" w:hAnsi="宋体" w:cs="宋体"/>
          <w:snapToGrid w:val="0"/>
          <w:kern w:val="0"/>
          <w:szCs w:val="32"/>
        </w:rPr>
      </w:pPr>
      <w:bookmarkStart w:id="142" w:name="_Toc15203"/>
      <w:bookmarkStart w:id="143" w:name="_Toc5801"/>
      <w:bookmarkStart w:id="144" w:name="_Toc15928"/>
      <w:bookmarkStart w:id="145" w:name="_Toc19520"/>
      <w:bookmarkStart w:id="146" w:name="_Toc19014"/>
      <w:bookmarkStart w:id="147" w:name="_Toc31344"/>
      <w:r>
        <w:rPr>
          <w:rFonts w:hint="eastAsia" w:ascii="仿宋" w:hAnsi="仿宋" w:cs="宋体"/>
          <w:snapToGrid w:val="0"/>
          <w:kern w:val="0"/>
          <w:szCs w:val="32"/>
        </w:rPr>
        <w:t>附件：1、白城市生态新区财政金融审计局专项资金拨付申请表。</w:t>
      </w:r>
      <w:bookmarkEnd w:id="142"/>
      <w:bookmarkEnd w:id="143"/>
      <w:bookmarkEnd w:id="144"/>
      <w:bookmarkEnd w:id="145"/>
      <w:bookmarkEnd w:id="146"/>
      <w:bookmarkEnd w:id="147"/>
    </w:p>
    <w:p>
      <w:pPr>
        <w:widowControl/>
        <w:spacing w:line="360" w:lineRule="auto"/>
        <w:ind w:firstLine="640" w:firstLineChars="200"/>
        <w:jc w:val="left"/>
        <w:rPr>
          <w:rFonts w:ascii="仿宋" w:hAnsi="仿宋" w:cs="宋体"/>
          <w:kern w:val="0"/>
          <w:sz w:val="24"/>
        </w:rPr>
      </w:pPr>
      <w:r>
        <w:rPr>
          <w:rFonts w:hint="eastAsia" w:ascii="仿宋" w:hAnsi="仿宋" w:cs="宋体"/>
          <w:snapToGrid w:val="0"/>
          <w:kern w:val="0"/>
          <w:szCs w:val="32"/>
        </w:rPr>
        <w:t xml:space="preserve">      2、白城市生态新区财政金融审计局专项资金告知通知书。</w:t>
      </w:r>
    </w:p>
    <w:p>
      <w:pPr>
        <w:widowControl/>
        <w:spacing w:line="288" w:lineRule="atLeast"/>
        <w:rPr>
          <w:rFonts w:hAnsi="宋体" w:eastAsia="仿宋_GB2312" w:cs="宋体"/>
          <w:b/>
          <w:kern w:val="0"/>
          <w:sz w:val="44"/>
          <w:szCs w:val="44"/>
        </w:rPr>
      </w:pPr>
      <w:r>
        <w:rPr>
          <w:rFonts w:hint="eastAsia" w:hAnsi="宋体" w:eastAsia="仿宋_GB2312" w:cs="宋体"/>
          <w:b/>
          <w:kern w:val="0"/>
          <w:sz w:val="44"/>
          <w:szCs w:val="44"/>
        </w:rPr>
        <w:t xml:space="preserve">    </w:t>
      </w:r>
    </w:p>
    <w:p>
      <w:pPr>
        <w:widowControl/>
        <w:spacing w:line="288" w:lineRule="atLeast"/>
        <w:rPr>
          <w:rFonts w:hAnsi="宋体" w:eastAsia="仿宋_GB2312" w:cs="宋体"/>
          <w:b/>
          <w:kern w:val="0"/>
          <w:sz w:val="44"/>
          <w:szCs w:val="44"/>
        </w:rPr>
      </w:pPr>
    </w:p>
    <w:p>
      <w:pPr>
        <w:widowControl/>
        <w:spacing w:line="288" w:lineRule="atLeast"/>
        <w:rPr>
          <w:rFonts w:hAnsi="宋体" w:eastAsia="仿宋_GB2312" w:cs="宋体"/>
          <w:b/>
          <w:kern w:val="0"/>
          <w:sz w:val="44"/>
          <w:szCs w:val="44"/>
        </w:rPr>
      </w:pPr>
    </w:p>
    <w:p>
      <w:pPr>
        <w:widowControl/>
        <w:spacing w:line="288" w:lineRule="atLeast"/>
        <w:rPr>
          <w:rFonts w:hAnsi="宋体" w:eastAsia="仿宋_GB2312" w:cs="宋体"/>
          <w:b/>
          <w:kern w:val="0"/>
          <w:sz w:val="44"/>
          <w:szCs w:val="44"/>
        </w:rPr>
      </w:pPr>
    </w:p>
    <w:p>
      <w:pPr>
        <w:widowControl/>
        <w:spacing w:line="288" w:lineRule="atLeast"/>
        <w:rPr>
          <w:rFonts w:hAnsi="宋体" w:eastAsia="仿宋_GB2312" w:cs="宋体"/>
          <w:b/>
          <w:kern w:val="0"/>
          <w:sz w:val="44"/>
          <w:szCs w:val="44"/>
        </w:rPr>
      </w:pPr>
    </w:p>
    <w:p>
      <w:pPr>
        <w:widowControl/>
        <w:spacing w:line="288" w:lineRule="atLeast"/>
        <w:rPr>
          <w:rFonts w:hAnsi="宋体" w:eastAsia="仿宋_GB2312" w:cs="宋体"/>
          <w:b/>
          <w:kern w:val="0"/>
          <w:sz w:val="44"/>
          <w:szCs w:val="44"/>
        </w:rPr>
      </w:pPr>
    </w:p>
    <w:p>
      <w:pPr>
        <w:widowControl/>
        <w:spacing w:line="288" w:lineRule="atLeast"/>
        <w:rPr>
          <w:rFonts w:hAnsi="宋体" w:eastAsia="仿宋_GB2312" w:cs="宋体"/>
          <w:b/>
          <w:kern w:val="0"/>
          <w:sz w:val="44"/>
          <w:szCs w:val="44"/>
        </w:rPr>
      </w:pPr>
    </w:p>
    <w:p>
      <w:pPr>
        <w:widowControl/>
        <w:spacing w:line="288" w:lineRule="atLeast"/>
        <w:rPr>
          <w:rFonts w:hAnsi="宋体" w:eastAsia="仿宋_GB2312" w:cs="宋体"/>
          <w:b/>
          <w:kern w:val="0"/>
          <w:sz w:val="44"/>
          <w:szCs w:val="44"/>
        </w:rPr>
      </w:pPr>
    </w:p>
    <w:p>
      <w:pPr>
        <w:widowControl/>
        <w:spacing w:line="288" w:lineRule="atLeast"/>
        <w:rPr>
          <w:rFonts w:hAnsi="宋体" w:eastAsia="仿宋_GB2312" w:cs="宋体"/>
          <w:b/>
          <w:kern w:val="0"/>
          <w:sz w:val="44"/>
          <w:szCs w:val="44"/>
        </w:rPr>
      </w:pPr>
    </w:p>
    <w:p>
      <w:pPr>
        <w:widowControl/>
        <w:spacing w:line="288" w:lineRule="atLeast"/>
        <w:rPr>
          <w:rFonts w:hAnsi="宋体" w:eastAsia="仿宋_GB2312" w:cs="宋体"/>
          <w:b/>
          <w:kern w:val="0"/>
          <w:sz w:val="44"/>
          <w:szCs w:val="44"/>
        </w:rPr>
      </w:pPr>
    </w:p>
    <w:p>
      <w:pPr>
        <w:widowControl/>
        <w:spacing w:line="288" w:lineRule="atLeast"/>
        <w:rPr>
          <w:rFonts w:hAnsi="宋体" w:eastAsia="仿宋_GB2312" w:cs="宋体"/>
          <w:b/>
          <w:kern w:val="0"/>
          <w:sz w:val="44"/>
          <w:szCs w:val="44"/>
        </w:rPr>
      </w:pPr>
    </w:p>
    <w:p>
      <w:pPr>
        <w:widowControl/>
        <w:spacing w:line="288" w:lineRule="atLeast"/>
        <w:rPr>
          <w:rFonts w:hAnsi="宋体" w:eastAsia="仿宋_GB2312" w:cs="宋体"/>
          <w:b/>
          <w:kern w:val="0"/>
          <w:sz w:val="44"/>
          <w:szCs w:val="44"/>
        </w:rPr>
      </w:pPr>
    </w:p>
    <w:p>
      <w:pPr>
        <w:widowControl/>
        <w:spacing w:line="288" w:lineRule="atLeast"/>
        <w:ind w:firstLine="472" w:firstLineChars="147"/>
        <w:rPr>
          <w:rFonts w:ascii="宋体" w:hAnsi="宋体" w:cs="宋体"/>
          <w:b/>
          <w:kern w:val="0"/>
          <w:szCs w:val="32"/>
        </w:rPr>
      </w:pPr>
    </w:p>
    <w:p>
      <w:pPr>
        <w:widowControl/>
        <w:spacing w:line="288" w:lineRule="atLeast"/>
        <w:ind w:firstLine="472" w:firstLineChars="147"/>
        <w:rPr>
          <w:rFonts w:ascii="宋体" w:hAnsi="宋体" w:cs="宋体"/>
          <w:b/>
          <w:kern w:val="0"/>
          <w:szCs w:val="32"/>
        </w:rPr>
      </w:pPr>
    </w:p>
    <w:p>
      <w:pPr>
        <w:widowControl/>
        <w:spacing w:line="288" w:lineRule="atLeast"/>
        <w:ind w:firstLine="472" w:firstLineChars="147"/>
        <w:rPr>
          <w:rFonts w:ascii="宋体" w:hAnsi="宋体" w:cs="宋体"/>
          <w:kern w:val="0"/>
          <w:szCs w:val="32"/>
        </w:rPr>
      </w:pPr>
      <w:r>
        <w:rPr>
          <w:rFonts w:hint="eastAsia" w:ascii="宋体" w:hAnsi="宋体" w:cs="宋体"/>
          <w:b/>
          <w:kern w:val="0"/>
          <w:szCs w:val="32"/>
        </w:rPr>
        <w:t>白城市生态新区财政金融审计局专项资金拨付申请表</w:t>
      </w:r>
    </w:p>
    <w:p>
      <w:pPr>
        <w:widowControl/>
        <w:spacing w:line="288" w:lineRule="atLeast"/>
        <w:jc w:val="right"/>
        <w:rPr>
          <w:rFonts w:ascii="宋体" w:hAnsi="宋体" w:cs="宋体"/>
          <w:kern w:val="0"/>
          <w:sz w:val="24"/>
        </w:rPr>
      </w:pPr>
      <w:r>
        <w:rPr>
          <w:kern w:val="0"/>
          <w:sz w:val="10"/>
          <w:szCs w:val="10"/>
        </w:rPr>
        <w:t> </w:t>
      </w:r>
    </w:p>
    <w:p>
      <w:pPr>
        <w:widowControl/>
        <w:spacing w:line="288" w:lineRule="atLeast"/>
        <w:jc w:val="left"/>
        <w:rPr>
          <w:rFonts w:hAnsi="宋体" w:eastAsia="仿宋_GB2312" w:cs="宋体"/>
          <w:kern w:val="0"/>
          <w:sz w:val="24"/>
        </w:rPr>
      </w:pPr>
    </w:p>
    <w:p>
      <w:pPr>
        <w:widowControl/>
        <w:spacing w:line="288" w:lineRule="atLeast"/>
        <w:jc w:val="left"/>
        <w:rPr>
          <w:rFonts w:hAnsi="宋体" w:eastAsia="仿宋_GB2312" w:cs="宋体"/>
          <w:kern w:val="0"/>
          <w:sz w:val="24"/>
        </w:rPr>
      </w:pPr>
    </w:p>
    <w:p>
      <w:pPr>
        <w:widowControl/>
        <w:spacing w:line="288" w:lineRule="atLeast"/>
        <w:jc w:val="left"/>
        <w:rPr>
          <w:rFonts w:ascii="宋体" w:hAnsi="宋体" w:cs="宋体"/>
          <w:kern w:val="0"/>
          <w:sz w:val="24"/>
        </w:rPr>
      </w:pPr>
      <w:r>
        <w:rPr>
          <w:rFonts w:hint="eastAsia" w:hAnsi="宋体" w:eastAsia="仿宋_GB2312" w:cs="宋体"/>
          <w:kern w:val="0"/>
          <w:sz w:val="24"/>
        </w:rPr>
        <w:t>项目单位（盖章）</w:t>
      </w:r>
      <w:r>
        <w:rPr>
          <w:kern w:val="0"/>
          <w:sz w:val="24"/>
        </w:rPr>
        <w:t xml:space="preserve">                                           </w:t>
      </w:r>
    </w:p>
    <w:tbl>
      <w:tblPr>
        <w:tblStyle w:val="10"/>
        <w:tblW w:w="0" w:type="auto"/>
        <w:tblInd w:w="93"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142"/>
        <w:gridCol w:w="2111"/>
        <w:gridCol w:w="2422"/>
        <w:gridCol w:w="2099"/>
      </w:tblGrid>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1040" w:hRule="atLeast"/>
        </w:trPr>
        <w:tc>
          <w:tcPr>
            <w:tcW w:w="2142" w:type="dxa"/>
            <w:tcBorders>
              <w:top w:val="double" w:color="auto" w:sz="6" w:space="0"/>
              <w:left w:val="double" w:color="auto" w:sz="6" w:space="0"/>
              <w:bottom w:val="single" w:color="auto" w:sz="6" w:space="0"/>
              <w:right w:val="single" w:color="auto" w:sz="6" w:space="0"/>
            </w:tcBorders>
            <w:vAlign w:val="center"/>
          </w:tcPr>
          <w:p>
            <w:pPr>
              <w:widowControl/>
              <w:jc w:val="center"/>
              <w:rPr>
                <w:rFonts w:ascii="宋体" w:hAnsi="宋体" w:cs="宋体"/>
                <w:kern w:val="0"/>
                <w:sz w:val="24"/>
              </w:rPr>
            </w:pPr>
            <w:r>
              <w:rPr>
                <w:rFonts w:hint="eastAsia" w:ascii="Courier New" w:hAnsi="Courier New" w:eastAsia="仿宋_GB2312" w:cs="宋体"/>
                <w:kern w:val="0"/>
                <w:sz w:val="24"/>
              </w:rPr>
              <w:t>项目单位名称</w:t>
            </w:r>
          </w:p>
        </w:tc>
        <w:tc>
          <w:tcPr>
            <w:tcW w:w="2111" w:type="dxa"/>
            <w:tcBorders>
              <w:top w:val="double" w:color="auto" w:sz="6" w:space="0"/>
              <w:left w:val="single" w:color="auto" w:sz="6" w:space="0"/>
              <w:bottom w:val="single" w:color="auto" w:sz="6" w:space="0"/>
              <w:right w:val="single" w:color="auto" w:sz="6" w:space="0"/>
            </w:tcBorders>
            <w:vAlign w:val="center"/>
          </w:tcPr>
          <w:p>
            <w:pPr>
              <w:widowControl/>
              <w:jc w:val="center"/>
              <w:rPr>
                <w:rFonts w:ascii="宋体" w:hAnsi="宋体" w:cs="宋体"/>
                <w:kern w:val="0"/>
                <w:sz w:val="24"/>
              </w:rPr>
            </w:pPr>
            <w:r>
              <w:rPr>
                <w:rFonts w:ascii="Courier New" w:hAnsi="Courier New" w:cs="宋体"/>
                <w:kern w:val="0"/>
                <w:sz w:val="24"/>
              </w:rPr>
              <w:t> </w:t>
            </w:r>
          </w:p>
        </w:tc>
        <w:tc>
          <w:tcPr>
            <w:tcW w:w="2422" w:type="dxa"/>
            <w:tcBorders>
              <w:top w:val="double" w:color="auto" w:sz="6" w:space="0"/>
              <w:left w:val="single" w:color="auto" w:sz="6" w:space="0"/>
              <w:bottom w:val="single" w:color="auto" w:sz="6" w:space="0"/>
              <w:right w:val="single" w:color="auto" w:sz="6" w:space="0"/>
            </w:tcBorders>
            <w:vAlign w:val="center"/>
          </w:tcPr>
          <w:p>
            <w:pPr>
              <w:widowControl/>
              <w:jc w:val="center"/>
              <w:rPr>
                <w:rFonts w:ascii="宋体" w:hAnsi="宋体" w:cs="宋体"/>
                <w:kern w:val="0"/>
                <w:sz w:val="24"/>
              </w:rPr>
            </w:pPr>
            <w:r>
              <w:rPr>
                <w:rFonts w:hint="eastAsia" w:ascii="Courier New" w:hAnsi="Courier New" w:eastAsia="仿宋_GB2312" w:cs="宋体"/>
                <w:kern w:val="0"/>
                <w:sz w:val="24"/>
              </w:rPr>
              <w:t>项目单位法人</w:t>
            </w:r>
          </w:p>
        </w:tc>
        <w:tc>
          <w:tcPr>
            <w:tcW w:w="2099" w:type="dxa"/>
            <w:tcBorders>
              <w:top w:val="double" w:color="auto" w:sz="6" w:space="0"/>
              <w:left w:val="single" w:color="auto" w:sz="6" w:space="0"/>
              <w:bottom w:val="single" w:color="auto" w:sz="6" w:space="0"/>
              <w:right w:val="double" w:color="auto" w:sz="6" w:space="0"/>
            </w:tcBorders>
            <w:vAlign w:val="center"/>
          </w:tcPr>
          <w:p>
            <w:pPr>
              <w:widowControl/>
              <w:jc w:val="center"/>
              <w:rPr>
                <w:rFonts w:ascii="宋体" w:hAnsi="宋体" w:cs="宋体"/>
                <w:kern w:val="0"/>
                <w:sz w:val="24"/>
              </w:rPr>
            </w:pPr>
            <w:r>
              <w:rPr>
                <w:rFonts w:ascii="Courier New" w:hAnsi="Courier New" w:cs="宋体"/>
                <w:kern w:val="0"/>
                <w:sz w:val="24"/>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929" w:hRule="atLeast"/>
        </w:trPr>
        <w:tc>
          <w:tcPr>
            <w:tcW w:w="2142" w:type="dxa"/>
            <w:tcBorders>
              <w:top w:val="single" w:color="auto" w:sz="6" w:space="0"/>
              <w:left w:val="double" w:color="auto" w:sz="6" w:space="0"/>
              <w:bottom w:val="single" w:color="auto" w:sz="6" w:space="0"/>
              <w:right w:val="single" w:color="auto" w:sz="6" w:space="0"/>
            </w:tcBorders>
            <w:vAlign w:val="center"/>
          </w:tcPr>
          <w:p>
            <w:pPr>
              <w:widowControl/>
              <w:jc w:val="center"/>
              <w:rPr>
                <w:rFonts w:ascii="宋体" w:hAnsi="宋体" w:cs="宋体"/>
                <w:kern w:val="0"/>
                <w:sz w:val="24"/>
              </w:rPr>
            </w:pPr>
            <w:r>
              <w:rPr>
                <w:rFonts w:hint="eastAsia" w:ascii="Courier New" w:hAnsi="Courier New" w:eastAsia="仿宋_GB2312" w:cs="宋体"/>
                <w:kern w:val="0"/>
                <w:sz w:val="24"/>
              </w:rPr>
              <w:t>单位联系电话</w:t>
            </w:r>
          </w:p>
        </w:tc>
        <w:tc>
          <w:tcPr>
            <w:tcW w:w="211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cs="宋体"/>
                <w:kern w:val="0"/>
                <w:sz w:val="24"/>
              </w:rPr>
            </w:pPr>
            <w:r>
              <w:rPr>
                <w:rFonts w:ascii="Courier New" w:hAnsi="Courier New" w:cs="宋体"/>
                <w:kern w:val="0"/>
                <w:sz w:val="24"/>
              </w:rPr>
              <w:t> </w:t>
            </w:r>
          </w:p>
        </w:tc>
        <w:tc>
          <w:tcPr>
            <w:tcW w:w="2422"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cs="宋体"/>
                <w:kern w:val="0"/>
                <w:sz w:val="24"/>
              </w:rPr>
            </w:pPr>
            <w:r>
              <w:rPr>
                <w:rFonts w:hint="eastAsia" w:ascii="Courier New" w:hAnsi="Courier New" w:eastAsia="仿宋_GB2312" w:cs="宋体"/>
                <w:kern w:val="0"/>
                <w:sz w:val="24"/>
              </w:rPr>
              <w:t>项</w:t>
            </w:r>
            <w:r>
              <w:rPr>
                <w:rFonts w:ascii="Courier New" w:hAnsi="Courier New" w:cs="宋体"/>
                <w:kern w:val="0"/>
                <w:sz w:val="24"/>
              </w:rPr>
              <w:t xml:space="preserve"> </w:t>
            </w:r>
            <w:r>
              <w:rPr>
                <w:rFonts w:hint="eastAsia" w:ascii="Courier New" w:hAnsi="Courier New" w:eastAsia="仿宋_GB2312" w:cs="宋体"/>
                <w:kern w:val="0"/>
                <w:sz w:val="24"/>
              </w:rPr>
              <w:t>目</w:t>
            </w:r>
            <w:r>
              <w:rPr>
                <w:rFonts w:ascii="Courier New" w:hAnsi="Courier New" w:cs="宋体"/>
                <w:kern w:val="0"/>
                <w:sz w:val="24"/>
              </w:rPr>
              <w:t xml:space="preserve"> </w:t>
            </w:r>
            <w:r>
              <w:rPr>
                <w:rFonts w:hint="eastAsia" w:ascii="Courier New" w:hAnsi="Courier New" w:eastAsia="仿宋_GB2312" w:cs="宋体"/>
                <w:kern w:val="0"/>
                <w:sz w:val="24"/>
              </w:rPr>
              <w:t>名</w:t>
            </w:r>
            <w:r>
              <w:rPr>
                <w:rFonts w:ascii="Courier New" w:hAnsi="Courier New" w:cs="宋体"/>
                <w:kern w:val="0"/>
                <w:sz w:val="24"/>
              </w:rPr>
              <w:t xml:space="preserve"> </w:t>
            </w:r>
            <w:r>
              <w:rPr>
                <w:rFonts w:hint="eastAsia" w:ascii="Courier New" w:hAnsi="Courier New" w:eastAsia="仿宋_GB2312" w:cs="宋体"/>
                <w:kern w:val="0"/>
                <w:sz w:val="24"/>
              </w:rPr>
              <w:t>称</w:t>
            </w:r>
          </w:p>
        </w:tc>
        <w:tc>
          <w:tcPr>
            <w:tcW w:w="2099" w:type="dxa"/>
            <w:tcBorders>
              <w:top w:val="single" w:color="auto" w:sz="6" w:space="0"/>
              <w:left w:val="single" w:color="auto" w:sz="6" w:space="0"/>
              <w:bottom w:val="single" w:color="auto" w:sz="6" w:space="0"/>
              <w:right w:val="double" w:color="auto" w:sz="6" w:space="0"/>
            </w:tcBorders>
            <w:vAlign w:val="center"/>
          </w:tcPr>
          <w:p>
            <w:pPr>
              <w:widowControl/>
              <w:jc w:val="center"/>
              <w:rPr>
                <w:rFonts w:ascii="宋体" w:hAnsi="宋体" w:cs="宋体"/>
                <w:kern w:val="0"/>
                <w:sz w:val="24"/>
              </w:rPr>
            </w:pPr>
            <w:r>
              <w:rPr>
                <w:rFonts w:ascii="Courier New" w:hAnsi="Courier New" w:cs="宋体"/>
                <w:kern w:val="0"/>
                <w:sz w:val="24"/>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913" w:hRule="atLeast"/>
        </w:trPr>
        <w:tc>
          <w:tcPr>
            <w:tcW w:w="2142" w:type="dxa"/>
            <w:tcBorders>
              <w:top w:val="single" w:color="auto" w:sz="6" w:space="0"/>
              <w:left w:val="double" w:color="auto" w:sz="6" w:space="0"/>
              <w:bottom w:val="single" w:color="auto" w:sz="6" w:space="0"/>
              <w:right w:val="single" w:color="auto" w:sz="6" w:space="0"/>
            </w:tcBorders>
            <w:vAlign w:val="center"/>
          </w:tcPr>
          <w:p>
            <w:pPr>
              <w:widowControl/>
              <w:jc w:val="center"/>
              <w:rPr>
                <w:rFonts w:ascii="宋体" w:hAnsi="宋体" w:cs="宋体"/>
                <w:kern w:val="0"/>
                <w:sz w:val="24"/>
              </w:rPr>
            </w:pPr>
            <w:r>
              <w:rPr>
                <w:rFonts w:hint="eastAsia" w:ascii="Courier New" w:hAnsi="Courier New" w:eastAsia="仿宋_GB2312" w:cs="宋体"/>
                <w:kern w:val="0"/>
                <w:sz w:val="24"/>
              </w:rPr>
              <w:t>基建项目是否评审</w:t>
            </w:r>
          </w:p>
        </w:tc>
        <w:tc>
          <w:tcPr>
            <w:tcW w:w="211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cs="宋体"/>
                <w:kern w:val="0"/>
                <w:sz w:val="24"/>
              </w:rPr>
            </w:pPr>
            <w:r>
              <w:rPr>
                <w:rFonts w:ascii="Courier New" w:hAnsi="Courier New" w:cs="宋体"/>
                <w:kern w:val="0"/>
                <w:sz w:val="24"/>
              </w:rPr>
              <w:t> </w:t>
            </w:r>
          </w:p>
        </w:tc>
        <w:tc>
          <w:tcPr>
            <w:tcW w:w="2422"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cs="宋体"/>
                <w:kern w:val="0"/>
                <w:sz w:val="24"/>
              </w:rPr>
            </w:pPr>
            <w:r>
              <w:rPr>
                <w:rFonts w:hint="eastAsia" w:ascii="Courier New" w:hAnsi="Courier New" w:eastAsia="仿宋_GB2312" w:cs="宋体"/>
                <w:kern w:val="0"/>
                <w:sz w:val="24"/>
              </w:rPr>
              <w:t>计划（概算）投资</w:t>
            </w:r>
          </w:p>
        </w:tc>
        <w:tc>
          <w:tcPr>
            <w:tcW w:w="2099" w:type="dxa"/>
            <w:tcBorders>
              <w:top w:val="single" w:color="auto" w:sz="6" w:space="0"/>
              <w:left w:val="single" w:color="auto" w:sz="6" w:space="0"/>
              <w:bottom w:val="single" w:color="auto" w:sz="6" w:space="0"/>
              <w:right w:val="double" w:color="auto" w:sz="6" w:space="0"/>
            </w:tcBorders>
            <w:vAlign w:val="center"/>
          </w:tcPr>
          <w:p>
            <w:pPr>
              <w:widowControl/>
              <w:jc w:val="center"/>
              <w:rPr>
                <w:rFonts w:ascii="宋体" w:hAnsi="宋体" w:cs="宋体"/>
                <w:kern w:val="0"/>
                <w:sz w:val="24"/>
              </w:rPr>
            </w:pPr>
            <w:r>
              <w:rPr>
                <w:rFonts w:ascii="Courier New" w:hAnsi="Courier New" w:cs="宋体"/>
                <w:kern w:val="0"/>
                <w:sz w:val="24"/>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910" w:hRule="atLeast"/>
        </w:trPr>
        <w:tc>
          <w:tcPr>
            <w:tcW w:w="2142" w:type="dxa"/>
            <w:tcBorders>
              <w:top w:val="single" w:color="auto" w:sz="6" w:space="0"/>
              <w:left w:val="double" w:color="auto" w:sz="6" w:space="0"/>
              <w:bottom w:val="single" w:color="auto" w:sz="6" w:space="0"/>
              <w:right w:val="single" w:color="auto" w:sz="6" w:space="0"/>
            </w:tcBorders>
            <w:vAlign w:val="center"/>
          </w:tcPr>
          <w:p>
            <w:pPr>
              <w:widowControl/>
              <w:jc w:val="center"/>
              <w:rPr>
                <w:rFonts w:ascii="宋体" w:hAnsi="宋体" w:cs="宋体"/>
                <w:kern w:val="0"/>
                <w:sz w:val="24"/>
              </w:rPr>
            </w:pPr>
            <w:r>
              <w:rPr>
                <w:rFonts w:hint="eastAsia" w:ascii="Courier New" w:hAnsi="Courier New" w:eastAsia="仿宋_GB2312" w:cs="宋体"/>
                <w:kern w:val="0"/>
                <w:sz w:val="24"/>
              </w:rPr>
              <w:t>申请专项资金文号</w:t>
            </w:r>
          </w:p>
        </w:tc>
        <w:tc>
          <w:tcPr>
            <w:tcW w:w="211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cs="宋体"/>
                <w:kern w:val="0"/>
                <w:sz w:val="24"/>
              </w:rPr>
            </w:pPr>
            <w:r>
              <w:rPr>
                <w:rFonts w:ascii="Courier New" w:hAnsi="Courier New" w:cs="宋体"/>
                <w:kern w:val="0"/>
                <w:sz w:val="24"/>
              </w:rPr>
              <w:t> </w:t>
            </w:r>
          </w:p>
        </w:tc>
        <w:tc>
          <w:tcPr>
            <w:tcW w:w="2422"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cs="宋体"/>
                <w:kern w:val="0"/>
                <w:sz w:val="24"/>
              </w:rPr>
            </w:pPr>
            <w:r>
              <w:rPr>
                <w:rFonts w:hint="eastAsia" w:ascii="Courier New" w:hAnsi="Courier New" w:eastAsia="仿宋_GB2312" w:cs="宋体"/>
                <w:kern w:val="0"/>
                <w:sz w:val="24"/>
              </w:rPr>
              <w:t>专项资金金额</w:t>
            </w:r>
          </w:p>
        </w:tc>
        <w:tc>
          <w:tcPr>
            <w:tcW w:w="2099" w:type="dxa"/>
            <w:tcBorders>
              <w:top w:val="single" w:color="auto" w:sz="6" w:space="0"/>
              <w:left w:val="single" w:color="auto" w:sz="6" w:space="0"/>
              <w:bottom w:val="single" w:color="auto" w:sz="6" w:space="0"/>
              <w:right w:val="double" w:color="auto" w:sz="6" w:space="0"/>
            </w:tcBorders>
            <w:vAlign w:val="center"/>
          </w:tcPr>
          <w:p>
            <w:pPr>
              <w:widowControl/>
              <w:jc w:val="center"/>
              <w:rPr>
                <w:rFonts w:ascii="宋体" w:hAnsi="宋体" w:cs="宋体"/>
                <w:kern w:val="0"/>
                <w:sz w:val="24"/>
              </w:rPr>
            </w:pPr>
            <w:r>
              <w:rPr>
                <w:rFonts w:ascii="Courier New" w:hAnsi="Courier New" w:cs="宋体"/>
                <w:kern w:val="0"/>
                <w:sz w:val="24"/>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923" w:hRule="atLeast"/>
        </w:trPr>
        <w:tc>
          <w:tcPr>
            <w:tcW w:w="2142" w:type="dxa"/>
            <w:tcBorders>
              <w:top w:val="single" w:color="auto" w:sz="6" w:space="0"/>
              <w:left w:val="double" w:color="auto" w:sz="6" w:space="0"/>
              <w:bottom w:val="single" w:color="auto" w:sz="6" w:space="0"/>
              <w:right w:val="single" w:color="auto" w:sz="6" w:space="0"/>
            </w:tcBorders>
            <w:vAlign w:val="center"/>
          </w:tcPr>
          <w:p>
            <w:pPr>
              <w:widowControl/>
              <w:jc w:val="center"/>
              <w:rPr>
                <w:rFonts w:ascii="宋体" w:hAnsi="宋体" w:cs="宋体"/>
                <w:kern w:val="0"/>
                <w:sz w:val="24"/>
              </w:rPr>
            </w:pPr>
            <w:r>
              <w:rPr>
                <w:rFonts w:hint="eastAsia" w:ascii="Courier New" w:hAnsi="Courier New" w:eastAsia="仿宋_GB2312" w:cs="宋体"/>
                <w:kern w:val="0"/>
                <w:sz w:val="24"/>
              </w:rPr>
              <w:t>已拨付金额</w:t>
            </w:r>
          </w:p>
        </w:tc>
        <w:tc>
          <w:tcPr>
            <w:tcW w:w="2111"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cs="宋体"/>
                <w:kern w:val="0"/>
                <w:sz w:val="24"/>
              </w:rPr>
            </w:pPr>
            <w:r>
              <w:rPr>
                <w:rFonts w:ascii="Courier New" w:hAnsi="Courier New" w:cs="宋体"/>
                <w:kern w:val="0"/>
                <w:sz w:val="24"/>
              </w:rPr>
              <w:t> </w:t>
            </w:r>
          </w:p>
        </w:tc>
        <w:tc>
          <w:tcPr>
            <w:tcW w:w="2422"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cs="宋体"/>
                <w:kern w:val="0"/>
                <w:sz w:val="24"/>
              </w:rPr>
            </w:pPr>
            <w:r>
              <w:rPr>
                <w:rFonts w:hint="eastAsia" w:ascii="Courier New" w:hAnsi="Courier New" w:eastAsia="仿宋_GB2312" w:cs="宋体"/>
                <w:kern w:val="0"/>
                <w:sz w:val="24"/>
              </w:rPr>
              <w:t>本次申请拨付金额</w:t>
            </w:r>
            <w:r>
              <w:rPr>
                <w:rFonts w:ascii="Courier New" w:hAnsi="Courier New" w:cs="宋体"/>
                <w:kern w:val="0"/>
                <w:sz w:val="24"/>
              </w:rPr>
              <w:t> </w:t>
            </w:r>
          </w:p>
        </w:tc>
        <w:tc>
          <w:tcPr>
            <w:tcW w:w="2099" w:type="dxa"/>
            <w:tcBorders>
              <w:top w:val="single" w:color="auto" w:sz="6" w:space="0"/>
              <w:left w:val="single" w:color="auto" w:sz="6" w:space="0"/>
              <w:bottom w:val="single" w:color="auto" w:sz="6" w:space="0"/>
              <w:right w:val="double" w:color="auto" w:sz="6" w:space="0"/>
            </w:tcBorders>
            <w:vAlign w:val="center"/>
          </w:tcPr>
          <w:p>
            <w:pPr>
              <w:widowControl/>
              <w:jc w:val="center"/>
              <w:rPr>
                <w:rFonts w:ascii="宋体" w:hAnsi="宋体" w:cs="宋体"/>
                <w:kern w:val="0"/>
                <w:sz w:val="24"/>
              </w:rPr>
            </w:pPr>
            <w:r>
              <w:rPr>
                <w:rFonts w:ascii="Courier New" w:hAnsi="Courier New" w:cs="宋体"/>
                <w:kern w:val="0"/>
                <w:sz w:val="24"/>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1560" w:hRule="atLeast"/>
        </w:trPr>
        <w:tc>
          <w:tcPr>
            <w:tcW w:w="2142" w:type="dxa"/>
            <w:tcBorders>
              <w:top w:val="single" w:color="auto" w:sz="6" w:space="0"/>
              <w:left w:val="double" w:color="auto" w:sz="6" w:space="0"/>
              <w:bottom w:val="single" w:color="auto" w:sz="6" w:space="0"/>
              <w:right w:val="single" w:color="auto" w:sz="6" w:space="0"/>
            </w:tcBorders>
            <w:vAlign w:val="center"/>
          </w:tcPr>
          <w:p>
            <w:pPr>
              <w:widowControl/>
              <w:jc w:val="center"/>
              <w:rPr>
                <w:rFonts w:ascii="宋体" w:hAnsi="宋体" w:cs="宋体"/>
                <w:kern w:val="0"/>
                <w:sz w:val="24"/>
              </w:rPr>
            </w:pPr>
            <w:r>
              <w:rPr>
                <w:rFonts w:hint="eastAsia" w:ascii="Courier New" w:hAnsi="Courier New" w:eastAsia="仿宋_GB2312" w:cs="宋体"/>
                <w:kern w:val="0"/>
                <w:sz w:val="24"/>
              </w:rPr>
              <w:t>项目基本情况</w:t>
            </w:r>
          </w:p>
        </w:tc>
        <w:tc>
          <w:tcPr>
            <w:tcW w:w="6632" w:type="dxa"/>
            <w:gridSpan w:val="3"/>
            <w:tcBorders>
              <w:top w:val="single" w:color="auto" w:sz="6" w:space="0"/>
              <w:left w:val="single" w:color="auto" w:sz="6" w:space="0"/>
              <w:bottom w:val="single" w:color="auto" w:sz="6" w:space="0"/>
              <w:right w:val="double" w:color="auto" w:sz="6" w:space="0"/>
            </w:tcBorders>
            <w:vAlign w:val="center"/>
          </w:tcPr>
          <w:p>
            <w:pPr>
              <w:widowControl/>
              <w:jc w:val="center"/>
              <w:rPr>
                <w:rFonts w:ascii="宋体" w:hAnsi="宋体" w:cs="宋体"/>
                <w:kern w:val="0"/>
                <w:sz w:val="24"/>
              </w:rPr>
            </w:pPr>
            <w:r>
              <w:rPr>
                <w:rFonts w:ascii="Courier New" w:hAnsi="Courier New" w:cs="宋体"/>
                <w:kern w:val="0"/>
                <w:sz w:val="24"/>
              </w:rPr>
              <w:t> </w:t>
            </w:r>
          </w:p>
          <w:p>
            <w:pPr>
              <w:widowControl/>
              <w:jc w:val="center"/>
              <w:rPr>
                <w:rFonts w:ascii="宋体" w:hAnsi="宋体" w:cs="宋体"/>
                <w:kern w:val="0"/>
                <w:sz w:val="24"/>
              </w:rPr>
            </w:pPr>
            <w:r>
              <w:rPr>
                <w:rFonts w:ascii="Courier New" w:hAnsi="Courier New" w:cs="宋体"/>
                <w:kern w:val="0"/>
                <w:sz w:val="24"/>
              </w:rPr>
              <w:t> </w:t>
            </w:r>
          </w:p>
          <w:p>
            <w:pPr>
              <w:widowControl/>
              <w:jc w:val="center"/>
              <w:rPr>
                <w:rFonts w:ascii="宋体" w:hAnsi="宋体" w:cs="宋体"/>
                <w:kern w:val="0"/>
                <w:sz w:val="24"/>
              </w:rPr>
            </w:pPr>
            <w:r>
              <w:rPr>
                <w:rFonts w:ascii="Courier New" w:hAnsi="Courier New" w:cs="宋体"/>
                <w:kern w:val="0"/>
                <w:sz w:val="24"/>
              </w:rPr>
              <w:t> </w:t>
            </w:r>
          </w:p>
          <w:p>
            <w:pPr>
              <w:widowControl/>
              <w:jc w:val="center"/>
              <w:rPr>
                <w:rFonts w:ascii="宋体" w:hAnsi="宋体" w:cs="宋体"/>
                <w:kern w:val="0"/>
                <w:sz w:val="24"/>
              </w:rPr>
            </w:pPr>
            <w:r>
              <w:rPr>
                <w:rFonts w:ascii="Courier New" w:hAnsi="Courier New" w:cs="宋体"/>
                <w:kern w:val="0"/>
                <w:sz w:val="24"/>
              </w:rPr>
              <w:t> </w:t>
            </w:r>
          </w:p>
          <w:p>
            <w:pPr>
              <w:widowControl/>
              <w:jc w:val="center"/>
              <w:rPr>
                <w:rFonts w:ascii="宋体" w:hAnsi="宋体" w:cs="宋体"/>
                <w:kern w:val="0"/>
                <w:sz w:val="24"/>
              </w:rPr>
            </w:pPr>
            <w:r>
              <w:rPr>
                <w:rFonts w:ascii="Courier New" w:hAnsi="Courier New" w:cs="宋体"/>
                <w:kern w:val="0"/>
                <w:sz w:val="24"/>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1837" w:hRule="atLeast"/>
        </w:trPr>
        <w:tc>
          <w:tcPr>
            <w:tcW w:w="2142" w:type="dxa"/>
            <w:tcBorders>
              <w:top w:val="single" w:color="auto" w:sz="6" w:space="0"/>
              <w:left w:val="double" w:color="auto" w:sz="6" w:space="0"/>
              <w:bottom w:val="single" w:color="auto" w:sz="6" w:space="0"/>
              <w:right w:val="single" w:color="auto" w:sz="6" w:space="0"/>
            </w:tcBorders>
            <w:vAlign w:val="center"/>
          </w:tcPr>
          <w:p>
            <w:pPr>
              <w:widowControl/>
              <w:jc w:val="center"/>
              <w:rPr>
                <w:rFonts w:ascii="Courier New" w:hAnsi="Courier New" w:eastAsia="仿宋_GB2312" w:cs="宋体"/>
                <w:kern w:val="0"/>
                <w:sz w:val="24"/>
              </w:rPr>
            </w:pPr>
            <w:r>
              <w:rPr>
                <w:rFonts w:hint="eastAsia" w:ascii="Courier New" w:hAnsi="Courier New" w:eastAsia="仿宋_GB2312" w:cs="宋体"/>
                <w:kern w:val="0"/>
                <w:sz w:val="24"/>
              </w:rPr>
              <w:t xml:space="preserve">生态新区财政金融审计局 </w:t>
            </w:r>
          </w:p>
          <w:p>
            <w:pPr>
              <w:widowControl/>
              <w:jc w:val="center"/>
              <w:rPr>
                <w:rFonts w:ascii="Courier New" w:hAnsi="Courier New" w:eastAsia="仿宋_GB2312" w:cs="宋体"/>
                <w:kern w:val="0"/>
                <w:sz w:val="24"/>
              </w:rPr>
            </w:pPr>
            <w:r>
              <w:rPr>
                <w:rFonts w:hint="eastAsia" w:ascii="Courier New" w:hAnsi="Courier New" w:eastAsia="仿宋_GB2312" w:cs="宋体"/>
                <w:kern w:val="0"/>
                <w:sz w:val="24"/>
              </w:rPr>
              <w:t xml:space="preserve"> 审核意见</w:t>
            </w:r>
          </w:p>
        </w:tc>
        <w:tc>
          <w:tcPr>
            <w:tcW w:w="6632" w:type="dxa"/>
            <w:gridSpan w:val="3"/>
            <w:tcBorders>
              <w:top w:val="single" w:color="auto" w:sz="6" w:space="0"/>
              <w:left w:val="single" w:color="auto" w:sz="6" w:space="0"/>
              <w:bottom w:val="single" w:color="auto" w:sz="6" w:space="0"/>
              <w:right w:val="double" w:color="auto" w:sz="6" w:space="0"/>
            </w:tcBorders>
            <w:vAlign w:val="center"/>
          </w:tcPr>
          <w:p>
            <w:pPr>
              <w:widowControl/>
              <w:jc w:val="center"/>
              <w:rPr>
                <w:rFonts w:ascii="宋体" w:hAnsi="宋体" w:cs="宋体"/>
                <w:kern w:val="0"/>
                <w:sz w:val="24"/>
              </w:rPr>
            </w:pPr>
            <w:r>
              <w:rPr>
                <w:rFonts w:ascii="Courier New" w:hAnsi="Courier New" w:cs="宋体"/>
                <w:kern w:val="0"/>
                <w:sz w:val="24"/>
              </w:rPr>
              <w:t xml:space="preserve">                           </w:t>
            </w:r>
          </w:p>
          <w:p>
            <w:pPr>
              <w:widowControl/>
              <w:jc w:val="center"/>
              <w:rPr>
                <w:rFonts w:ascii="宋体" w:hAnsi="宋体" w:cs="宋体"/>
                <w:kern w:val="0"/>
                <w:sz w:val="24"/>
              </w:rPr>
            </w:pPr>
            <w:r>
              <w:rPr>
                <w:rFonts w:ascii="Courier New" w:hAnsi="Courier New" w:cs="宋体"/>
                <w:kern w:val="0"/>
                <w:sz w:val="24"/>
              </w:rPr>
              <w:t> </w:t>
            </w:r>
          </w:p>
          <w:p>
            <w:pPr>
              <w:widowControl/>
              <w:jc w:val="center"/>
              <w:rPr>
                <w:rFonts w:ascii="宋体" w:hAnsi="宋体" w:cs="宋体"/>
                <w:kern w:val="0"/>
                <w:sz w:val="24"/>
              </w:rPr>
            </w:pPr>
            <w:r>
              <w:rPr>
                <w:rFonts w:ascii="Courier New" w:hAnsi="Courier New" w:cs="宋体"/>
                <w:kern w:val="0"/>
                <w:sz w:val="24"/>
              </w:rPr>
              <w:t xml:space="preserve">                            </w:t>
            </w:r>
          </w:p>
          <w:p>
            <w:pPr>
              <w:widowControl/>
              <w:jc w:val="center"/>
              <w:rPr>
                <w:rFonts w:ascii="宋体" w:hAnsi="宋体" w:cs="宋体"/>
                <w:kern w:val="0"/>
                <w:sz w:val="24"/>
              </w:rPr>
            </w:pPr>
            <w:r>
              <w:rPr>
                <w:rFonts w:ascii="Courier New" w:hAnsi="Courier New" w:cs="宋体"/>
                <w:kern w:val="0"/>
                <w:sz w:val="24"/>
              </w:rPr>
              <w:t> </w:t>
            </w:r>
          </w:p>
          <w:p>
            <w:pPr>
              <w:widowControl/>
              <w:jc w:val="center"/>
              <w:rPr>
                <w:rFonts w:ascii="宋体" w:hAnsi="宋体" w:cs="宋体"/>
                <w:kern w:val="0"/>
                <w:sz w:val="24"/>
              </w:rPr>
            </w:pPr>
            <w:r>
              <w:rPr>
                <w:rFonts w:ascii="Courier New" w:hAnsi="Courier New" w:cs="宋体"/>
                <w:kern w:val="0"/>
                <w:sz w:val="24"/>
              </w:rPr>
              <w:t xml:space="preserve">                           </w:t>
            </w:r>
            <w:r>
              <w:rPr>
                <w:rFonts w:hint="eastAsia" w:ascii="Courier New" w:hAnsi="Courier New" w:eastAsia="仿宋_GB2312" w:cs="宋体"/>
                <w:kern w:val="0"/>
                <w:sz w:val="24"/>
              </w:rPr>
              <w:t>年</w:t>
            </w:r>
            <w:r>
              <w:rPr>
                <w:rFonts w:ascii="Courier New" w:hAnsi="Courier New" w:cs="宋体"/>
                <w:kern w:val="0"/>
                <w:sz w:val="24"/>
              </w:rPr>
              <w:t xml:space="preserve">    </w:t>
            </w:r>
            <w:r>
              <w:rPr>
                <w:rFonts w:hint="eastAsia" w:ascii="Courier New" w:hAnsi="Courier New" w:eastAsia="仿宋_GB2312" w:cs="宋体"/>
                <w:kern w:val="0"/>
                <w:sz w:val="24"/>
              </w:rPr>
              <w:t>月</w:t>
            </w:r>
            <w:r>
              <w:rPr>
                <w:rFonts w:ascii="Courier New" w:hAnsi="Courier New" w:cs="宋体"/>
                <w:kern w:val="0"/>
                <w:sz w:val="24"/>
              </w:rPr>
              <w:t xml:space="preserve">    </w:t>
            </w:r>
            <w:r>
              <w:rPr>
                <w:rFonts w:hint="eastAsia" w:ascii="Courier New" w:hAnsi="Courier New" w:eastAsia="仿宋_GB2312" w:cs="宋体"/>
                <w:kern w:val="0"/>
                <w:sz w:val="24"/>
              </w:rPr>
              <w:t>日</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1837" w:hRule="atLeast"/>
        </w:trPr>
        <w:tc>
          <w:tcPr>
            <w:tcW w:w="2142" w:type="dxa"/>
            <w:tcBorders>
              <w:top w:val="single" w:color="auto" w:sz="6" w:space="0"/>
              <w:left w:val="double" w:color="auto" w:sz="6" w:space="0"/>
              <w:bottom w:val="single" w:color="auto" w:sz="6" w:space="0"/>
              <w:right w:val="single" w:color="auto" w:sz="6" w:space="0"/>
            </w:tcBorders>
            <w:vAlign w:val="center"/>
          </w:tcPr>
          <w:p>
            <w:pPr>
              <w:widowControl/>
              <w:jc w:val="center"/>
              <w:rPr>
                <w:rFonts w:ascii="Courier New" w:hAnsi="Courier New" w:eastAsia="仿宋_GB2312" w:cs="宋体"/>
                <w:kern w:val="0"/>
                <w:sz w:val="24"/>
              </w:rPr>
            </w:pPr>
            <w:r>
              <w:rPr>
                <w:rFonts w:hint="eastAsia" w:ascii="Courier New" w:hAnsi="Courier New" w:eastAsia="仿宋_GB2312" w:cs="宋体"/>
                <w:kern w:val="0"/>
                <w:sz w:val="24"/>
              </w:rPr>
              <w:t>生态新区财政金融审计局</w:t>
            </w:r>
          </w:p>
          <w:p>
            <w:pPr>
              <w:widowControl/>
              <w:jc w:val="center"/>
              <w:rPr>
                <w:rFonts w:ascii="Courier New" w:hAnsi="Courier New" w:eastAsia="仿宋_GB2312" w:cs="宋体"/>
                <w:kern w:val="0"/>
                <w:sz w:val="24"/>
              </w:rPr>
            </w:pPr>
            <w:r>
              <w:rPr>
                <w:rFonts w:hint="eastAsia" w:ascii="Courier New" w:hAnsi="Courier New" w:eastAsia="仿宋_GB2312" w:cs="宋体"/>
                <w:kern w:val="0"/>
                <w:sz w:val="24"/>
              </w:rPr>
              <w:t>局长签批</w:t>
            </w:r>
          </w:p>
        </w:tc>
        <w:tc>
          <w:tcPr>
            <w:tcW w:w="6632" w:type="dxa"/>
            <w:gridSpan w:val="3"/>
            <w:tcBorders>
              <w:top w:val="single" w:color="auto" w:sz="6" w:space="0"/>
              <w:left w:val="single" w:color="auto" w:sz="6" w:space="0"/>
              <w:bottom w:val="single" w:color="auto" w:sz="6" w:space="0"/>
              <w:right w:val="double" w:color="auto" w:sz="6" w:space="0"/>
            </w:tcBorders>
            <w:vAlign w:val="center"/>
          </w:tcPr>
          <w:p>
            <w:pPr>
              <w:widowControl/>
              <w:jc w:val="center"/>
              <w:rPr>
                <w:rFonts w:ascii="宋体" w:hAnsi="宋体" w:cs="宋体"/>
                <w:kern w:val="0"/>
                <w:sz w:val="24"/>
              </w:rPr>
            </w:pPr>
            <w:r>
              <w:rPr>
                <w:rFonts w:hint="eastAsia" w:ascii="宋体" w:hAnsi="宋体" w:cs="宋体"/>
                <w:kern w:val="0"/>
                <w:sz w:val="24"/>
              </w:rPr>
              <w:t xml:space="preserve">   </w:t>
            </w:r>
          </w:p>
          <w:p>
            <w:pPr>
              <w:widowControl/>
              <w:jc w:val="center"/>
              <w:rPr>
                <w:rFonts w:ascii="宋体" w:hAnsi="宋体" w:cs="宋体"/>
                <w:kern w:val="0"/>
                <w:sz w:val="24"/>
              </w:rPr>
            </w:pPr>
          </w:p>
          <w:p>
            <w:pPr>
              <w:widowControl/>
              <w:jc w:val="center"/>
              <w:rPr>
                <w:rFonts w:ascii="宋体" w:hAnsi="宋体" w:cs="宋体"/>
                <w:kern w:val="0"/>
                <w:sz w:val="24"/>
              </w:rPr>
            </w:pPr>
          </w:p>
          <w:p>
            <w:pPr>
              <w:widowControl/>
              <w:jc w:val="center"/>
              <w:rPr>
                <w:rFonts w:ascii="Courier New" w:hAnsi="Courier New" w:cs="宋体"/>
                <w:kern w:val="0"/>
                <w:sz w:val="24"/>
              </w:rPr>
            </w:pPr>
            <w:r>
              <w:rPr>
                <w:rFonts w:hint="eastAsia" w:ascii="宋体" w:hAnsi="宋体" w:cs="宋体"/>
                <w:kern w:val="0"/>
                <w:sz w:val="24"/>
              </w:rPr>
              <w:t xml:space="preserve">                          </w:t>
            </w:r>
            <w:r>
              <w:rPr>
                <w:rFonts w:hint="eastAsia" w:ascii="Courier New" w:hAnsi="Courier New" w:eastAsia="仿宋_GB2312" w:cs="宋体"/>
                <w:kern w:val="0"/>
                <w:sz w:val="24"/>
              </w:rPr>
              <w:t>年</w:t>
            </w:r>
            <w:r>
              <w:rPr>
                <w:rFonts w:ascii="Courier New" w:hAnsi="Courier New" w:cs="宋体"/>
                <w:kern w:val="0"/>
                <w:sz w:val="24"/>
              </w:rPr>
              <w:t xml:space="preserve">    </w:t>
            </w:r>
            <w:r>
              <w:rPr>
                <w:rFonts w:hint="eastAsia" w:ascii="Courier New" w:hAnsi="Courier New" w:eastAsia="仿宋_GB2312" w:cs="宋体"/>
                <w:kern w:val="0"/>
                <w:sz w:val="24"/>
              </w:rPr>
              <w:t>月</w:t>
            </w:r>
            <w:r>
              <w:rPr>
                <w:rFonts w:ascii="Courier New" w:hAnsi="Courier New" w:cs="宋体"/>
                <w:kern w:val="0"/>
                <w:sz w:val="24"/>
              </w:rPr>
              <w:t xml:space="preserve">    </w:t>
            </w:r>
            <w:r>
              <w:rPr>
                <w:rFonts w:hint="eastAsia" w:ascii="Courier New" w:hAnsi="Courier New" w:eastAsia="仿宋_GB2312" w:cs="宋体"/>
                <w:kern w:val="0"/>
                <w:sz w:val="24"/>
              </w:rPr>
              <w:t>日</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1702" w:hRule="atLeast"/>
        </w:trPr>
        <w:tc>
          <w:tcPr>
            <w:tcW w:w="2142" w:type="dxa"/>
            <w:tcBorders>
              <w:top w:val="single" w:color="auto" w:sz="6" w:space="0"/>
              <w:left w:val="double" w:color="auto" w:sz="6" w:space="0"/>
              <w:bottom w:val="double" w:color="auto" w:sz="6" w:space="0"/>
              <w:right w:val="single" w:color="auto" w:sz="6" w:space="0"/>
            </w:tcBorders>
            <w:vAlign w:val="center"/>
          </w:tcPr>
          <w:p>
            <w:pPr>
              <w:widowControl/>
              <w:jc w:val="center"/>
              <w:rPr>
                <w:rFonts w:ascii="Courier New" w:hAnsi="Courier New" w:eastAsia="仿宋_GB2312" w:cs="宋体"/>
                <w:kern w:val="0"/>
                <w:sz w:val="24"/>
              </w:rPr>
            </w:pPr>
            <w:r>
              <w:rPr>
                <w:rFonts w:hint="eastAsia" w:ascii="Courier New" w:hAnsi="Courier New" w:eastAsia="仿宋_GB2312" w:cs="宋体"/>
                <w:kern w:val="0"/>
                <w:sz w:val="24"/>
              </w:rPr>
              <w:t>生态新区</w:t>
            </w:r>
          </w:p>
          <w:p>
            <w:pPr>
              <w:widowControl/>
              <w:jc w:val="center"/>
              <w:rPr>
                <w:rFonts w:ascii="Courier New" w:hAnsi="Courier New" w:eastAsia="仿宋_GB2312" w:cs="宋体"/>
                <w:kern w:val="0"/>
                <w:sz w:val="24"/>
              </w:rPr>
            </w:pPr>
            <w:r>
              <w:rPr>
                <w:rFonts w:hint="eastAsia" w:ascii="Courier New" w:hAnsi="Courier New" w:eastAsia="仿宋_GB2312" w:cs="宋体"/>
                <w:kern w:val="0"/>
                <w:sz w:val="24"/>
              </w:rPr>
              <w:t>分管财政领导</w:t>
            </w:r>
          </w:p>
          <w:p>
            <w:pPr>
              <w:widowControl/>
              <w:jc w:val="center"/>
              <w:rPr>
                <w:rFonts w:ascii="Courier New" w:hAnsi="Courier New" w:eastAsia="仿宋_GB2312" w:cs="宋体"/>
                <w:kern w:val="0"/>
                <w:sz w:val="24"/>
              </w:rPr>
            </w:pPr>
            <w:r>
              <w:rPr>
                <w:rFonts w:hint="eastAsia" w:ascii="Courier New" w:hAnsi="Courier New" w:eastAsia="仿宋_GB2312" w:cs="宋体"/>
                <w:kern w:val="0"/>
                <w:sz w:val="24"/>
              </w:rPr>
              <w:t>签批</w:t>
            </w:r>
          </w:p>
        </w:tc>
        <w:tc>
          <w:tcPr>
            <w:tcW w:w="6632" w:type="dxa"/>
            <w:gridSpan w:val="3"/>
            <w:tcBorders>
              <w:top w:val="single" w:color="auto" w:sz="6" w:space="0"/>
              <w:left w:val="single" w:color="auto" w:sz="6" w:space="0"/>
              <w:bottom w:val="double" w:color="auto" w:sz="6" w:space="0"/>
              <w:right w:val="double" w:color="auto" w:sz="6" w:space="0"/>
            </w:tcBorders>
            <w:vAlign w:val="center"/>
          </w:tcPr>
          <w:p>
            <w:pPr>
              <w:widowControl/>
              <w:jc w:val="center"/>
              <w:rPr>
                <w:rFonts w:ascii="宋体" w:hAnsi="宋体" w:cs="宋体"/>
                <w:kern w:val="0"/>
                <w:sz w:val="24"/>
              </w:rPr>
            </w:pPr>
            <w:r>
              <w:rPr>
                <w:rFonts w:ascii="Courier New" w:hAnsi="Courier New" w:cs="宋体"/>
                <w:kern w:val="0"/>
                <w:sz w:val="24"/>
              </w:rPr>
              <w:t> </w:t>
            </w:r>
          </w:p>
          <w:p>
            <w:pPr>
              <w:widowControl/>
              <w:jc w:val="center"/>
              <w:rPr>
                <w:rFonts w:ascii="宋体" w:hAnsi="宋体" w:cs="宋体"/>
                <w:kern w:val="0"/>
                <w:sz w:val="24"/>
              </w:rPr>
            </w:pPr>
            <w:r>
              <w:rPr>
                <w:rFonts w:ascii="Courier New" w:hAnsi="Courier New" w:cs="宋体"/>
                <w:kern w:val="0"/>
                <w:sz w:val="24"/>
              </w:rPr>
              <w:t> </w:t>
            </w:r>
          </w:p>
          <w:p>
            <w:pPr>
              <w:widowControl/>
              <w:jc w:val="center"/>
              <w:rPr>
                <w:rFonts w:ascii="宋体" w:hAnsi="宋体" w:cs="宋体"/>
                <w:kern w:val="0"/>
                <w:sz w:val="24"/>
              </w:rPr>
            </w:pPr>
            <w:r>
              <w:rPr>
                <w:rFonts w:ascii="Courier New" w:hAnsi="Courier New" w:cs="宋体"/>
                <w:kern w:val="0"/>
                <w:sz w:val="24"/>
              </w:rPr>
              <w:t xml:space="preserve">                               </w:t>
            </w:r>
          </w:p>
          <w:p>
            <w:pPr>
              <w:widowControl/>
              <w:jc w:val="center"/>
              <w:rPr>
                <w:rFonts w:ascii="Courier New" w:hAnsi="Courier New" w:cs="宋体"/>
                <w:kern w:val="0"/>
                <w:sz w:val="24"/>
              </w:rPr>
            </w:pPr>
            <w:r>
              <w:rPr>
                <w:rFonts w:ascii="Courier New" w:hAnsi="Courier New" w:cs="宋体"/>
                <w:kern w:val="0"/>
                <w:sz w:val="24"/>
              </w:rPr>
              <w:t xml:space="preserve">                            </w:t>
            </w:r>
            <w:r>
              <w:rPr>
                <w:rFonts w:hint="eastAsia" w:ascii="Courier New" w:hAnsi="Courier New" w:eastAsia="仿宋_GB2312" w:cs="宋体"/>
                <w:kern w:val="0"/>
                <w:sz w:val="24"/>
              </w:rPr>
              <w:t>年</w:t>
            </w:r>
            <w:r>
              <w:rPr>
                <w:rFonts w:ascii="Courier New" w:hAnsi="Courier New" w:cs="宋体"/>
                <w:kern w:val="0"/>
                <w:sz w:val="24"/>
              </w:rPr>
              <w:t xml:space="preserve">    </w:t>
            </w:r>
            <w:r>
              <w:rPr>
                <w:rFonts w:hint="eastAsia" w:ascii="Courier New" w:hAnsi="Courier New" w:eastAsia="仿宋_GB2312" w:cs="宋体"/>
                <w:kern w:val="0"/>
                <w:sz w:val="24"/>
              </w:rPr>
              <w:t>月</w:t>
            </w:r>
            <w:r>
              <w:rPr>
                <w:rFonts w:ascii="Courier New" w:hAnsi="Courier New" w:cs="宋体"/>
                <w:kern w:val="0"/>
                <w:sz w:val="24"/>
              </w:rPr>
              <w:t xml:space="preserve">    </w:t>
            </w:r>
            <w:r>
              <w:rPr>
                <w:rFonts w:hint="eastAsia" w:ascii="Courier New" w:hAnsi="Courier New" w:eastAsia="仿宋_GB2312" w:cs="宋体"/>
                <w:kern w:val="0"/>
                <w:sz w:val="24"/>
              </w:rPr>
              <w:t>日</w:t>
            </w:r>
          </w:p>
        </w:tc>
      </w:tr>
    </w:tbl>
    <w:p>
      <w:pPr>
        <w:widowControl/>
        <w:spacing w:line="288" w:lineRule="atLeast"/>
        <w:ind w:firstLine="643" w:firstLineChars="200"/>
        <w:rPr>
          <w:rFonts w:ascii="宋体" w:hAnsi="宋体" w:cs="宋体"/>
          <w:kern w:val="0"/>
          <w:szCs w:val="32"/>
        </w:rPr>
      </w:pPr>
      <w:r>
        <w:rPr>
          <w:rFonts w:hint="eastAsia" w:ascii="宋体" w:hAnsi="宋体" w:cs="宋体"/>
          <w:b/>
          <w:kern w:val="0"/>
          <w:szCs w:val="32"/>
        </w:rPr>
        <w:t>白城市生态新区财政金融审计局专项资金告知通知书</w:t>
      </w:r>
    </w:p>
    <w:tbl>
      <w:tblPr>
        <w:tblStyle w:val="10"/>
        <w:tblW w:w="8878" w:type="dxa"/>
        <w:tblInd w:w="93"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10"/>
        <w:gridCol w:w="2306"/>
        <w:gridCol w:w="2263"/>
        <w:gridCol w:w="2499"/>
      </w:tblGrid>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524" w:hRule="atLeast"/>
        </w:trPr>
        <w:tc>
          <w:tcPr>
            <w:tcW w:w="1810" w:type="dxa"/>
            <w:tcBorders>
              <w:top w:val="double" w:color="auto" w:sz="6" w:space="0"/>
              <w:left w:val="double" w:color="auto" w:sz="6" w:space="0"/>
              <w:bottom w:val="single" w:color="auto" w:sz="6" w:space="0"/>
              <w:right w:val="single" w:color="auto" w:sz="6" w:space="0"/>
            </w:tcBorders>
            <w:vAlign w:val="center"/>
          </w:tcPr>
          <w:p>
            <w:pPr>
              <w:widowControl/>
              <w:jc w:val="center"/>
              <w:rPr>
                <w:rFonts w:ascii="仿宋" w:hAnsi="仿宋" w:cs="宋体"/>
                <w:kern w:val="0"/>
                <w:sz w:val="24"/>
              </w:rPr>
            </w:pPr>
            <w:r>
              <w:rPr>
                <w:rFonts w:hint="eastAsia" w:ascii="仿宋" w:hAnsi="仿宋" w:cs="宋体"/>
                <w:kern w:val="0"/>
                <w:sz w:val="24"/>
              </w:rPr>
              <w:t>项目单位名称</w:t>
            </w:r>
            <w:r>
              <w:rPr>
                <w:rFonts w:ascii="仿宋" w:hAnsi="仿宋"/>
                <w:kern w:val="0"/>
                <w:sz w:val="24"/>
              </w:rPr>
              <w:t xml:space="preserve">                               </w:t>
            </w:r>
          </w:p>
        </w:tc>
        <w:tc>
          <w:tcPr>
            <w:tcW w:w="2306" w:type="dxa"/>
            <w:tcBorders>
              <w:top w:val="double" w:color="auto" w:sz="6" w:space="0"/>
              <w:left w:val="single" w:color="auto" w:sz="6" w:space="0"/>
              <w:bottom w:val="single" w:color="auto" w:sz="6" w:space="0"/>
              <w:right w:val="single" w:color="auto" w:sz="6" w:space="0"/>
            </w:tcBorders>
            <w:vAlign w:val="center"/>
          </w:tcPr>
          <w:p>
            <w:pPr>
              <w:widowControl/>
              <w:jc w:val="center"/>
              <w:rPr>
                <w:rFonts w:ascii="仿宋" w:hAnsi="仿宋" w:cs="宋体"/>
                <w:kern w:val="0"/>
                <w:sz w:val="24"/>
              </w:rPr>
            </w:pPr>
            <w:r>
              <w:rPr>
                <w:rFonts w:hint="eastAsia" w:ascii="宋体" w:hAnsi="宋体" w:cs="宋体"/>
                <w:kern w:val="0"/>
                <w:sz w:val="24"/>
              </w:rPr>
              <w:t> </w:t>
            </w:r>
          </w:p>
        </w:tc>
        <w:tc>
          <w:tcPr>
            <w:tcW w:w="2263" w:type="dxa"/>
            <w:tcBorders>
              <w:top w:val="double" w:color="auto" w:sz="6" w:space="0"/>
              <w:left w:val="single" w:color="auto" w:sz="6" w:space="0"/>
              <w:bottom w:val="single" w:color="auto" w:sz="6" w:space="0"/>
              <w:right w:val="single" w:color="auto" w:sz="6" w:space="0"/>
            </w:tcBorders>
            <w:vAlign w:val="center"/>
          </w:tcPr>
          <w:p>
            <w:pPr>
              <w:widowControl/>
              <w:jc w:val="center"/>
              <w:rPr>
                <w:rFonts w:ascii="仿宋" w:hAnsi="仿宋" w:cs="宋体"/>
                <w:kern w:val="0"/>
                <w:sz w:val="24"/>
              </w:rPr>
            </w:pPr>
            <w:r>
              <w:rPr>
                <w:rFonts w:hint="eastAsia" w:ascii="仿宋" w:hAnsi="仿宋" w:cs="宋体"/>
                <w:kern w:val="0"/>
                <w:sz w:val="24"/>
              </w:rPr>
              <w:t>项</w:t>
            </w:r>
            <w:r>
              <w:rPr>
                <w:rFonts w:ascii="仿宋" w:hAnsi="仿宋" w:cs="宋体"/>
                <w:kern w:val="0"/>
                <w:sz w:val="24"/>
              </w:rPr>
              <w:t xml:space="preserve">  </w:t>
            </w:r>
            <w:r>
              <w:rPr>
                <w:rFonts w:hint="eastAsia" w:ascii="仿宋" w:hAnsi="仿宋" w:cs="宋体"/>
                <w:kern w:val="0"/>
                <w:sz w:val="24"/>
              </w:rPr>
              <w:t>目</w:t>
            </w:r>
            <w:r>
              <w:rPr>
                <w:rFonts w:ascii="仿宋" w:hAnsi="仿宋" w:cs="宋体"/>
                <w:kern w:val="0"/>
                <w:sz w:val="24"/>
              </w:rPr>
              <w:t xml:space="preserve"> </w:t>
            </w:r>
            <w:r>
              <w:rPr>
                <w:rFonts w:hint="eastAsia" w:ascii="仿宋" w:hAnsi="仿宋" w:cs="宋体"/>
                <w:kern w:val="0"/>
                <w:sz w:val="24"/>
              </w:rPr>
              <w:t>名</w:t>
            </w:r>
            <w:r>
              <w:rPr>
                <w:rFonts w:ascii="仿宋" w:hAnsi="仿宋" w:cs="宋体"/>
                <w:kern w:val="0"/>
                <w:sz w:val="24"/>
              </w:rPr>
              <w:t xml:space="preserve"> </w:t>
            </w:r>
            <w:r>
              <w:rPr>
                <w:rFonts w:hint="eastAsia" w:ascii="仿宋" w:hAnsi="仿宋" w:cs="宋体"/>
                <w:kern w:val="0"/>
                <w:sz w:val="24"/>
              </w:rPr>
              <w:t>称</w:t>
            </w:r>
          </w:p>
        </w:tc>
        <w:tc>
          <w:tcPr>
            <w:tcW w:w="2499" w:type="dxa"/>
            <w:tcBorders>
              <w:top w:val="double" w:color="auto" w:sz="6" w:space="0"/>
              <w:left w:val="single" w:color="auto" w:sz="6" w:space="0"/>
              <w:bottom w:val="single" w:color="auto" w:sz="6" w:space="0"/>
              <w:right w:val="double" w:color="auto" w:sz="6" w:space="0"/>
            </w:tcBorders>
            <w:vAlign w:val="center"/>
          </w:tcPr>
          <w:p>
            <w:pPr>
              <w:widowControl/>
              <w:jc w:val="center"/>
              <w:rPr>
                <w:rFonts w:ascii="仿宋" w:hAnsi="仿宋" w:cs="宋体"/>
                <w:kern w:val="0"/>
                <w:sz w:val="24"/>
              </w:rPr>
            </w:pPr>
            <w:r>
              <w:rPr>
                <w:rFonts w:hint="eastAsia" w:ascii="宋体" w:hAnsi="宋体" w:cs="宋体"/>
                <w:kern w:val="0"/>
                <w:sz w:val="24"/>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trPr>
        <w:tc>
          <w:tcPr>
            <w:tcW w:w="1810" w:type="dxa"/>
            <w:tcBorders>
              <w:top w:val="single" w:color="auto" w:sz="6" w:space="0"/>
              <w:left w:val="double" w:color="auto" w:sz="6" w:space="0"/>
              <w:bottom w:val="single" w:color="auto" w:sz="6" w:space="0"/>
              <w:right w:val="single" w:color="auto" w:sz="6" w:space="0"/>
            </w:tcBorders>
            <w:vAlign w:val="center"/>
          </w:tcPr>
          <w:p>
            <w:pPr>
              <w:widowControl/>
              <w:jc w:val="center"/>
              <w:rPr>
                <w:rFonts w:ascii="仿宋" w:hAnsi="仿宋" w:cs="宋体"/>
                <w:kern w:val="0"/>
                <w:sz w:val="24"/>
              </w:rPr>
            </w:pPr>
            <w:r>
              <w:rPr>
                <w:rFonts w:hint="eastAsia" w:ascii="仿宋" w:hAnsi="仿宋" w:cs="宋体"/>
                <w:kern w:val="0"/>
                <w:sz w:val="24"/>
              </w:rPr>
              <w:t>专项资金文号</w:t>
            </w:r>
          </w:p>
        </w:tc>
        <w:tc>
          <w:tcPr>
            <w:tcW w:w="2306" w:type="dxa"/>
            <w:tcBorders>
              <w:top w:val="single" w:color="auto" w:sz="6" w:space="0"/>
              <w:left w:val="single" w:color="auto" w:sz="6" w:space="0"/>
              <w:bottom w:val="single" w:color="auto" w:sz="6" w:space="0"/>
              <w:right w:val="single" w:color="auto" w:sz="6" w:space="0"/>
            </w:tcBorders>
            <w:vAlign w:val="center"/>
          </w:tcPr>
          <w:p>
            <w:pPr>
              <w:widowControl/>
              <w:jc w:val="center"/>
              <w:rPr>
                <w:rFonts w:ascii="仿宋" w:hAnsi="仿宋" w:cs="宋体"/>
                <w:kern w:val="0"/>
                <w:sz w:val="24"/>
              </w:rPr>
            </w:pPr>
            <w:r>
              <w:rPr>
                <w:rFonts w:hint="eastAsia" w:ascii="宋体" w:hAnsi="宋体" w:cs="宋体"/>
                <w:kern w:val="0"/>
                <w:sz w:val="24"/>
              </w:rPr>
              <w:t> </w:t>
            </w:r>
          </w:p>
        </w:tc>
        <w:tc>
          <w:tcPr>
            <w:tcW w:w="226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仿宋" w:hAnsi="仿宋" w:cs="宋体"/>
                <w:kern w:val="0"/>
                <w:sz w:val="24"/>
              </w:rPr>
            </w:pPr>
            <w:r>
              <w:rPr>
                <w:rFonts w:hint="eastAsia" w:ascii="仿宋" w:hAnsi="仿宋" w:cs="宋体"/>
                <w:kern w:val="0"/>
                <w:sz w:val="24"/>
              </w:rPr>
              <w:t>专项资金金额</w:t>
            </w:r>
          </w:p>
        </w:tc>
        <w:tc>
          <w:tcPr>
            <w:tcW w:w="2499" w:type="dxa"/>
            <w:tcBorders>
              <w:top w:val="single" w:color="auto" w:sz="6" w:space="0"/>
              <w:left w:val="single" w:color="auto" w:sz="6" w:space="0"/>
              <w:bottom w:val="single" w:color="auto" w:sz="6" w:space="0"/>
              <w:right w:val="double" w:color="auto" w:sz="6" w:space="0"/>
            </w:tcBorders>
            <w:vAlign w:val="center"/>
          </w:tcPr>
          <w:p>
            <w:pPr>
              <w:widowControl/>
              <w:jc w:val="center"/>
              <w:rPr>
                <w:rFonts w:ascii="仿宋" w:hAnsi="仿宋" w:cs="宋体"/>
                <w:kern w:val="0"/>
                <w:sz w:val="24"/>
              </w:rPr>
            </w:pPr>
            <w:r>
              <w:rPr>
                <w:rFonts w:hint="eastAsia" w:ascii="宋体" w:hAnsi="宋体" w:cs="宋体"/>
                <w:kern w:val="0"/>
                <w:sz w:val="24"/>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trPr>
        <w:tc>
          <w:tcPr>
            <w:tcW w:w="1810" w:type="dxa"/>
            <w:tcBorders>
              <w:top w:val="single" w:color="auto" w:sz="6" w:space="0"/>
              <w:left w:val="double" w:color="auto" w:sz="6" w:space="0"/>
              <w:bottom w:val="single" w:color="auto" w:sz="6" w:space="0"/>
              <w:right w:val="single" w:color="auto" w:sz="6" w:space="0"/>
            </w:tcBorders>
            <w:vAlign w:val="center"/>
          </w:tcPr>
          <w:p>
            <w:pPr>
              <w:widowControl/>
              <w:jc w:val="center"/>
              <w:rPr>
                <w:rFonts w:ascii="仿宋" w:hAnsi="仿宋" w:cs="宋体"/>
                <w:kern w:val="0"/>
                <w:sz w:val="24"/>
              </w:rPr>
            </w:pPr>
            <w:r>
              <w:rPr>
                <w:rFonts w:hint="eastAsia" w:ascii="仿宋" w:hAnsi="仿宋" w:cs="宋体"/>
                <w:kern w:val="0"/>
                <w:sz w:val="24"/>
              </w:rPr>
              <w:t>财政局经办人</w:t>
            </w:r>
          </w:p>
        </w:tc>
        <w:tc>
          <w:tcPr>
            <w:tcW w:w="2306" w:type="dxa"/>
            <w:tcBorders>
              <w:top w:val="single" w:color="auto" w:sz="6" w:space="0"/>
              <w:left w:val="single" w:color="auto" w:sz="6" w:space="0"/>
              <w:bottom w:val="single" w:color="auto" w:sz="6" w:space="0"/>
              <w:right w:val="single" w:color="auto" w:sz="6" w:space="0"/>
            </w:tcBorders>
            <w:vAlign w:val="center"/>
          </w:tcPr>
          <w:p>
            <w:pPr>
              <w:widowControl/>
              <w:jc w:val="center"/>
              <w:rPr>
                <w:rFonts w:ascii="仿宋" w:hAnsi="仿宋" w:cs="宋体"/>
                <w:kern w:val="0"/>
                <w:sz w:val="24"/>
              </w:rPr>
            </w:pPr>
            <w:r>
              <w:rPr>
                <w:rFonts w:hint="eastAsia" w:ascii="宋体" w:hAnsi="宋体" w:cs="宋体"/>
                <w:kern w:val="0"/>
                <w:sz w:val="24"/>
              </w:rPr>
              <w:t> </w:t>
            </w:r>
          </w:p>
        </w:tc>
        <w:tc>
          <w:tcPr>
            <w:tcW w:w="226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仿宋" w:hAnsi="仿宋" w:cs="宋体"/>
                <w:kern w:val="0"/>
                <w:sz w:val="24"/>
              </w:rPr>
            </w:pPr>
            <w:r>
              <w:rPr>
                <w:rFonts w:hint="eastAsia" w:ascii="仿宋" w:hAnsi="仿宋" w:cs="宋体"/>
                <w:kern w:val="0"/>
                <w:sz w:val="24"/>
              </w:rPr>
              <w:t>财政局告知时间</w:t>
            </w:r>
          </w:p>
        </w:tc>
        <w:tc>
          <w:tcPr>
            <w:tcW w:w="2499" w:type="dxa"/>
            <w:tcBorders>
              <w:top w:val="single" w:color="auto" w:sz="6" w:space="0"/>
              <w:left w:val="single" w:color="auto" w:sz="6" w:space="0"/>
              <w:bottom w:val="single" w:color="auto" w:sz="6" w:space="0"/>
              <w:right w:val="double" w:color="auto" w:sz="6" w:space="0"/>
            </w:tcBorders>
            <w:vAlign w:val="center"/>
          </w:tcPr>
          <w:p>
            <w:pPr>
              <w:widowControl/>
              <w:jc w:val="center"/>
              <w:rPr>
                <w:rFonts w:ascii="仿宋" w:hAnsi="仿宋" w:cs="宋体"/>
                <w:kern w:val="0"/>
                <w:sz w:val="24"/>
              </w:rPr>
            </w:pPr>
            <w:r>
              <w:rPr>
                <w:rFonts w:hint="eastAsia" w:ascii="宋体" w:hAnsi="宋体" w:cs="宋体"/>
                <w:kern w:val="0"/>
                <w:sz w:val="24"/>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trPr>
        <w:tc>
          <w:tcPr>
            <w:tcW w:w="1810" w:type="dxa"/>
            <w:tcBorders>
              <w:top w:val="single" w:color="auto" w:sz="6" w:space="0"/>
              <w:left w:val="double" w:color="auto" w:sz="6" w:space="0"/>
              <w:bottom w:val="single" w:color="auto" w:sz="6" w:space="0"/>
              <w:right w:val="single" w:color="auto" w:sz="6" w:space="0"/>
            </w:tcBorders>
            <w:vAlign w:val="center"/>
          </w:tcPr>
          <w:p>
            <w:pPr>
              <w:widowControl/>
              <w:jc w:val="center"/>
              <w:rPr>
                <w:rFonts w:ascii="仿宋" w:hAnsi="仿宋" w:cs="宋体"/>
                <w:kern w:val="0"/>
                <w:sz w:val="24"/>
              </w:rPr>
            </w:pPr>
            <w:r>
              <w:rPr>
                <w:rFonts w:hint="eastAsia" w:ascii="仿宋" w:hAnsi="仿宋" w:cs="宋体"/>
                <w:kern w:val="0"/>
                <w:sz w:val="24"/>
              </w:rPr>
              <w:t>通知书领取人</w:t>
            </w:r>
          </w:p>
        </w:tc>
        <w:tc>
          <w:tcPr>
            <w:tcW w:w="2306" w:type="dxa"/>
            <w:tcBorders>
              <w:top w:val="single" w:color="auto" w:sz="6" w:space="0"/>
              <w:left w:val="single" w:color="auto" w:sz="6" w:space="0"/>
              <w:bottom w:val="single" w:color="auto" w:sz="6" w:space="0"/>
              <w:right w:val="single" w:color="auto" w:sz="6" w:space="0"/>
            </w:tcBorders>
            <w:vAlign w:val="center"/>
          </w:tcPr>
          <w:p>
            <w:pPr>
              <w:widowControl/>
              <w:jc w:val="center"/>
              <w:rPr>
                <w:rFonts w:ascii="仿宋" w:hAnsi="仿宋" w:cs="宋体"/>
                <w:kern w:val="0"/>
                <w:sz w:val="24"/>
              </w:rPr>
            </w:pPr>
            <w:r>
              <w:rPr>
                <w:rFonts w:hint="eastAsia" w:ascii="宋体" w:hAnsi="宋体" w:cs="宋体"/>
                <w:kern w:val="0"/>
                <w:sz w:val="24"/>
              </w:rPr>
              <w:t> </w:t>
            </w:r>
          </w:p>
        </w:tc>
        <w:tc>
          <w:tcPr>
            <w:tcW w:w="2263" w:type="dxa"/>
            <w:tcBorders>
              <w:top w:val="single" w:color="auto" w:sz="6" w:space="0"/>
              <w:left w:val="single" w:color="auto" w:sz="6" w:space="0"/>
              <w:bottom w:val="single" w:color="auto" w:sz="6" w:space="0"/>
              <w:right w:val="single" w:color="auto" w:sz="6" w:space="0"/>
            </w:tcBorders>
            <w:vAlign w:val="center"/>
          </w:tcPr>
          <w:p>
            <w:pPr>
              <w:widowControl/>
              <w:jc w:val="center"/>
              <w:rPr>
                <w:rFonts w:ascii="仿宋" w:hAnsi="仿宋" w:cs="宋体"/>
                <w:kern w:val="0"/>
                <w:sz w:val="24"/>
              </w:rPr>
            </w:pPr>
            <w:r>
              <w:rPr>
                <w:rFonts w:hint="eastAsia" w:ascii="仿宋" w:hAnsi="仿宋" w:cs="宋体"/>
                <w:kern w:val="0"/>
                <w:sz w:val="24"/>
              </w:rPr>
              <w:t>通知书领取时间</w:t>
            </w:r>
          </w:p>
        </w:tc>
        <w:tc>
          <w:tcPr>
            <w:tcW w:w="2499" w:type="dxa"/>
            <w:tcBorders>
              <w:top w:val="single" w:color="auto" w:sz="6" w:space="0"/>
              <w:left w:val="single" w:color="auto" w:sz="6" w:space="0"/>
              <w:bottom w:val="single" w:color="auto" w:sz="6" w:space="0"/>
              <w:right w:val="double" w:color="auto" w:sz="6" w:space="0"/>
            </w:tcBorders>
            <w:vAlign w:val="center"/>
          </w:tcPr>
          <w:p>
            <w:pPr>
              <w:widowControl/>
              <w:jc w:val="center"/>
              <w:rPr>
                <w:rFonts w:ascii="仿宋" w:hAnsi="仿宋" w:cs="宋体"/>
                <w:kern w:val="0"/>
                <w:sz w:val="24"/>
              </w:rPr>
            </w:pPr>
            <w:r>
              <w:rPr>
                <w:rFonts w:hint="eastAsia" w:ascii="宋体" w:hAnsi="宋体" w:cs="宋体"/>
                <w:kern w:val="0"/>
                <w:sz w:val="24"/>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6177" w:hRule="atLeast"/>
        </w:trPr>
        <w:tc>
          <w:tcPr>
            <w:tcW w:w="1810" w:type="dxa"/>
            <w:tcBorders>
              <w:top w:val="single" w:color="auto" w:sz="6" w:space="0"/>
              <w:left w:val="double" w:color="auto" w:sz="6" w:space="0"/>
              <w:bottom w:val="single" w:color="auto" w:sz="4" w:space="0"/>
              <w:right w:val="single" w:color="auto" w:sz="6" w:space="0"/>
            </w:tcBorders>
            <w:vAlign w:val="center"/>
          </w:tcPr>
          <w:p>
            <w:pPr>
              <w:widowControl/>
              <w:jc w:val="center"/>
              <w:rPr>
                <w:rFonts w:ascii="仿宋" w:hAnsi="仿宋" w:cs="宋体"/>
                <w:kern w:val="0"/>
                <w:sz w:val="21"/>
                <w:szCs w:val="21"/>
              </w:rPr>
            </w:pPr>
            <w:r>
              <w:rPr>
                <w:rFonts w:hint="eastAsia" w:ascii="仿宋" w:hAnsi="仿宋" w:cs="宋体"/>
                <w:kern w:val="0"/>
                <w:sz w:val="21"/>
                <w:szCs w:val="21"/>
              </w:rPr>
              <w:t>项目单位需知内容</w:t>
            </w:r>
          </w:p>
        </w:tc>
        <w:tc>
          <w:tcPr>
            <w:tcW w:w="7068" w:type="dxa"/>
            <w:gridSpan w:val="3"/>
            <w:tcBorders>
              <w:top w:val="single" w:color="auto" w:sz="6" w:space="0"/>
              <w:left w:val="single" w:color="auto" w:sz="6" w:space="0"/>
              <w:bottom w:val="single" w:color="auto" w:sz="4" w:space="0"/>
              <w:right w:val="double" w:color="auto" w:sz="6" w:space="0"/>
            </w:tcBorders>
            <w:vAlign w:val="center"/>
          </w:tcPr>
          <w:p>
            <w:pPr>
              <w:widowControl/>
              <w:rPr>
                <w:rFonts w:ascii="仿宋" w:hAnsi="仿宋" w:cs="宋体"/>
                <w:kern w:val="0"/>
                <w:sz w:val="24"/>
                <w:szCs w:val="18"/>
              </w:rPr>
            </w:pPr>
            <w:r>
              <w:rPr>
                <w:rFonts w:hint="eastAsia" w:ascii="仿宋" w:hAnsi="仿宋" w:cs="宋体"/>
                <w:kern w:val="0"/>
                <w:sz w:val="24"/>
                <w:szCs w:val="18"/>
              </w:rPr>
              <w:t>一、专项资金（基金）要实行“专人管理、专户储存、专账核算、专款专用”。</w:t>
            </w:r>
          </w:p>
          <w:p>
            <w:pPr>
              <w:widowControl/>
              <w:rPr>
                <w:rFonts w:ascii="仿宋" w:hAnsi="仿宋" w:cs="宋体"/>
                <w:kern w:val="0"/>
                <w:sz w:val="24"/>
                <w:szCs w:val="18"/>
              </w:rPr>
            </w:pPr>
            <w:r>
              <w:rPr>
                <w:rFonts w:hint="eastAsia" w:ascii="仿宋" w:hAnsi="仿宋" w:cs="宋体"/>
                <w:kern w:val="0"/>
                <w:sz w:val="24"/>
                <w:szCs w:val="18"/>
              </w:rPr>
              <w:t>二、要按照《财政违法行为处罚处分条例》（中华人民共和国国务院令第427号）第九条规定：单位和个人有下列违反国家有关投资建设项目规定的行为之一的，责令改正，调整有关会计账目，追回被截留、挪用、骗取的国家建设资金，没收违法所得，核减或者停止拨付工程投资。对单位给予警告或者通报批评，其直接负责的主管人员和其他直接责任人员属于国家公务员的，给予记大过处分；情节较重的，给予降级或者撤职处分；情节严重的，给予开除处分：</w:t>
            </w:r>
          </w:p>
          <w:p>
            <w:pPr>
              <w:widowControl/>
              <w:rPr>
                <w:rFonts w:ascii="仿宋" w:hAnsi="仿宋" w:cs="宋体"/>
                <w:kern w:val="0"/>
                <w:sz w:val="24"/>
                <w:szCs w:val="18"/>
              </w:rPr>
            </w:pPr>
            <w:r>
              <w:rPr>
                <w:rFonts w:hint="eastAsia" w:ascii="仿宋" w:hAnsi="仿宋" w:cs="宋体"/>
                <w:kern w:val="0"/>
                <w:sz w:val="24"/>
                <w:szCs w:val="18"/>
              </w:rPr>
              <w:t>（一）截留、挪用国家建设资金；</w:t>
            </w:r>
            <w:r>
              <w:rPr>
                <w:rFonts w:hint="eastAsia" w:ascii="宋体" w:hAnsi="宋体" w:cs="宋体"/>
                <w:kern w:val="0"/>
                <w:sz w:val="24"/>
                <w:szCs w:val="18"/>
              </w:rPr>
              <w:t> </w:t>
            </w:r>
          </w:p>
          <w:p>
            <w:pPr>
              <w:widowControl/>
              <w:rPr>
                <w:rFonts w:ascii="仿宋" w:hAnsi="仿宋" w:cs="宋体"/>
                <w:kern w:val="0"/>
                <w:sz w:val="24"/>
                <w:szCs w:val="18"/>
              </w:rPr>
            </w:pPr>
            <w:r>
              <w:rPr>
                <w:rFonts w:hint="eastAsia" w:ascii="仿宋" w:hAnsi="仿宋" w:cs="宋体"/>
                <w:kern w:val="0"/>
                <w:sz w:val="24"/>
                <w:szCs w:val="18"/>
              </w:rPr>
              <w:t>（二）以虚报、冒领、关联交易等手续骗取国家建设资金；</w:t>
            </w:r>
          </w:p>
          <w:p>
            <w:pPr>
              <w:widowControl/>
              <w:rPr>
                <w:rFonts w:ascii="仿宋" w:hAnsi="仿宋" w:cs="宋体"/>
                <w:kern w:val="0"/>
                <w:sz w:val="24"/>
                <w:szCs w:val="18"/>
              </w:rPr>
            </w:pPr>
            <w:r>
              <w:rPr>
                <w:rFonts w:hint="eastAsia" w:ascii="仿宋" w:hAnsi="仿宋" w:cs="宋体"/>
                <w:kern w:val="0"/>
                <w:sz w:val="24"/>
                <w:szCs w:val="18"/>
              </w:rPr>
              <w:t>（三）违反规定超概算投资；</w:t>
            </w:r>
          </w:p>
          <w:p>
            <w:pPr>
              <w:widowControl/>
              <w:rPr>
                <w:rFonts w:ascii="仿宋" w:hAnsi="仿宋" w:cs="宋体"/>
                <w:kern w:val="0"/>
                <w:sz w:val="24"/>
                <w:szCs w:val="18"/>
              </w:rPr>
            </w:pPr>
            <w:r>
              <w:rPr>
                <w:rFonts w:hint="eastAsia" w:ascii="仿宋" w:hAnsi="仿宋" w:cs="宋体"/>
                <w:kern w:val="0"/>
                <w:sz w:val="24"/>
                <w:szCs w:val="18"/>
              </w:rPr>
              <w:t>（四）虚列投资完成额；</w:t>
            </w:r>
          </w:p>
          <w:p>
            <w:pPr>
              <w:widowControl/>
              <w:rPr>
                <w:rFonts w:ascii="仿宋" w:hAnsi="仿宋" w:cs="宋体"/>
                <w:kern w:val="0"/>
                <w:sz w:val="24"/>
                <w:szCs w:val="18"/>
              </w:rPr>
            </w:pPr>
            <w:r>
              <w:rPr>
                <w:rFonts w:hint="eastAsia" w:ascii="仿宋" w:hAnsi="仿宋" w:cs="宋体"/>
                <w:kern w:val="0"/>
                <w:sz w:val="24"/>
                <w:szCs w:val="18"/>
              </w:rPr>
              <w:t>（五）其他违反国家投资建设项目有关规定的行为。</w:t>
            </w:r>
          </w:p>
          <w:p>
            <w:pPr>
              <w:widowControl/>
              <w:ind w:firstLine="120" w:firstLineChars="50"/>
              <w:rPr>
                <w:rFonts w:ascii="仿宋" w:hAnsi="仿宋" w:cs="宋体"/>
                <w:kern w:val="0"/>
                <w:sz w:val="24"/>
                <w:szCs w:val="18"/>
              </w:rPr>
            </w:pPr>
            <w:r>
              <w:rPr>
                <w:rFonts w:hint="eastAsia" w:ascii="仿宋" w:hAnsi="仿宋" w:cs="宋体"/>
                <w:kern w:val="0"/>
                <w:sz w:val="24"/>
                <w:szCs w:val="18"/>
              </w:rPr>
              <w:t>《中华人民共和国政府采购法》、《中华人民共和国招标投标法》、《国家重点建设项目管理办法》等法律、行政法规另有规定的，依照其规定处理、处罚。</w:t>
            </w:r>
          </w:p>
          <w:p>
            <w:pPr>
              <w:widowControl/>
              <w:rPr>
                <w:rFonts w:ascii="仿宋" w:hAnsi="仿宋" w:cs="宋体"/>
                <w:kern w:val="0"/>
                <w:sz w:val="21"/>
                <w:szCs w:val="21"/>
              </w:rPr>
            </w:pPr>
            <w:r>
              <w:rPr>
                <w:rFonts w:hint="eastAsia" w:ascii="仿宋" w:hAnsi="仿宋" w:cs="宋体"/>
                <w:kern w:val="0"/>
                <w:sz w:val="24"/>
                <w:szCs w:val="18"/>
              </w:rPr>
              <w:t>三、新区财政金融审计局要依据此告知和承诺书，负责对项目专项资金（基金）进行全面实施检查，并将检查结果适时披露。</w:t>
            </w:r>
            <w:r>
              <w:rPr>
                <w:rFonts w:hint="eastAsia" w:ascii="宋体" w:hAnsi="宋体" w:cs="宋体"/>
                <w:kern w:val="0"/>
                <w:sz w:val="21"/>
                <w:szCs w:val="21"/>
              </w:rPr>
              <w:t>  </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2298" w:hRule="atLeast"/>
        </w:trPr>
        <w:tc>
          <w:tcPr>
            <w:tcW w:w="1810" w:type="dxa"/>
            <w:tcBorders>
              <w:top w:val="single" w:color="auto" w:sz="4" w:space="0"/>
              <w:left w:val="double" w:color="auto" w:sz="6" w:space="0"/>
              <w:bottom w:val="single" w:color="auto" w:sz="4" w:space="0"/>
              <w:right w:val="single" w:color="auto" w:sz="6" w:space="0"/>
            </w:tcBorders>
            <w:vAlign w:val="center"/>
          </w:tcPr>
          <w:p>
            <w:pPr>
              <w:widowControl/>
              <w:jc w:val="center"/>
              <w:rPr>
                <w:rFonts w:ascii="仿宋" w:hAnsi="仿宋" w:cs="宋体"/>
                <w:kern w:val="0"/>
                <w:sz w:val="21"/>
                <w:szCs w:val="21"/>
              </w:rPr>
            </w:pPr>
            <w:r>
              <w:rPr>
                <w:rFonts w:hint="eastAsia" w:ascii="仿宋" w:hAnsi="仿宋" w:cs="宋体"/>
                <w:kern w:val="0"/>
                <w:sz w:val="21"/>
                <w:szCs w:val="21"/>
              </w:rPr>
              <w:t>项目单位申请资金需提供的资料</w:t>
            </w:r>
          </w:p>
        </w:tc>
        <w:tc>
          <w:tcPr>
            <w:tcW w:w="7068" w:type="dxa"/>
            <w:gridSpan w:val="3"/>
            <w:tcBorders>
              <w:top w:val="single" w:color="auto" w:sz="4" w:space="0"/>
              <w:left w:val="single" w:color="auto" w:sz="6" w:space="0"/>
              <w:bottom w:val="single" w:color="auto" w:sz="4" w:space="0"/>
              <w:right w:val="double" w:color="auto" w:sz="6" w:space="0"/>
            </w:tcBorders>
            <w:vAlign w:val="center"/>
          </w:tcPr>
          <w:p>
            <w:pPr>
              <w:widowControl/>
              <w:rPr>
                <w:rFonts w:ascii="仿宋" w:hAnsi="仿宋" w:cs="宋体"/>
                <w:kern w:val="0"/>
                <w:sz w:val="24"/>
                <w:szCs w:val="18"/>
              </w:rPr>
            </w:pPr>
            <w:r>
              <w:rPr>
                <w:rFonts w:hint="eastAsia" w:ascii="仿宋" w:hAnsi="仿宋" w:cs="宋体"/>
                <w:kern w:val="0"/>
                <w:sz w:val="24"/>
                <w:szCs w:val="18"/>
              </w:rPr>
              <w:t>项目立项文件、可行性研究报告、工程预算书、招投标文件、工程监理及施工合同、基建项目评审结论等。</w:t>
            </w:r>
            <w:r>
              <w:rPr>
                <w:rFonts w:hint="eastAsia" w:ascii="宋体" w:hAnsi="宋体" w:cs="宋体"/>
                <w:kern w:val="0"/>
                <w:sz w:val="24"/>
                <w:szCs w:val="18"/>
              </w:rPr>
              <w:t> </w:t>
            </w:r>
          </w:p>
          <w:p>
            <w:pPr>
              <w:widowControl/>
              <w:rPr>
                <w:rFonts w:ascii="仿宋" w:hAnsi="仿宋" w:cs="宋体"/>
                <w:kern w:val="0"/>
                <w:sz w:val="24"/>
                <w:szCs w:val="18"/>
              </w:rPr>
            </w:pPr>
            <w:r>
              <w:rPr>
                <w:rFonts w:hint="eastAsia" w:ascii="仿宋" w:hAnsi="仿宋" w:cs="宋体"/>
                <w:kern w:val="0"/>
                <w:sz w:val="24"/>
                <w:szCs w:val="18"/>
              </w:rPr>
              <w:t>被审核的基本建设工程决算需以下资料：工程决算书、工程竣工验收报告、招标文件、招标控制价、投标文件、中标通知书、施工合同、协议、施工图或竣工图、工程量计算书、劳保取费证明、影响资料、经批准的施工组织设计、工程变更签证资料、隐蔽工程资料等。</w:t>
            </w:r>
          </w:p>
        </w:tc>
      </w:tr>
      <w:tr>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2185" w:hRule="atLeast"/>
        </w:trPr>
        <w:tc>
          <w:tcPr>
            <w:tcW w:w="1810" w:type="dxa"/>
            <w:tcBorders>
              <w:top w:val="single" w:color="auto" w:sz="4" w:space="0"/>
              <w:left w:val="double" w:color="auto" w:sz="6" w:space="0"/>
              <w:bottom w:val="double" w:color="auto" w:sz="4" w:space="0"/>
              <w:right w:val="single" w:color="auto" w:sz="6" w:space="0"/>
            </w:tcBorders>
            <w:vAlign w:val="center"/>
          </w:tcPr>
          <w:p>
            <w:pPr>
              <w:widowControl/>
              <w:jc w:val="center"/>
              <w:rPr>
                <w:rFonts w:ascii="仿宋" w:hAnsi="仿宋" w:cs="宋体"/>
                <w:kern w:val="0"/>
                <w:sz w:val="21"/>
                <w:szCs w:val="21"/>
              </w:rPr>
            </w:pPr>
            <w:r>
              <w:rPr>
                <w:rFonts w:hint="eastAsia" w:ascii="仿宋" w:hAnsi="仿宋" w:cs="宋体"/>
                <w:kern w:val="0"/>
                <w:sz w:val="21"/>
                <w:szCs w:val="21"/>
              </w:rPr>
              <w:t>项目单位承诺内容</w:t>
            </w:r>
          </w:p>
        </w:tc>
        <w:tc>
          <w:tcPr>
            <w:tcW w:w="7068" w:type="dxa"/>
            <w:gridSpan w:val="3"/>
            <w:tcBorders>
              <w:top w:val="single" w:color="auto" w:sz="4" w:space="0"/>
              <w:left w:val="single" w:color="auto" w:sz="6" w:space="0"/>
              <w:bottom w:val="double" w:color="auto" w:sz="4" w:space="0"/>
              <w:right w:val="double" w:color="auto" w:sz="6" w:space="0"/>
            </w:tcBorders>
            <w:vAlign w:val="center"/>
          </w:tcPr>
          <w:p>
            <w:pPr>
              <w:widowControl/>
              <w:spacing w:line="0" w:lineRule="atLeast"/>
              <w:rPr>
                <w:rFonts w:ascii="仿宋" w:hAnsi="仿宋" w:cs="宋体"/>
                <w:kern w:val="0"/>
                <w:sz w:val="24"/>
                <w:szCs w:val="18"/>
              </w:rPr>
            </w:pPr>
            <w:r>
              <w:rPr>
                <w:rFonts w:hint="eastAsia" w:ascii="仿宋" w:hAnsi="仿宋" w:cs="宋体"/>
                <w:kern w:val="0"/>
                <w:sz w:val="24"/>
                <w:szCs w:val="18"/>
              </w:rPr>
              <w:t>承诺事项：</w:t>
            </w:r>
          </w:p>
          <w:p>
            <w:pPr>
              <w:widowControl/>
              <w:spacing w:line="0" w:lineRule="atLeast"/>
              <w:ind w:firstLine="360" w:firstLineChars="150"/>
              <w:rPr>
                <w:rFonts w:ascii="仿宋" w:hAnsi="仿宋" w:cs="宋体"/>
                <w:kern w:val="0"/>
                <w:sz w:val="24"/>
                <w:szCs w:val="18"/>
              </w:rPr>
            </w:pPr>
            <w:r>
              <w:rPr>
                <w:rFonts w:hint="eastAsia" w:ascii="仿宋" w:hAnsi="仿宋" w:cs="宋体"/>
                <w:kern w:val="0"/>
                <w:sz w:val="24"/>
                <w:szCs w:val="18"/>
              </w:rPr>
              <w:t>一、认真贯彻、落实、执行专项资金（基金）使用管理规定；</w:t>
            </w:r>
          </w:p>
          <w:p>
            <w:pPr>
              <w:widowControl/>
              <w:spacing w:line="0" w:lineRule="atLeast"/>
              <w:ind w:firstLine="360" w:firstLineChars="150"/>
              <w:rPr>
                <w:rFonts w:ascii="仿宋" w:hAnsi="仿宋" w:cs="宋体"/>
                <w:kern w:val="0"/>
                <w:sz w:val="24"/>
                <w:szCs w:val="18"/>
              </w:rPr>
            </w:pPr>
            <w:r>
              <w:rPr>
                <w:rFonts w:hint="eastAsia" w:ascii="仿宋" w:hAnsi="仿宋" w:cs="宋体"/>
                <w:kern w:val="0"/>
                <w:sz w:val="24"/>
                <w:szCs w:val="18"/>
              </w:rPr>
              <w:t>二、若有违规、违反、违纪项目建设规定的行为之一的，愿接受上述规定的处理、处罚、处分。</w:t>
            </w:r>
          </w:p>
          <w:p>
            <w:pPr>
              <w:widowControl/>
              <w:spacing w:line="0" w:lineRule="atLeast"/>
              <w:rPr>
                <w:rFonts w:ascii="仿宋" w:hAnsi="仿宋" w:cs="宋体"/>
                <w:kern w:val="0"/>
                <w:sz w:val="24"/>
                <w:szCs w:val="18"/>
              </w:rPr>
            </w:pPr>
          </w:p>
          <w:p>
            <w:pPr>
              <w:widowControl/>
              <w:spacing w:line="0" w:lineRule="atLeast"/>
              <w:rPr>
                <w:rFonts w:ascii="仿宋" w:hAnsi="仿宋" w:cs="宋体"/>
                <w:kern w:val="0"/>
                <w:sz w:val="24"/>
                <w:szCs w:val="18"/>
              </w:rPr>
            </w:pPr>
            <w:r>
              <w:rPr>
                <w:rFonts w:hint="eastAsia" w:ascii="仿宋" w:hAnsi="仿宋" w:cs="宋体"/>
                <w:kern w:val="0"/>
                <w:sz w:val="24"/>
                <w:szCs w:val="18"/>
              </w:rPr>
              <w:t>（法人）负责人（签字）：          主管部门负责人（签字）：</w:t>
            </w:r>
          </w:p>
          <w:p>
            <w:pPr>
              <w:widowControl/>
              <w:spacing w:line="0" w:lineRule="atLeast"/>
              <w:rPr>
                <w:rFonts w:ascii="仿宋" w:hAnsi="仿宋" w:cs="宋体"/>
                <w:kern w:val="0"/>
                <w:sz w:val="24"/>
                <w:szCs w:val="18"/>
              </w:rPr>
            </w:pPr>
          </w:p>
        </w:tc>
      </w:tr>
    </w:tbl>
    <w:p>
      <w:pPr>
        <w:widowControl/>
        <w:spacing w:line="600" w:lineRule="exact"/>
        <w:jc w:val="left"/>
        <w:rPr>
          <w:snapToGrid w:val="0"/>
          <w:kern w:val="0"/>
        </w:rPr>
        <w:sectPr>
          <w:pgSz w:w="11906" w:h="16838"/>
          <w:pgMar w:top="1440" w:right="1800" w:bottom="1440" w:left="1800" w:header="851" w:footer="992" w:gutter="0"/>
          <w:pgNumType w:fmt="numberInDash"/>
          <w:cols w:space="720" w:num="1"/>
          <w:docGrid w:type="lines" w:linePitch="312" w:charSpace="0"/>
        </w:sectPr>
      </w:pPr>
      <w:r>
        <w:rPr>
          <w:rFonts w:hint="eastAsia"/>
          <w:snapToGrid w:val="0"/>
          <w:kern w:val="0"/>
          <w:sz w:val="24"/>
          <w:szCs w:val="21"/>
        </w:rPr>
        <w:t>此通知书一式两份，一份财政局留存，一份项目单位留存。</w:t>
      </w:r>
    </w:p>
    <w:tbl>
      <w:tblPr>
        <w:tblStyle w:val="10"/>
        <w:tblW w:w="13172" w:type="dxa"/>
        <w:tblInd w:w="108" w:type="dxa"/>
        <w:tblLayout w:type="autofit"/>
        <w:tblCellMar>
          <w:top w:w="0" w:type="dxa"/>
          <w:left w:w="108" w:type="dxa"/>
          <w:bottom w:w="0" w:type="dxa"/>
          <w:right w:w="108" w:type="dxa"/>
        </w:tblCellMar>
      </w:tblPr>
      <w:tblGrid>
        <w:gridCol w:w="1096"/>
        <w:gridCol w:w="856"/>
        <w:gridCol w:w="1796"/>
        <w:gridCol w:w="1545"/>
        <w:gridCol w:w="2235"/>
        <w:gridCol w:w="1236"/>
        <w:gridCol w:w="1456"/>
        <w:gridCol w:w="1376"/>
        <w:gridCol w:w="1576"/>
      </w:tblGrid>
      <w:tr>
        <w:tblPrEx>
          <w:tblCellMar>
            <w:top w:w="0" w:type="dxa"/>
            <w:left w:w="108" w:type="dxa"/>
            <w:bottom w:w="0" w:type="dxa"/>
            <w:right w:w="108" w:type="dxa"/>
          </w:tblCellMar>
        </w:tblPrEx>
        <w:trPr>
          <w:trHeight w:val="720" w:hRule="atLeast"/>
        </w:trPr>
        <w:tc>
          <w:tcPr>
            <w:tcW w:w="13172" w:type="dxa"/>
            <w:gridSpan w:val="9"/>
            <w:tcBorders>
              <w:top w:val="nil"/>
              <w:left w:val="nil"/>
              <w:bottom w:val="nil"/>
              <w:right w:val="nil"/>
            </w:tcBorders>
            <w:noWrap/>
            <w:vAlign w:val="bottom"/>
          </w:tcPr>
          <w:p>
            <w:pPr>
              <w:widowControl/>
              <w:jc w:val="center"/>
              <w:rPr>
                <w:rFonts w:ascii="宋体" w:hAnsi="宋体" w:cs="宋体"/>
                <w:b/>
                <w:bCs/>
                <w:kern w:val="0"/>
                <w:sz w:val="40"/>
                <w:szCs w:val="40"/>
              </w:rPr>
            </w:pPr>
            <w:r>
              <w:rPr>
                <w:rFonts w:hint="eastAsia" w:ascii="宋体" w:hAnsi="宋体" w:cs="宋体"/>
                <w:b/>
                <w:bCs/>
                <w:kern w:val="0"/>
                <w:sz w:val="40"/>
                <w:szCs w:val="40"/>
              </w:rPr>
              <w:t>白城市生态新区专项资金拨付流程图</w:t>
            </w:r>
          </w:p>
        </w:tc>
      </w:tr>
      <w:tr>
        <w:tblPrEx>
          <w:tblCellMar>
            <w:top w:w="0" w:type="dxa"/>
            <w:left w:w="108" w:type="dxa"/>
            <w:bottom w:w="0" w:type="dxa"/>
            <w:right w:w="108" w:type="dxa"/>
          </w:tblCellMar>
        </w:tblPrEx>
        <w:trPr>
          <w:trHeight w:val="285" w:hRule="atLeast"/>
        </w:trPr>
        <w:tc>
          <w:tcPr>
            <w:tcW w:w="1096" w:type="dxa"/>
            <w:tcBorders>
              <w:top w:val="nil"/>
              <w:left w:val="nil"/>
              <w:bottom w:val="nil"/>
              <w:right w:val="nil"/>
            </w:tcBorders>
            <w:noWrap/>
            <w:vAlign w:val="bottom"/>
          </w:tcPr>
          <w:p>
            <w:pPr>
              <w:widowControl/>
              <w:jc w:val="left"/>
              <w:rPr>
                <w:rFonts w:ascii="宋体" w:hAnsi="宋体" w:cs="宋体"/>
                <w:kern w:val="0"/>
                <w:sz w:val="24"/>
              </w:rPr>
            </w:pPr>
          </w:p>
        </w:tc>
        <w:tc>
          <w:tcPr>
            <w:tcW w:w="856" w:type="dxa"/>
            <w:tcBorders>
              <w:top w:val="nil"/>
              <w:left w:val="nil"/>
              <w:bottom w:val="nil"/>
              <w:right w:val="nil"/>
            </w:tcBorders>
            <w:noWrap/>
            <w:vAlign w:val="bottom"/>
          </w:tcPr>
          <w:p>
            <w:pPr>
              <w:widowControl/>
              <w:jc w:val="left"/>
              <w:rPr>
                <w:rFonts w:ascii="宋体" w:hAnsi="宋体" w:cs="宋体"/>
                <w:kern w:val="0"/>
                <w:sz w:val="24"/>
              </w:rPr>
            </w:pPr>
          </w:p>
        </w:tc>
        <w:tc>
          <w:tcPr>
            <w:tcW w:w="1796" w:type="dxa"/>
            <w:tcBorders>
              <w:top w:val="nil"/>
              <w:left w:val="nil"/>
              <w:bottom w:val="nil"/>
              <w:right w:val="nil"/>
            </w:tcBorders>
            <w:noWrap/>
            <w:vAlign w:val="bottom"/>
          </w:tcPr>
          <w:p>
            <w:pPr>
              <w:widowControl/>
              <w:jc w:val="left"/>
              <w:rPr>
                <w:rFonts w:ascii="宋体" w:hAnsi="宋体" w:cs="宋体"/>
                <w:kern w:val="0"/>
                <w:sz w:val="24"/>
              </w:rPr>
            </w:pPr>
          </w:p>
        </w:tc>
        <w:tc>
          <w:tcPr>
            <w:tcW w:w="1545" w:type="dxa"/>
            <w:tcBorders>
              <w:top w:val="nil"/>
              <w:left w:val="nil"/>
              <w:bottom w:val="nil"/>
              <w:right w:val="nil"/>
            </w:tcBorders>
            <w:noWrap/>
            <w:vAlign w:val="bottom"/>
          </w:tcPr>
          <w:p>
            <w:pPr>
              <w:widowControl/>
              <w:jc w:val="left"/>
              <w:rPr>
                <w:rFonts w:ascii="宋体" w:hAnsi="宋体" w:cs="宋体"/>
                <w:kern w:val="0"/>
                <w:sz w:val="24"/>
              </w:rPr>
            </w:pPr>
          </w:p>
        </w:tc>
        <w:tc>
          <w:tcPr>
            <w:tcW w:w="2235" w:type="dxa"/>
            <w:tcBorders>
              <w:top w:val="nil"/>
              <w:left w:val="nil"/>
              <w:bottom w:val="nil"/>
              <w:right w:val="nil"/>
            </w:tcBorders>
            <w:noWrap/>
            <w:vAlign w:val="bottom"/>
          </w:tcPr>
          <w:p>
            <w:pPr>
              <w:widowControl/>
              <w:jc w:val="left"/>
              <w:rPr>
                <w:rFonts w:ascii="宋体" w:hAnsi="宋体" w:cs="宋体"/>
                <w:kern w:val="0"/>
                <w:sz w:val="24"/>
              </w:rPr>
            </w:pPr>
          </w:p>
        </w:tc>
        <w:tc>
          <w:tcPr>
            <w:tcW w:w="1236" w:type="dxa"/>
            <w:tcBorders>
              <w:top w:val="nil"/>
              <w:left w:val="nil"/>
              <w:bottom w:val="nil"/>
              <w:right w:val="nil"/>
            </w:tcBorders>
            <w:noWrap/>
            <w:vAlign w:val="bottom"/>
          </w:tcPr>
          <w:p>
            <w:pPr>
              <w:widowControl/>
              <w:jc w:val="left"/>
              <w:rPr>
                <w:rFonts w:ascii="宋体" w:hAnsi="宋体" w:cs="宋体"/>
                <w:kern w:val="0"/>
                <w:sz w:val="24"/>
              </w:rPr>
            </w:pPr>
          </w:p>
        </w:tc>
        <w:tc>
          <w:tcPr>
            <w:tcW w:w="1456" w:type="dxa"/>
            <w:tcBorders>
              <w:top w:val="nil"/>
              <w:left w:val="nil"/>
              <w:bottom w:val="nil"/>
              <w:right w:val="nil"/>
            </w:tcBorders>
            <w:noWrap/>
            <w:vAlign w:val="bottom"/>
          </w:tcPr>
          <w:p>
            <w:pPr>
              <w:widowControl/>
              <w:jc w:val="left"/>
              <w:rPr>
                <w:rFonts w:ascii="宋体" w:hAnsi="宋体" w:cs="宋体"/>
                <w:kern w:val="0"/>
                <w:sz w:val="24"/>
              </w:rPr>
            </w:pPr>
          </w:p>
        </w:tc>
        <w:tc>
          <w:tcPr>
            <w:tcW w:w="1376" w:type="dxa"/>
            <w:tcBorders>
              <w:top w:val="nil"/>
              <w:left w:val="nil"/>
              <w:bottom w:val="nil"/>
              <w:right w:val="nil"/>
            </w:tcBorders>
            <w:noWrap/>
            <w:vAlign w:val="bottom"/>
          </w:tcPr>
          <w:p>
            <w:pPr>
              <w:widowControl/>
              <w:jc w:val="left"/>
              <w:rPr>
                <w:rFonts w:ascii="宋体" w:hAnsi="宋体" w:cs="宋体"/>
                <w:kern w:val="0"/>
                <w:sz w:val="24"/>
              </w:rPr>
            </w:pPr>
          </w:p>
        </w:tc>
        <w:tc>
          <w:tcPr>
            <w:tcW w:w="1576" w:type="dxa"/>
            <w:tcBorders>
              <w:top w:val="nil"/>
              <w:left w:val="nil"/>
              <w:bottom w:val="nil"/>
              <w:right w:val="nil"/>
            </w:tcBorders>
            <w:noWrap/>
            <w:vAlign w:val="bottom"/>
          </w:tcPr>
          <w:p>
            <w:pPr>
              <w:widowControl/>
              <w:jc w:val="left"/>
              <w:rPr>
                <w:rFonts w:ascii="宋体" w:hAnsi="宋体" w:cs="宋体"/>
                <w:kern w:val="0"/>
                <w:sz w:val="24"/>
              </w:rPr>
            </w:pPr>
          </w:p>
        </w:tc>
      </w:tr>
      <w:tr>
        <w:tblPrEx>
          <w:tblCellMar>
            <w:top w:w="0" w:type="dxa"/>
            <w:left w:w="108" w:type="dxa"/>
            <w:bottom w:w="0" w:type="dxa"/>
            <w:right w:w="108" w:type="dxa"/>
          </w:tblCellMar>
        </w:tblPrEx>
        <w:trPr>
          <w:trHeight w:val="1740" w:hRule="atLeast"/>
        </w:trPr>
        <w:tc>
          <w:tcPr>
            <w:tcW w:w="10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专项资金资金到达财政部门</w:t>
            </w:r>
          </w:p>
        </w:tc>
        <w:tc>
          <w:tcPr>
            <w:tcW w:w="856" w:type="dxa"/>
            <w:tcBorders>
              <w:top w:val="nil"/>
              <w:left w:val="nil"/>
              <w:bottom w:val="nil"/>
              <w:right w:val="nil"/>
            </w:tcBorders>
            <w:noWrap/>
            <w:vAlign w:val="bottom"/>
          </w:tcPr>
          <w:p>
            <w:pPr>
              <w:widowControl/>
              <w:jc w:val="left"/>
              <w:rPr>
                <w:rFonts w:ascii="宋体" w:hAnsi="宋体" w:cs="宋体"/>
                <w:kern w:val="0"/>
                <w:sz w:val="24"/>
              </w:rPr>
            </w:pPr>
            <w:r>
              <w:rPr>
                <w:rFonts w:ascii="宋体" w:hAnsi="宋体" w:cs="宋体"/>
                <w:kern w:val="0"/>
                <w:sz w:val="24"/>
              </w:rPr>
              <mc:AlternateContent>
                <mc:Choice Requires="wps">
                  <w:drawing>
                    <wp:anchor distT="0" distB="0" distL="114300" distR="114300" simplePos="0" relativeHeight="251740160" behindDoc="0" locked="0" layoutInCell="1" allowOverlap="1">
                      <wp:simplePos x="0" y="0"/>
                      <wp:positionH relativeFrom="column">
                        <wp:posOffset>19050</wp:posOffset>
                      </wp:positionH>
                      <wp:positionV relativeFrom="paragraph">
                        <wp:posOffset>762000</wp:posOffset>
                      </wp:positionV>
                      <wp:extent cx="523875" cy="0"/>
                      <wp:effectExtent l="0" t="38100" r="9525" b="38100"/>
                      <wp:wrapNone/>
                      <wp:docPr id="10" name="直接连接符 10"/>
                      <wp:cNvGraphicFramePr/>
                      <a:graphic xmlns:a="http://schemas.openxmlformats.org/drawingml/2006/main">
                        <a:graphicData uri="http://schemas.microsoft.com/office/word/2010/wordprocessingShape">
                          <wps:wsp>
                            <wps:cNvCnPr/>
                            <wps:spPr>
                              <a:xfrm>
                                <a:off x="0" y="0"/>
                                <a:ext cx="523875"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5pt;margin-top:60pt;height:0pt;width:41.25pt;z-index:251740160;mso-width-relative:page;mso-height-relative:page;" filled="f" stroked="t" coordsize="21600,21600" o:gfxdata="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abyWPWAAAACAEAAA8AAAAAAAAAAQAgAAAAIgAAAGRycy9kb3ducmV2LnhtbFBL&#10;AQIUABQAAAAIAIdO4kBxvBli+AEAAOsDAAAOAAAAAAAAAAEAIAAAACUBAABkcnMvZTJvRG9jLnht&#10;bFBLBQYAAAAABgAGAFkBAACPBQ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1741184" behindDoc="0" locked="0" layoutInCell="1" allowOverlap="1">
                      <wp:simplePos x="0" y="0"/>
                      <wp:positionH relativeFrom="column">
                        <wp:posOffset>1666875</wp:posOffset>
                      </wp:positionH>
                      <wp:positionV relativeFrom="paragraph">
                        <wp:posOffset>733425</wp:posOffset>
                      </wp:positionV>
                      <wp:extent cx="981075" cy="0"/>
                      <wp:effectExtent l="0" t="38100" r="9525" b="38100"/>
                      <wp:wrapNone/>
                      <wp:docPr id="9" name="直接连接符 9"/>
                      <wp:cNvGraphicFramePr/>
                      <a:graphic xmlns:a="http://schemas.openxmlformats.org/drawingml/2006/main">
                        <a:graphicData uri="http://schemas.microsoft.com/office/word/2010/wordprocessingShape">
                          <wps:wsp>
                            <wps:cNvCnPr/>
                            <wps:spPr>
                              <a:xfrm>
                                <a:off x="0" y="0"/>
                                <a:ext cx="981075"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31.25pt;margin-top:57.75pt;height:0pt;width:77.25pt;z-index:251741184;mso-width-relative:page;mso-height-relative:page;" filled="f" stroked="t" coordsize="21600,21600" o:gfxdata="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UhACq2QAAAAsBAAAPAAAAAAAAAAEAIAAAACIAAABkcnMvZG93bnJldi54bWxQ&#10;SwECFAAUAAAACACHTuJAbqGjifYBAADpAwAADgAAAAAAAAABACAAAAAoAQAAZHJzL2Uyb0RvYy54&#10;bWxQSwUGAAAAAAYABgBZAQAAkAUAAAAA&#10;">
                      <v:fill on="f" focussize="0,0"/>
                      <v:stroke color="#000000" joinstyle="round" endarrow="block"/>
                      <v:imagedata o:title=""/>
                      <o:lock v:ext="edit" aspectratio="f"/>
                    </v:line>
                  </w:pict>
                </mc:Fallback>
              </mc:AlternateContent>
            </w:r>
          </w:p>
          <w:tbl>
            <w:tblPr>
              <w:tblStyle w:val="10"/>
              <w:tblW w:w="0" w:type="auto"/>
              <w:tblCellSpacing w:w="0" w:type="dxa"/>
              <w:tblInd w:w="0" w:type="dxa"/>
              <w:tblLayout w:type="autofit"/>
              <w:tblCellMar>
                <w:top w:w="0" w:type="dxa"/>
                <w:left w:w="0" w:type="dxa"/>
                <w:bottom w:w="0" w:type="dxa"/>
                <w:right w:w="0" w:type="dxa"/>
              </w:tblCellMar>
            </w:tblPr>
            <w:tblGrid>
              <w:gridCol w:w="640"/>
            </w:tblGrid>
            <w:tr>
              <w:tblPrEx>
                <w:tblCellMar>
                  <w:top w:w="0" w:type="dxa"/>
                  <w:left w:w="0" w:type="dxa"/>
                  <w:bottom w:w="0" w:type="dxa"/>
                  <w:right w:w="0" w:type="dxa"/>
                </w:tblCellMar>
              </w:tblPrEx>
              <w:trPr>
                <w:trHeight w:val="1740" w:hRule="atLeast"/>
                <w:tblCellSpacing w:w="0" w:type="dxa"/>
              </w:trPr>
              <w:tc>
                <w:tcPr>
                  <w:tcW w:w="840" w:type="dxa"/>
                  <w:tcBorders>
                    <w:top w:val="nil"/>
                    <w:left w:val="nil"/>
                    <w:bottom w:val="nil"/>
                    <w:right w:val="nil"/>
                  </w:tcBorders>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二个工作日内</w:t>
                  </w:r>
                </w:p>
              </w:tc>
            </w:tr>
          </w:tbl>
          <w:p>
            <w:pPr>
              <w:widowControl/>
              <w:jc w:val="left"/>
              <w:rPr>
                <w:rFonts w:ascii="宋体" w:hAnsi="宋体" w:cs="宋体"/>
                <w:kern w:val="0"/>
                <w:sz w:val="24"/>
              </w:rPr>
            </w:pPr>
          </w:p>
        </w:tc>
        <w:tc>
          <w:tcPr>
            <w:tcW w:w="17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财政部门向项目单位下达告知书</w:t>
            </w:r>
          </w:p>
        </w:tc>
        <w:tc>
          <w:tcPr>
            <w:tcW w:w="1545" w:type="dxa"/>
            <w:tcBorders>
              <w:top w:val="nil"/>
              <w:left w:val="nil"/>
              <w:bottom w:val="nil"/>
              <w:right w:val="nil"/>
            </w:tcBorders>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向项目单位出具所需材料清单</w:t>
            </w:r>
          </w:p>
        </w:tc>
        <w:tc>
          <w:tcPr>
            <w:tcW w:w="223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项目单位向财政部门提出申请，按要求提供有关项目资料</w:t>
            </w:r>
          </w:p>
        </w:tc>
        <w:tc>
          <w:tcPr>
            <w:tcW w:w="1236" w:type="dxa"/>
            <w:tcBorders>
              <w:top w:val="nil"/>
              <w:left w:val="nil"/>
              <w:bottom w:val="nil"/>
              <w:right w:val="nil"/>
            </w:tcBorders>
            <w:noWrap/>
            <w:vAlign w:val="bottom"/>
          </w:tcPr>
          <w:p>
            <w:pPr>
              <w:widowControl/>
              <w:jc w:val="left"/>
              <w:rPr>
                <w:rFonts w:ascii="宋体" w:hAnsi="宋体" w:cs="宋体"/>
                <w:kern w:val="0"/>
                <w:sz w:val="24"/>
              </w:rPr>
            </w:pPr>
            <w:r>
              <w:rPr>
                <w:rFonts w:ascii="宋体" w:hAnsi="宋体" w:cs="宋体"/>
                <w:kern w:val="0"/>
                <w:sz w:val="24"/>
              </w:rPr>
              <mc:AlternateContent>
                <mc:Choice Requires="wps">
                  <w:drawing>
                    <wp:anchor distT="0" distB="0" distL="114300" distR="114300" simplePos="0" relativeHeight="251742208" behindDoc="0" locked="0" layoutInCell="1" allowOverlap="1">
                      <wp:simplePos x="0" y="0"/>
                      <wp:positionH relativeFrom="column">
                        <wp:posOffset>19050</wp:posOffset>
                      </wp:positionH>
                      <wp:positionV relativeFrom="paragraph">
                        <wp:posOffset>790575</wp:posOffset>
                      </wp:positionV>
                      <wp:extent cx="762000" cy="0"/>
                      <wp:effectExtent l="0" t="38100" r="0" b="38100"/>
                      <wp:wrapNone/>
                      <wp:docPr id="8" name="直接连接符 8"/>
                      <wp:cNvGraphicFramePr/>
                      <a:graphic xmlns:a="http://schemas.openxmlformats.org/drawingml/2006/main">
                        <a:graphicData uri="http://schemas.microsoft.com/office/word/2010/wordprocessingShape">
                          <wps:wsp>
                            <wps:cNvCnPr/>
                            <wps:spPr>
                              <a:xfrm>
                                <a:off x="0" y="0"/>
                                <a:ext cx="76200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5pt;margin-top:62.25pt;height:0pt;width:60pt;z-index:251742208;mso-width-relative:page;mso-height-relative:page;" filled="f" stroked="t" coordsize="21600,21600" o:gfxdata="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MTrzNYAAAAJAQAADwAAAAAAAAABACAAAAAiAAAAZHJzL2Rvd25yZXYueG1sUEsB&#10;AhQAFAAAAAgAh07iQBQdAgX3AQAA6QMAAA4AAAAAAAAAAQAgAAAAJQEAAGRycy9lMm9Eb2MueG1s&#10;UEsFBgAAAAAGAAYAWQEAAI4FAAAAAA==&#10;">
                      <v:fill on="f" focussize="0,0"/>
                      <v:stroke color="#000000" joinstyle="round" endarrow="block"/>
                      <v:imagedata o:title=""/>
                      <o:lock v:ext="edit" aspectratio="f"/>
                    </v:line>
                  </w:pict>
                </mc:Fallback>
              </mc:AlternateContent>
            </w:r>
          </w:p>
          <w:tbl>
            <w:tblPr>
              <w:tblStyle w:val="10"/>
              <w:tblW w:w="0" w:type="auto"/>
              <w:tblCellSpacing w:w="0" w:type="dxa"/>
              <w:tblInd w:w="0" w:type="dxa"/>
              <w:tblLayout w:type="autofit"/>
              <w:tblCellMar>
                <w:top w:w="0" w:type="dxa"/>
                <w:left w:w="0" w:type="dxa"/>
                <w:bottom w:w="0" w:type="dxa"/>
                <w:right w:w="0" w:type="dxa"/>
              </w:tblCellMar>
            </w:tblPr>
            <w:tblGrid>
              <w:gridCol w:w="1020"/>
            </w:tblGrid>
            <w:tr>
              <w:tblPrEx>
                <w:tblCellMar>
                  <w:top w:w="0" w:type="dxa"/>
                  <w:left w:w="0" w:type="dxa"/>
                  <w:bottom w:w="0" w:type="dxa"/>
                  <w:right w:w="0" w:type="dxa"/>
                </w:tblCellMar>
              </w:tblPrEx>
              <w:trPr>
                <w:trHeight w:val="1740" w:hRule="atLeast"/>
                <w:tblCellSpacing w:w="0" w:type="dxa"/>
              </w:trPr>
              <w:tc>
                <w:tcPr>
                  <w:tcW w:w="1220" w:type="dxa"/>
                  <w:tcBorders>
                    <w:top w:val="nil"/>
                    <w:left w:val="nil"/>
                    <w:bottom w:val="nil"/>
                    <w:right w:val="single" w:color="auto" w:sz="4" w:space="0"/>
                  </w:tcBorders>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联系评审中心下达评审委托</w:t>
                  </w:r>
                </w:p>
              </w:tc>
            </w:tr>
          </w:tbl>
          <w:p>
            <w:pPr>
              <w:widowControl/>
              <w:jc w:val="left"/>
              <w:rPr>
                <w:rFonts w:ascii="宋体" w:hAnsi="宋体" w:cs="宋体"/>
                <w:kern w:val="0"/>
                <w:sz w:val="24"/>
              </w:rPr>
            </w:pPr>
          </w:p>
        </w:tc>
        <w:tc>
          <w:tcPr>
            <w:tcW w:w="145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需要评审的项目需按要求进行内审及评审</w:t>
            </w:r>
          </w:p>
        </w:tc>
        <w:tc>
          <w:tcPr>
            <w:tcW w:w="1376" w:type="dxa"/>
            <w:tcBorders>
              <w:top w:val="nil"/>
              <w:left w:val="nil"/>
              <w:bottom w:val="nil"/>
              <w:right w:val="nil"/>
            </w:tcBorders>
            <w:noWrap/>
            <w:vAlign w:val="bottom"/>
          </w:tcPr>
          <w:p>
            <w:pPr>
              <w:widowControl/>
              <w:jc w:val="left"/>
              <w:rPr>
                <w:rFonts w:ascii="宋体" w:hAnsi="宋体" w:cs="宋体"/>
                <w:kern w:val="0"/>
                <w:sz w:val="24"/>
              </w:rPr>
            </w:pPr>
            <w:r>
              <w:rPr>
                <w:rFonts w:ascii="宋体" w:hAnsi="宋体" w:cs="宋体"/>
                <w:kern w:val="0"/>
                <w:sz w:val="24"/>
              </w:rPr>
              <mc:AlternateContent>
                <mc:Choice Requires="wps">
                  <w:drawing>
                    <wp:anchor distT="0" distB="0" distL="114300" distR="114300" simplePos="0" relativeHeight="251743232" behindDoc="0" locked="0" layoutInCell="1" allowOverlap="1">
                      <wp:simplePos x="0" y="0"/>
                      <wp:positionH relativeFrom="column">
                        <wp:posOffset>19050</wp:posOffset>
                      </wp:positionH>
                      <wp:positionV relativeFrom="paragraph">
                        <wp:posOffset>762000</wp:posOffset>
                      </wp:positionV>
                      <wp:extent cx="847725" cy="0"/>
                      <wp:effectExtent l="0" t="38100" r="9525" b="38100"/>
                      <wp:wrapNone/>
                      <wp:docPr id="3" name="直接连接符 3"/>
                      <wp:cNvGraphicFramePr/>
                      <a:graphic xmlns:a="http://schemas.openxmlformats.org/drawingml/2006/main">
                        <a:graphicData uri="http://schemas.microsoft.com/office/word/2010/wordprocessingShape">
                          <wps:wsp>
                            <wps:cNvCnPr/>
                            <wps:spPr>
                              <a:xfrm>
                                <a:off x="0" y="0"/>
                                <a:ext cx="847725"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5pt;margin-top:60pt;height:0pt;width:66.75pt;z-index:251743232;mso-width-relative:page;mso-height-relative:page;" filled="f" stroked="t" coordsize="21600,21600" o:gfxdata="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BP9AbXAAAACQEAAA8AAAAAAAAAAQAgAAAAIgAAAGRycy9kb3ducmV2LnhtbFBL&#10;AQIUABQAAAAIAIdO4kC+05Ih9wEAAOkDAAAOAAAAAAAAAAEAIAAAACYBAABkcnMvZTJvRG9jLnht&#10;bFBLBQYAAAAABgAGAFkBAACPBQAAAAA=&#10;">
                      <v:fill on="f" focussize="0,0"/>
                      <v:stroke color="#000000" joinstyle="round" endarrow="block"/>
                      <v:imagedata o:title=""/>
                      <o:lock v:ext="edit" aspectratio="f"/>
                    </v:line>
                  </w:pict>
                </mc:Fallback>
              </mc:AlternateContent>
            </w:r>
          </w:p>
          <w:tbl>
            <w:tblPr>
              <w:tblStyle w:val="10"/>
              <w:tblW w:w="0" w:type="auto"/>
              <w:tblCellSpacing w:w="0" w:type="dxa"/>
              <w:tblInd w:w="0" w:type="dxa"/>
              <w:tblLayout w:type="autofit"/>
              <w:tblCellMar>
                <w:top w:w="0" w:type="dxa"/>
                <w:left w:w="0" w:type="dxa"/>
                <w:bottom w:w="0" w:type="dxa"/>
                <w:right w:w="0" w:type="dxa"/>
              </w:tblCellMar>
            </w:tblPr>
            <w:tblGrid>
              <w:gridCol w:w="1160"/>
            </w:tblGrid>
            <w:tr>
              <w:tblPrEx>
                <w:tblCellMar>
                  <w:top w:w="0" w:type="dxa"/>
                  <w:left w:w="0" w:type="dxa"/>
                  <w:bottom w:w="0" w:type="dxa"/>
                  <w:right w:w="0" w:type="dxa"/>
                </w:tblCellMar>
              </w:tblPrEx>
              <w:trPr>
                <w:trHeight w:val="1740" w:hRule="atLeast"/>
                <w:tblCellSpacing w:w="0" w:type="dxa"/>
              </w:trPr>
              <w:tc>
                <w:tcPr>
                  <w:tcW w:w="1360" w:type="dxa"/>
                  <w:tcBorders>
                    <w:top w:val="nil"/>
                    <w:left w:val="nil"/>
                    <w:bottom w:val="nil"/>
                    <w:right w:val="nil"/>
                  </w:tcBorders>
                  <w:vAlign w:val="center"/>
                </w:tcPr>
                <w:p>
                  <w:pPr>
                    <w:widowControl/>
                    <w:jc w:val="left"/>
                    <w:rPr>
                      <w:rFonts w:ascii="仿宋_GB2312" w:hAnsi="宋体" w:eastAsia="仿宋_GB2312" w:cs="宋体"/>
                      <w:kern w:val="0"/>
                      <w:sz w:val="20"/>
                      <w:szCs w:val="20"/>
                    </w:rPr>
                  </w:pPr>
                  <w:r>
                    <w:rPr>
                      <w:rFonts w:hint="eastAsia" w:ascii="仿宋_GB2312" w:hAnsi="宋体" w:eastAsia="仿宋_GB2312" w:cs="宋体"/>
                      <w:kern w:val="0"/>
                      <w:sz w:val="20"/>
                      <w:szCs w:val="20"/>
                    </w:rPr>
                    <w:t>指导项目单位完善相关资料</w:t>
                  </w:r>
                </w:p>
              </w:tc>
            </w:tr>
          </w:tbl>
          <w:p>
            <w:pPr>
              <w:widowControl/>
              <w:jc w:val="left"/>
              <w:rPr>
                <w:rFonts w:ascii="宋体" w:hAnsi="宋体" w:cs="宋体"/>
                <w:kern w:val="0"/>
                <w:sz w:val="24"/>
              </w:rPr>
            </w:pPr>
          </w:p>
        </w:tc>
        <w:tc>
          <w:tcPr>
            <w:tcW w:w="15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财政审核，需报新区领导签批的报送新区领导</w:t>
            </w:r>
          </w:p>
        </w:tc>
      </w:tr>
      <w:tr>
        <w:tblPrEx>
          <w:tblCellMar>
            <w:top w:w="0" w:type="dxa"/>
            <w:left w:w="108" w:type="dxa"/>
            <w:bottom w:w="0" w:type="dxa"/>
            <w:right w:w="108" w:type="dxa"/>
          </w:tblCellMar>
        </w:tblPrEx>
        <w:trPr>
          <w:trHeight w:val="750" w:hRule="atLeast"/>
        </w:trPr>
        <w:tc>
          <w:tcPr>
            <w:tcW w:w="1096" w:type="dxa"/>
            <w:tcBorders>
              <w:top w:val="nil"/>
              <w:left w:val="nil"/>
              <w:bottom w:val="nil"/>
              <w:right w:val="nil"/>
            </w:tcBorders>
            <w:noWrap/>
            <w:vAlign w:val="bottom"/>
          </w:tcPr>
          <w:p>
            <w:pPr>
              <w:widowControl/>
              <w:jc w:val="left"/>
              <w:rPr>
                <w:rFonts w:ascii="宋体" w:hAnsi="宋体" w:cs="宋体"/>
                <w:kern w:val="0"/>
                <w:sz w:val="24"/>
              </w:rPr>
            </w:pPr>
          </w:p>
        </w:tc>
        <w:tc>
          <w:tcPr>
            <w:tcW w:w="856" w:type="dxa"/>
            <w:tcBorders>
              <w:top w:val="nil"/>
              <w:left w:val="nil"/>
              <w:bottom w:val="nil"/>
              <w:right w:val="nil"/>
            </w:tcBorders>
            <w:noWrap/>
            <w:vAlign w:val="bottom"/>
          </w:tcPr>
          <w:p>
            <w:pPr>
              <w:widowControl/>
              <w:jc w:val="left"/>
              <w:rPr>
                <w:rFonts w:ascii="宋体" w:hAnsi="宋体" w:cs="宋体"/>
                <w:kern w:val="0"/>
                <w:sz w:val="24"/>
              </w:rPr>
            </w:pPr>
          </w:p>
        </w:tc>
        <w:tc>
          <w:tcPr>
            <w:tcW w:w="1796" w:type="dxa"/>
            <w:tcBorders>
              <w:top w:val="nil"/>
              <w:left w:val="nil"/>
              <w:bottom w:val="nil"/>
              <w:right w:val="nil"/>
            </w:tcBorders>
            <w:noWrap/>
            <w:vAlign w:val="bottom"/>
          </w:tcPr>
          <w:p>
            <w:pPr>
              <w:widowControl/>
              <w:jc w:val="left"/>
              <w:rPr>
                <w:rFonts w:ascii="宋体" w:hAnsi="宋体" w:cs="宋体"/>
                <w:kern w:val="0"/>
                <w:sz w:val="24"/>
              </w:rPr>
            </w:pPr>
          </w:p>
        </w:tc>
        <w:tc>
          <w:tcPr>
            <w:tcW w:w="1545" w:type="dxa"/>
            <w:tcBorders>
              <w:top w:val="nil"/>
              <w:left w:val="nil"/>
              <w:bottom w:val="nil"/>
              <w:right w:val="nil"/>
            </w:tcBorders>
            <w:noWrap/>
            <w:vAlign w:val="bottom"/>
          </w:tcPr>
          <w:p>
            <w:pPr>
              <w:widowControl/>
              <w:jc w:val="left"/>
              <w:rPr>
                <w:rFonts w:ascii="宋体" w:hAnsi="宋体" w:cs="宋体"/>
                <w:kern w:val="0"/>
                <w:sz w:val="24"/>
              </w:rPr>
            </w:pPr>
          </w:p>
        </w:tc>
        <w:tc>
          <w:tcPr>
            <w:tcW w:w="2235" w:type="dxa"/>
            <w:tcBorders>
              <w:top w:val="nil"/>
              <w:left w:val="nil"/>
              <w:bottom w:val="nil"/>
              <w:right w:val="nil"/>
            </w:tcBorders>
            <w:noWrap/>
            <w:vAlign w:val="bottom"/>
          </w:tcPr>
          <w:p>
            <w:pPr>
              <w:widowControl/>
              <w:jc w:val="left"/>
              <w:rPr>
                <w:rFonts w:ascii="宋体" w:hAnsi="宋体" w:cs="宋体"/>
                <w:kern w:val="0"/>
                <w:sz w:val="24"/>
              </w:rPr>
            </w:pPr>
          </w:p>
        </w:tc>
        <w:tc>
          <w:tcPr>
            <w:tcW w:w="1236" w:type="dxa"/>
            <w:tcBorders>
              <w:top w:val="nil"/>
              <w:left w:val="nil"/>
              <w:bottom w:val="nil"/>
              <w:right w:val="nil"/>
            </w:tcBorders>
            <w:noWrap/>
            <w:vAlign w:val="bottom"/>
          </w:tcPr>
          <w:p>
            <w:pPr>
              <w:widowControl/>
              <w:jc w:val="left"/>
              <w:rPr>
                <w:rFonts w:ascii="宋体" w:hAnsi="宋体" w:cs="宋体"/>
                <w:kern w:val="0"/>
                <w:sz w:val="24"/>
              </w:rPr>
            </w:pPr>
          </w:p>
        </w:tc>
        <w:tc>
          <w:tcPr>
            <w:tcW w:w="1456" w:type="dxa"/>
            <w:tcBorders>
              <w:top w:val="nil"/>
              <w:left w:val="nil"/>
              <w:bottom w:val="nil"/>
              <w:right w:val="nil"/>
            </w:tcBorders>
            <w:noWrap/>
            <w:vAlign w:val="bottom"/>
          </w:tcPr>
          <w:p>
            <w:pPr>
              <w:widowControl/>
              <w:jc w:val="left"/>
              <w:rPr>
                <w:rFonts w:ascii="宋体" w:hAnsi="宋体" w:cs="宋体"/>
                <w:kern w:val="0"/>
                <w:sz w:val="24"/>
              </w:rPr>
            </w:pPr>
          </w:p>
        </w:tc>
        <w:tc>
          <w:tcPr>
            <w:tcW w:w="1376" w:type="dxa"/>
            <w:tcBorders>
              <w:top w:val="nil"/>
              <w:left w:val="nil"/>
              <w:bottom w:val="nil"/>
              <w:right w:val="nil"/>
            </w:tcBorders>
            <w:noWrap/>
            <w:vAlign w:val="bottom"/>
          </w:tcPr>
          <w:p>
            <w:pPr>
              <w:widowControl/>
              <w:jc w:val="left"/>
              <w:rPr>
                <w:rFonts w:ascii="宋体" w:hAnsi="宋体" w:cs="宋体"/>
                <w:kern w:val="0"/>
                <w:sz w:val="24"/>
              </w:rPr>
            </w:pPr>
          </w:p>
        </w:tc>
        <w:tc>
          <w:tcPr>
            <w:tcW w:w="1576" w:type="dxa"/>
            <w:tcBorders>
              <w:top w:val="nil"/>
              <w:left w:val="nil"/>
              <w:bottom w:val="nil"/>
              <w:right w:val="nil"/>
            </w:tcBorders>
            <w:noWrap/>
            <w:vAlign w:val="bottom"/>
          </w:tcPr>
          <w:p>
            <w:pPr>
              <w:widowControl/>
              <w:jc w:val="left"/>
              <w:rPr>
                <w:rFonts w:ascii="宋体" w:hAnsi="宋体" w:cs="宋体"/>
                <w:kern w:val="0"/>
                <w:sz w:val="24"/>
              </w:rPr>
            </w:pPr>
            <w:r>
              <w:rPr>
                <w:rFonts w:ascii="宋体" w:hAnsi="宋体" w:cs="宋体"/>
                <w:kern w:val="0"/>
                <w:sz w:val="24"/>
              </w:rPr>
              <mc:AlternateContent>
                <mc:Choice Requires="wps">
                  <w:drawing>
                    <wp:anchor distT="0" distB="0" distL="114300" distR="114300" simplePos="0" relativeHeight="251744256" behindDoc="0" locked="0" layoutInCell="1" allowOverlap="1">
                      <wp:simplePos x="0" y="0"/>
                      <wp:positionH relativeFrom="column">
                        <wp:posOffset>400050</wp:posOffset>
                      </wp:positionH>
                      <wp:positionV relativeFrom="paragraph">
                        <wp:posOffset>9525</wp:posOffset>
                      </wp:positionV>
                      <wp:extent cx="0" cy="466725"/>
                      <wp:effectExtent l="38100" t="0" r="38100" b="9525"/>
                      <wp:wrapNone/>
                      <wp:docPr id="4" name="直接连接符 4"/>
                      <wp:cNvGraphicFramePr/>
                      <a:graphic xmlns:a="http://schemas.openxmlformats.org/drawingml/2006/main">
                        <a:graphicData uri="http://schemas.microsoft.com/office/word/2010/wordprocessingShape">
                          <wps:wsp>
                            <wps:cNvCnPr/>
                            <wps:spPr>
                              <a:xfrm>
                                <a:off x="0" y="0"/>
                                <a:ext cx="0" cy="46672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31.5pt;margin-top:0.75pt;height:36.75pt;width:0pt;z-index:251744256;mso-width-relative:page;mso-height-relative:page;" filled="f" stroked="t" coordsize="21600,21600" o:gfxdata="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x69ftYAAAAGAQAADwAAAAAAAAABACAAAAAiAAAAZHJzL2Rvd25yZXYueG1sUEsBAhQA&#10;FAAAAAgAh07iQFmMQAj0AQAA6QMAAA4AAAAAAAAAAQAgAAAAJQEAAGRycy9lMm9Eb2MueG1sUEsF&#10;BgAAAAAGAAYAWQEAAIsFAAAAAA==&#10;">
                      <v:fill on="f" focussize="0,0"/>
                      <v:stroke color="#000000" joinstyle="round" endarrow="block"/>
                      <v:imagedata o:title=""/>
                      <o:lock v:ext="edit" aspectratio="f"/>
                    </v:line>
                  </w:pict>
                </mc:Fallback>
              </mc:AlternateContent>
            </w:r>
          </w:p>
          <w:tbl>
            <w:tblPr>
              <w:tblStyle w:val="10"/>
              <w:tblW w:w="0" w:type="auto"/>
              <w:tblCellSpacing w:w="0" w:type="dxa"/>
              <w:tblInd w:w="0" w:type="dxa"/>
              <w:tblLayout w:type="autofit"/>
              <w:tblCellMar>
                <w:top w:w="0" w:type="dxa"/>
                <w:left w:w="0" w:type="dxa"/>
                <w:bottom w:w="0" w:type="dxa"/>
                <w:right w:w="0" w:type="dxa"/>
              </w:tblCellMar>
            </w:tblPr>
            <w:tblGrid>
              <w:gridCol w:w="1360"/>
            </w:tblGrid>
            <w:tr>
              <w:trPr>
                <w:trHeight w:val="750" w:hRule="atLeast"/>
                <w:tblCellSpacing w:w="0" w:type="dxa"/>
              </w:trPr>
              <w:tc>
                <w:tcPr>
                  <w:tcW w:w="1360" w:type="dxa"/>
                  <w:tcBorders>
                    <w:top w:val="nil"/>
                    <w:left w:val="nil"/>
                    <w:bottom w:val="nil"/>
                    <w:right w:val="nil"/>
                  </w:tcBorders>
                  <w:noWrap/>
                  <w:vAlign w:val="bottom"/>
                </w:tcPr>
                <w:p>
                  <w:pPr>
                    <w:widowControl/>
                    <w:jc w:val="left"/>
                    <w:rPr>
                      <w:rFonts w:ascii="宋体" w:hAnsi="宋体" w:cs="宋体"/>
                      <w:kern w:val="0"/>
                      <w:sz w:val="24"/>
                    </w:rPr>
                  </w:pPr>
                </w:p>
              </w:tc>
            </w:tr>
          </w:tbl>
          <w:p>
            <w:pPr>
              <w:widowControl/>
              <w:jc w:val="left"/>
              <w:rPr>
                <w:rFonts w:ascii="宋体" w:hAnsi="宋体" w:cs="宋体"/>
                <w:kern w:val="0"/>
                <w:sz w:val="24"/>
              </w:rPr>
            </w:pPr>
          </w:p>
        </w:tc>
      </w:tr>
      <w:tr>
        <w:tblPrEx>
          <w:tblCellMar>
            <w:top w:w="0" w:type="dxa"/>
            <w:left w:w="108" w:type="dxa"/>
            <w:bottom w:w="0" w:type="dxa"/>
            <w:right w:w="108" w:type="dxa"/>
          </w:tblCellMar>
        </w:tblPrEx>
        <w:trPr>
          <w:trHeight w:val="2160" w:hRule="atLeast"/>
        </w:trPr>
        <w:tc>
          <w:tcPr>
            <w:tcW w:w="1096" w:type="dxa"/>
            <w:tcBorders>
              <w:top w:val="nil"/>
              <w:left w:val="nil"/>
              <w:bottom w:val="nil"/>
              <w:right w:val="nil"/>
            </w:tcBorders>
            <w:noWrap/>
            <w:vAlign w:val="bottom"/>
          </w:tcPr>
          <w:p>
            <w:pPr>
              <w:widowControl/>
              <w:jc w:val="left"/>
              <w:rPr>
                <w:rFonts w:ascii="宋体" w:hAnsi="宋体" w:cs="宋体"/>
                <w:kern w:val="0"/>
                <w:sz w:val="24"/>
              </w:rPr>
            </w:pPr>
            <w:r>
              <w:rPr>
                <w:rFonts w:ascii="宋体" w:hAnsi="宋体" w:cs="宋体"/>
                <w:kern w:val="0"/>
                <w:sz w:val="24"/>
              </w:rPr>
              <mc:AlternateContent>
                <mc:Choice Requires="wps">
                  <w:drawing>
                    <wp:anchor distT="0" distB="0" distL="114300" distR="114300" simplePos="0" relativeHeight="251748352" behindDoc="0" locked="0" layoutInCell="1" allowOverlap="1">
                      <wp:simplePos x="0" y="0"/>
                      <wp:positionH relativeFrom="column">
                        <wp:posOffset>676275</wp:posOffset>
                      </wp:positionH>
                      <wp:positionV relativeFrom="paragraph">
                        <wp:posOffset>990600</wp:posOffset>
                      </wp:positionV>
                      <wp:extent cx="523875" cy="0"/>
                      <wp:effectExtent l="0" t="38100" r="9525" b="38100"/>
                      <wp:wrapNone/>
                      <wp:docPr id="5" name="直接连接符 5"/>
                      <wp:cNvGraphicFramePr/>
                      <a:graphic xmlns:a="http://schemas.openxmlformats.org/drawingml/2006/main">
                        <a:graphicData uri="http://schemas.microsoft.com/office/word/2010/wordprocessingShape">
                          <wps:wsp>
                            <wps:cNvCnPr/>
                            <wps:spPr>
                              <a:xfrm flipH="1">
                                <a:off x="0" y="0"/>
                                <a:ext cx="523875"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53.25pt;margin-top:78pt;height:0pt;width:41.25pt;z-index:251748352;mso-width-relative:page;mso-height-relative:page;" filled="f" stroked="t" coordsize="21600,21600" o:gfxdata="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ZnSJs1gAAAAsBAAAPAAAAAAAAAAEAIAAAACIAAABkcnMvZG93bnJl&#10;di54bWxQSwECFAAUAAAACACHTuJA8EAvcv8BAADzAwAADgAAAAAAAAABACAAAAAlAQAAZHJzL2Uy&#10;b0RvYy54bWxQSwUGAAAAAAYABgBZAQAAlgUAAAAA&#10;">
                      <v:fill on="f" focussize="0,0"/>
                      <v:stroke color="#000000" joinstyle="round" endarrow="block"/>
                      <v:imagedata o:title=""/>
                      <o:lock v:ext="edit" aspectratio="f"/>
                    </v:line>
                  </w:pict>
                </mc:Fallback>
              </mc:AlternateContent>
            </w:r>
          </w:p>
          <w:tbl>
            <w:tblPr>
              <w:tblStyle w:val="10"/>
              <w:tblW w:w="0" w:type="auto"/>
              <w:tblCellSpacing w:w="0" w:type="dxa"/>
              <w:tblInd w:w="0" w:type="dxa"/>
              <w:tblLayout w:type="autofit"/>
              <w:tblCellMar>
                <w:top w:w="0" w:type="dxa"/>
                <w:left w:w="0" w:type="dxa"/>
                <w:bottom w:w="0" w:type="dxa"/>
                <w:right w:w="0" w:type="dxa"/>
              </w:tblCellMar>
            </w:tblPr>
            <w:tblGrid>
              <w:gridCol w:w="875"/>
            </w:tblGrid>
            <w:tr>
              <w:trPr>
                <w:trHeight w:val="2160" w:hRule="atLeast"/>
                <w:tblCellSpacing w:w="0" w:type="dxa"/>
              </w:trPr>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项目竣工，资金拨付完成</w:t>
                  </w:r>
                </w:p>
              </w:tc>
            </w:tr>
          </w:tbl>
          <w:p>
            <w:pPr>
              <w:widowControl/>
              <w:jc w:val="left"/>
              <w:rPr>
                <w:rFonts w:ascii="宋体" w:hAnsi="宋体" w:cs="宋体"/>
                <w:kern w:val="0"/>
                <w:sz w:val="24"/>
              </w:rPr>
            </w:pPr>
          </w:p>
        </w:tc>
        <w:tc>
          <w:tcPr>
            <w:tcW w:w="856" w:type="dxa"/>
            <w:tcBorders>
              <w:top w:val="nil"/>
              <w:left w:val="nil"/>
              <w:bottom w:val="nil"/>
              <w:right w:val="nil"/>
            </w:tcBorders>
            <w:vAlign w:val="center"/>
          </w:tcPr>
          <w:p>
            <w:pPr>
              <w:widowControl/>
              <w:rPr>
                <w:rFonts w:ascii="仿宋_GB2312" w:hAnsi="宋体" w:eastAsia="仿宋_GB2312" w:cs="宋体"/>
                <w:kern w:val="0"/>
                <w:sz w:val="20"/>
                <w:szCs w:val="20"/>
              </w:rPr>
            </w:pPr>
            <w:r>
              <w:rPr>
                <w:rFonts w:hint="eastAsia" w:ascii="仿宋_GB2312" w:hAnsi="宋体" w:eastAsia="仿宋_GB2312" w:cs="宋体"/>
                <w:kern w:val="0"/>
                <w:sz w:val="20"/>
                <w:szCs w:val="20"/>
              </w:rPr>
              <w:t>项目情况汇报相关新区领导</w:t>
            </w:r>
          </w:p>
        </w:tc>
        <w:tc>
          <w:tcPr>
            <w:tcW w:w="1796" w:type="dxa"/>
            <w:tcBorders>
              <w:top w:val="nil"/>
              <w:left w:val="nil"/>
              <w:bottom w:val="nil"/>
              <w:right w:val="nil"/>
            </w:tcBorders>
            <w:noWrap/>
            <w:vAlign w:val="bottom"/>
          </w:tcPr>
          <w:p>
            <w:pPr>
              <w:widowControl/>
              <w:jc w:val="left"/>
              <w:rPr>
                <w:rFonts w:ascii="宋体" w:hAnsi="宋体" w:cs="宋体"/>
                <w:kern w:val="0"/>
                <w:sz w:val="24"/>
              </w:rPr>
            </w:pPr>
            <w:r>
              <w:rPr>
                <w:rFonts w:ascii="宋体" w:hAnsi="宋体" w:cs="宋体"/>
                <w:kern w:val="0"/>
                <w:sz w:val="24"/>
              </w:rPr>
              <mc:AlternateContent>
                <mc:Choice Requires="wps">
                  <w:drawing>
                    <wp:anchor distT="0" distB="0" distL="114300" distR="114300" simplePos="0" relativeHeight="251747328" behindDoc="0" locked="0" layoutInCell="1" allowOverlap="1">
                      <wp:simplePos x="0" y="0"/>
                      <wp:positionH relativeFrom="column">
                        <wp:posOffset>1123950</wp:posOffset>
                      </wp:positionH>
                      <wp:positionV relativeFrom="paragraph">
                        <wp:posOffset>971550</wp:posOffset>
                      </wp:positionV>
                      <wp:extent cx="1009650" cy="0"/>
                      <wp:effectExtent l="0" t="38100" r="0" b="38100"/>
                      <wp:wrapNone/>
                      <wp:docPr id="2" name="直接连接符 2"/>
                      <wp:cNvGraphicFramePr/>
                      <a:graphic xmlns:a="http://schemas.openxmlformats.org/drawingml/2006/main">
                        <a:graphicData uri="http://schemas.microsoft.com/office/word/2010/wordprocessingShape">
                          <wps:wsp>
                            <wps:cNvCnPr/>
                            <wps:spPr>
                              <a:xfrm flipH="1" flipV="1">
                                <a:off x="0" y="0"/>
                                <a:ext cx="100965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 y;margin-left:88.5pt;margin-top:76.5pt;height:0pt;width:79.5pt;z-index:251747328;mso-width-relative:page;mso-height-relative:page;" filled="f" stroked="t" coordsize="21600,21600" o:gfxdata="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ssJZ7VAAAACwEAAA8AAAAAAAAAAQAgAAAAIgAAAGRycy9k&#10;b3ducmV2LnhtbFBLAQIUABQAAAAIAIdO4kBX8rw2BQIAAP4DAAAOAAAAAAAAAAEAIAAAACQBAABk&#10;cnMvZTJvRG9jLnhtbFBLBQYAAAAABgAGAFkBAACbBQAAAAA=&#10;">
                      <v:fill on="f" focussize="0,0"/>
                      <v:stroke color="#000000" joinstyle="round" endarrow="block"/>
                      <v:imagedata o:title=""/>
                      <o:lock v:ext="edit" aspectratio="f"/>
                    </v:line>
                  </w:pict>
                </mc:Fallback>
              </mc:AlternateContent>
            </w:r>
          </w:p>
          <w:tbl>
            <w:tblPr>
              <w:tblStyle w:val="10"/>
              <w:tblW w:w="0" w:type="auto"/>
              <w:tblCellSpacing w:w="0" w:type="dxa"/>
              <w:tblInd w:w="0" w:type="dxa"/>
              <w:tblLayout w:type="autofit"/>
              <w:tblCellMar>
                <w:top w:w="0" w:type="dxa"/>
                <w:left w:w="0" w:type="dxa"/>
                <w:bottom w:w="0" w:type="dxa"/>
                <w:right w:w="0" w:type="dxa"/>
              </w:tblCellMar>
            </w:tblPr>
            <w:tblGrid>
              <w:gridCol w:w="1575"/>
            </w:tblGrid>
            <w:tr>
              <w:trPr>
                <w:trHeight w:val="2160" w:hRule="atLeast"/>
                <w:tblCellSpacing w:w="0" w:type="dxa"/>
              </w:trPr>
              <w:tc>
                <w:tcPr>
                  <w:tcW w:w="17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验收合格后,在质保期满无质量问题拨付5%质量保证金。如验收出现质量问题将5%质量保证金转做维修费，并追究相关责任人责任</w:t>
                  </w:r>
                </w:p>
              </w:tc>
            </w:tr>
          </w:tbl>
          <w:p>
            <w:pPr>
              <w:widowControl/>
              <w:jc w:val="left"/>
              <w:rPr>
                <w:rFonts w:ascii="宋体" w:hAnsi="宋体" w:cs="宋体"/>
                <w:kern w:val="0"/>
                <w:sz w:val="24"/>
              </w:rPr>
            </w:pPr>
          </w:p>
        </w:tc>
        <w:tc>
          <w:tcPr>
            <w:tcW w:w="1545" w:type="dxa"/>
            <w:tcBorders>
              <w:top w:val="nil"/>
              <w:left w:val="nil"/>
              <w:bottom w:val="nil"/>
              <w:right w:val="nil"/>
            </w:tcBorders>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七个工作日内</w:t>
            </w:r>
          </w:p>
        </w:tc>
        <w:tc>
          <w:tcPr>
            <w:tcW w:w="223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建设项目完工一个月内建设单位提出申请，财政部门会同相关部门对项目进行验收</w:t>
            </w:r>
          </w:p>
        </w:tc>
        <w:tc>
          <w:tcPr>
            <w:tcW w:w="1236" w:type="dxa"/>
            <w:tcBorders>
              <w:top w:val="nil"/>
              <w:left w:val="nil"/>
              <w:bottom w:val="nil"/>
              <w:right w:val="nil"/>
            </w:tcBorders>
            <w:noWrap/>
            <w:vAlign w:val="bottom"/>
          </w:tcPr>
          <w:p>
            <w:pPr>
              <w:widowControl/>
              <w:jc w:val="left"/>
              <w:rPr>
                <w:rFonts w:ascii="宋体" w:hAnsi="宋体" w:cs="宋体"/>
                <w:kern w:val="0"/>
                <w:sz w:val="24"/>
              </w:rPr>
            </w:pPr>
            <w:r>
              <w:rPr>
                <w:rFonts w:ascii="宋体" w:hAnsi="宋体" w:cs="宋体"/>
                <w:kern w:val="0"/>
                <w:sz w:val="24"/>
              </w:rPr>
              <mc:AlternateContent>
                <mc:Choice Requires="wps">
                  <w:drawing>
                    <wp:anchor distT="0" distB="0" distL="114300" distR="114300" simplePos="0" relativeHeight="251746304" behindDoc="0" locked="0" layoutInCell="1" allowOverlap="1">
                      <wp:simplePos x="0" y="0"/>
                      <wp:positionH relativeFrom="column">
                        <wp:posOffset>19050</wp:posOffset>
                      </wp:positionH>
                      <wp:positionV relativeFrom="paragraph">
                        <wp:posOffset>1019175</wp:posOffset>
                      </wp:positionV>
                      <wp:extent cx="723900" cy="0"/>
                      <wp:effectExtent l="0" t="38100" r="0" b="38100"/>
                      <wp:wrapNone/>
                      <wp:docPr id="7" name="直接连接符 7"/>
                      <wp:cNvGraphicFramePr/>
                      <a:graphic xmlns:a="http://schemas.openxmlformats.org/drawingml/2006/main">
                        <a:graphicData uri="http://schemas.microsoft.com/office/word/2010/wordprocessingShape">
                          <wps:wsp>
                            <wps:cNvCnPr/>
                            <wps:spPr>
                              <a:xfrm flipH="1">
                                <a:off x="0" y="0"/>
                                <a:ext cx="72390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1.5pt;margin-top:80.25pt;height:0pt;width:57pt;z-index:251746304;mso-width-relative:page;mso-height-relative:page;" filled="f" stroked="t" coordsize="21600,21600" o:gfxdata="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u8MtYAAAAJAQAADwAAAAAAAAABACAAAAAiAAAAZHJzL2Rvd25y&#10;ZXYueG1sUEsBAhQAFAAAAAgAh07iQBXMFusAAgAA8wMAAA4AAAAAAAAAAQAgAAAAJQEAAGRycy9l&#10;Mm9Eb2MueG1sUEsFBgAAAAAGAAYAWQEAAJcFAAAAAA==&#10;">
                      <v:fill on="f" focussize="0,0"/>
                      <v:stroke color="#000000" joinstyle="round" endarrow="block"/>
                      <v:imagedata o:title=""/>
                      <o:lock v:ext="edit" aspectratio="f"/>
                    </v:line>
                  </w:pict>
                </mc:Fallback>
              </mc:AlternateContent>
            </w:r>
          </w:p>
          <w:tbl>
            <w:tblPr>
              <w:tblStyle w:val="10"/>
              <w:tblW w:w="0" w:type="auto"/>
              <w:tblCellSpacing w:w="0" w:type="dxa"/>
              <w:tblInd w:w="0" w:type="dxa"/>
              <w:tblLayout w:type="autofit"/>
              <w:tblCellMar>
                <w:top w:w="0" w:type="dxa"/>
                <w:left w:w="0" w:type="dxa"/>
                <w:bottom w:w="0" w:type="dxa"/>
                <w:right w:w="0" w:type="dxa"/>
              </w:tblCellMar>
            </w:tblPr>
            <w:tblGrid>
              <w:gridCol w:w="1020"/>
            </w:tblGrid>
            <w:tr>
              <w:tblPrEx>
                <w:tblCellMar>
                  <w:top w:w="0" w:type="dxa"/>
                  <w:left w:w="0" w:type="dxa"/>
                  <w:bottom w:w="0" w:type="dxa"/>
                  <w:right w:w="0" w:type="dxa"/>
                </w:tblCellMar>
              </w:tblPrEx>
              <w:trPr>
                <w:trHeight w:val="2160" w:hRule="atLeast"/>
                <w:tblCellSpacing w:w="0" w:type="dxa"/>
              </w:trPr>
              <w:tc>
                <w:tcPr>
                  <w:tcW w:w="1220" w:type="dxa"/>
                  <w:tcBorders>
                    <w:top w:val="nil"/>
                    <w:left w:val="nil"/>
                    <w:bottom w:val="nil"/>
                    <w:right w:val="nil"/>
                  </w:tcBorders>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对专项资金进行检查，出现问题收回资金</w:t>
                  </w:r>
                </w:p>
              </w:tc>
            </w:tr>
          </w:tbl>
          <w:p>
            <w:pPr>
              <w:widowControl/>
              <w:jc w:val="left"/>
              <w:rPr>
                <w:rFonts w:ascii="宋体" w:hAnsi="宋体" w:cs="宋体"/>
                <w:kern w:val="0"/>
                <w:sz w:val="24"/>
              </w:rPr>
            </w:pPr>
          </w:p>
        </w:tc>
        <w:tc>
          <w:tcPr>
            <w:tcW w:w="1456" w:type="dxa"/>
            <w:tcBorders>
              <w:top w:val="nil"/>
              <w:left w:val="nil"/>
              <w:bottom w:val="nil"/>
              <w:right w:val="nil"/>
            </w:tcBorders>
            <w:noWrap/>
            <w:vAlign w:val="bottom"/>
          </w:tcPr>
          <w:p>
            <w:pPr>
              <w:widowControl/>
              <w:jc w:val="left"/>
              <w:rPr>
                <w:rFonts w:ascii="宋体" w:hAnsi="宋体" w:cs="宋体"/>
                <w:kern w:val="0"/>
                <w:sz w:val="24"/>
              </w:rPr>
            </w:pPr>
            <w:r>
              <w:rPr>
                <w:rFonts w:ascii="宋体" w:hAnsi="宋体" w:cs="宋体"/>
                <w:kern w:val="0"/>
                <w:sz w:val="24"/>
              </w:rPr>
              <mc:AlternateContent>
                <mc:Choice Requires="wps">
                  <w:drawing>
                    <wp:anchor distT="0" distB="0" distL="114300" distR="114300" simplePos="0" relativeHeight="251745280" behindDoc="0" locked="0" layoutInCell="1" allowOverlap="1">
                      <wp:simplePos x="0" y="0"/>
                      <wp:positionH relativeFrom="column">
                        <wp:posOffset>914400</wp:posOffset>
                      </wp:positionH>
                      <wp:positionV relativeFrom="paragraph">
                        <wp:posOffset>990600</wp:posOffset>
                      </wp:positionV>
                      <wp:extent cx="781050" cy="0"/>
                      <wp:effectExtent l="0" t="38100" r="0" b="38100"/>
                      <wp:wrapNone/>
                      <wp:docPr id="6" name="直接连接符 6"/>
                      <wp:cNvGraphicFramePr/>
                      <a:graphic xmlns:a="http://schemas.openxmlformats.org/drawingml/2006/main">
                        <a:graphicData uri="http://schemas.microsoft.com/office/word/2010/wordprocessingShape">
                          <wps:wsp>
                            <wps:cNvCnPr/>
                            <wps:spPr>
                              <a:xfrm flipH="1">
                                <a:off x="0" y="0"/>
                                <a:ext cx="78105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72pt;margin-top:78pt;height:0pt;width:61.5pt;z-index:251745280;mso-width-relative:page;mso-height-relative:page;" filled="f" stroked="t" coordsize="21600,21600" o:gfxdata="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LMojtYAAAALAQAADwAAAAAAAAABACAAAAAiAAAAZHJzL2Rvd25y&#10;ZXYueG1sUEsBAhQAFAAAAAgAh07iQL7PUSQAAgAA8wMAAA4AAAAAAAAAAQAgAAAAJQEAAGRycy9l&#10;Mm9Eb2MueG1sUEsFBgAAAAAGAAYAWQEAAJcFAAAAAA==&#10;">
                      <v:fill on="f" focussize="0,0"/>
                      <v:stroke color="#000000" joinstyle="round" endarrow="block"/>
                      <v:imagedata o:title=""/>
                      <o:lock v:ext="edit" aspectratio="f"/>
                    </v:line>
                  </w:pict>
                </mc:Fallback>
              </mc:AlternateContent>
            </w:r>
          </w:p>
          <w:tbl>
            <w:tblPr>
              <w:tblStyle w:val="10"/>
              <w:tblW w:w="0" w:type="auto"/>
              <w:tblCellSpacing w:w="0" w:type="dxa"/>
              <w:tblInd w:w="0" w:type="dxa"/>
              <w:tblLayout w:type="autofit"/>
              <w:tblCellMar>
                <w:top w:w="0" w:type="dxa"/>
                <w:left w:w="0" w:type="dxa"/>
                <w:bottom w:w="0" w:type="dxa"/>
                <w:right w:w="0" w:type="dxa"/>
              </w:tblCellMar>
            </w:tblPr>
            <w:tblGrid>
              <w:gridCol w:w="1235"/>
            </w:tblGrid>
            <w:tr>
              <w:tblPrEx>
                <w:tblCellMar>
                  <w:top w:w="0" w:type="dxa"/>
                  <w:left w:w="0" w:type="dxa"/>
                  <w:bottom w:w="0" w:type="dxa"/>
                  <w:right w:w="0" w:type="dxa"/>
                </w:tblCellMar>
              </w:tblPrEx>
              <w:trPr>
                <w:trHeight w:val="2160" w:hRule="atLeast"/>
                <w:tblCellSpacing w:w="0" w:type="dxa"/>
              </w:trPr>
              <w:tc>
                <w:tcPr>
                  <w:tcW w:w="144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累计拨付资金不得超过工程造价或投资计划的80%，工程完工后预留5%质量保证金</w:t>
                  </w:r>
                </w:p>
              </w:tc>
            </w:tr>
          </w:tbl>
          <w:p>
            <w:pPr>
              <w:widowControl/>
              <w:jc w:val="left"/>
              <w:rPr>
                <w:rFonts w:ascii="宋体" w:hAnsi="宋体" w:cs="宋体"/>
                <w:kern w:val="0"/>
                <w:sz w:val="24"/>
              </w:rPr>
            </w:pPr>
          </w:p>
        </w:tc>
        <w:tc>
          <w:tcPr>
            <w:tcW w:w="1376" w:type="dxa"/>
            <w:tcBorders>
              <w:top w:val="nil"/>
              <w:left w:val="nil"/>
              <w:bottom w:val="nil"/>
              <w:right w:val="nil"/>
            </w:tcBorders>
            <w:vAlign w:val="center"/>
          </w:tcPr>
          <w:p>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全程跟踪项目进展和资金使用情况</w:t>
            </w:r>
          </w:p>
        </w:tc>
        <w:tc>
          <w:tcPr>
            <w:tcW w:w="15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4"/>
              </w:rPr>
            </w:pPr>
            <w:r>
              <w:rPr>
                <w:rFonts w:hint="eastAsia" w:ascii="宋体" w:hAnsi="宋体" w:cs="宋体"/>
                <w:kern w:val="0"/>
                <w:sz w:val="24"/>
              </w:rPr>
              <w:t>财政部门按项目进度和实际情况下达指标</w:t>
            </w:r>
          </w:p>
        </w:tc>
      </w:tr>
    </w:tbl>
    <w:p>
      <w:pPr>
        <w:widowControl/>
        <w:spacing w:line="600" w:lineRule="exact"/>
        <w:jc w:val="left"/>
        <w:rPr>
          <w:snapToGrid w:val="0"/>
          <w:kern w:val="0"/>
        </w:rPr>
        <w:sectPr>
          <w:footerReference r:id="rId8" w:type="default"/>
          <w:pgSz w:w="16838" w:h="11906" w:orient="landscape"/>
          <w:pgMar w:top="1800" w:right="1440" w:bottom="1800" w:left="1440" w:header="851" w:footer="992" w:gutter="0"/>
          <w:pgNumType w:fmt="numberInDash"/>
          <w:cols w:space="720" w:num="1"/>
          <w:docGrid w:type="lines" w:linePitch="312" w:charSpace="0"/>
        </w:sectPr>
      </w:pPr>
    </w:p>
    <w:p>
      <w:pPr>
        <w:spacing w:line="360" w:lineRule="auto"/>
        <w:ind w:firstLine="320" w:firstLineChars="100"/>
        <w:jc w:val="center"/>
        <w:outlineLvl w:val="0"/>
        <w:rPr>
          <w:color w:val="000000"/>
          <w:szCs w:val="32"/>
        </w:rPr>
      </w:pPr>
      <w:bookmarkStart w:id="148" w:name="_Toc17065"/>
      <w:bookmarkStart w:id="149" w:name="_Toc16522"/>
      <w:bookmarkStart w:id="150" w:name="_Toc12551"/>
      <w:bookmarkStart w:id="151" w:name="_Toc25842"/>
      <w:bookmarkStart w:id="152" w:name="_Toc9815"/>
      <w:r>
        <w:rPr>
          <w:rFonts w:hint="eastAsia" w:ascii="黑体" w:hAnsi="黑体" w:eastAsia="黑体"/>
          <w:szCs w:val="32"/>
        </w:rPr>
        <w:t>第七章</w:t>
      </w:r>
      <w:bookmarkEnd w:id="148"/>
      <w:bookmarkEnd w:id="149"/>
      <w:bookmarkEnd w:id="150"/>
      <w:bookmarkEnd w:id="151"/>
      <w:bookmarkEnd w:id="152"/>
      <w:r>
        <w:rPr>
          <w:rFonts w:hint="eastAsia" w:ascii="黑体" w:hAnsi="黑体" w:eastAsia="黑体"/>
          <w:szCs w:val="32"/>
        </w:rPr>
        <w:t xml:space="preserve"> 征地拆迁资金管理办法</w:t>
      </w:r>
      <w:r>
        <w:rPr>
          <w:rFonts w:hint="eastAsia"/>
          <w:color w:val="000000"/>
          <w:szCs w:val="32"/>
        </w:rPr>
        <w:t>　</w:t>
      </w:r>
    </w:p>
    <w:p>
      <w:pPr>
        <w:spacing w:line="360" w:lineRule="auto"/>
        <w:ind w:firstLine="643" w:firstLineChars="200"/>
        <w:rPr>
          <w:rFonts w:ascii="仿宋" w:hAnsi="仿宋"/>
          <w:szCs w:val="32"/>
        </w:rPr>
      </w:pPr>
      <w:r>
        <w:rPr>
          <w:rFonts w:hint="eastAsia" w:ascii="楷体" w:hAnsi="楷体" w:eastAsia="楷体"/>
          <w:b/>
          <w:szCs w:val="32"/>
        </w:rPr>
        <w:t>第</w:t>
      </w:r>
      <w:r>
        <w:rPr>
          <w:rFonts w:hint="eastAsia" w:ascii="楷体" w:hAnsi="楷体" w:eastAsia="楷体" w:cs="宋体"/>
          <w:b/>
          <w:snapToGrid w:val="0"/>
          <w:kern w:val="0"/>
          <w:szCs w:val="32"/>
        </w:rPr>
        <w:t>三十二</w:t>
      </w:r>
      <w:r>
        <w:rPr>
          <w:rFonts w:hint="eastAsia" w:ascii="楷体" w:hAnsi="楷体" w:eastAsia="楷体"/>
          <w:b/>
          <w:szCs w:val="32"/>
        </w:rPr>
        <w:t>条</w:t>
      </w:r>
      <w:r>
        <w:rPr>
          <w:rFonts w:hint="eastAsia" w:ascii="仿宋" w:hAnsi="仿宋"/>
          <w:szCs w:val="32"/>
        </w:rPr>
        <w:t xml:space="preserve"> 为规范白城市生态新区征地拆迁资金的管理，保障生态新区征地拆迁工作的顺利进行，根据《中华人民共和国会计法》、《中华人民共和国物权法》、《白城市国有土地上房屋征收与补偿条例》等相关法律、法规，结合生态新区征地拆迁资金管理、使用、监督的实际情况，特制定本办法。</w:t>
      </w:r>
    </w:p>
    <w:p>
      <w:pPr>
        <w:spacing w:line="360" w:lineRule="auto"/>
        <w:ind w:firstLine="643" w:firstLineChars="200"/>
        <w:rPr>
          <w:rFonts w:ascii="仿宋" w:hAnsi="仿宋"/>
          <w:szCs w:val="32"/>
        </w:rPr>
      </w:pPr>
      <w:r>
        <w:rPr>
          <w:rFonts w:hint="eastAsia" w:ascii="楷体" w:hAnsi="楷体" w:eastAsia="楷体"/>
          <w:b/>
          <w:szCs w:val="32"/>
        </w:rPr>
        <w:t>第</w:t>
      </w:r>
      <w:r>
        <w:rPr>
          <w:rFonts w:hint="eastAsia" w:ascii="楷体" w:hAnsi="楷体" w:eastAsia="楷体" w:cs="宋体"/>
          <w:b/>
          <w:snapToGrid w:val="0"/>
          <w:kern w:val="0"/>
          <w:szCs w:val="32"/>
        </w:rPr>
        <w:t>三十三</w:t>
      </w:r>
      <w:r>
        <w:rPr>
          <w:rFonts w:hint="eastAsia" w:ascii="楷体" w:hAnsi="楷体" w:eastAsia="楷体"/>
          <w:b/>
          <w:szCs w:val="32"/>
        </w:rPr>
        <w:t>条</w:t>
      </w:r>
      <w:r>
        <w:rPr>
          <w:rFonts w:hint="eastAsia" w:ascii="仿宋" w:hAnsi="仿宋"/>
          <w:szCs w:val="32"/>
        </w:rPr>
        <w:t xml:space="preserve"> 本办法所称征地拆迁资金是指通过生态新区项目建设单位自有资金、金融机构贷款资金、财政资金、政府债券资金等方式建立的专门用于生态新区的土地补偿、安置补助、青苗补偿、地面附着物补偿、建(构)筑物拆迁补偿、征地拆迁管理和其他相关方面的专项资金。</w:t>
      </w:r>
    </w:p>
    <w:p>
      <w:pPr>
        <w:spacing w:line="360" w:lineRule="auto"/>
        <w:ind w:firstLine="643" w:firstLineChars="200"/>
        <w:rPr>
          <w:rFonts w:ascii="仿宋" w:hAnsi="仿宋"/>
          <w:szCs w:val="32"/>
        </w:rPr>
      </w:pPr>
      <w:r>
        <w:rPr>
          <w:rFonts w:hint="eastAsia" w:ascii="楷体" w:hAnsi="楷体" w:eastAsia="楷体"/>
          <w:b/>
          <w:szCs w:val="32"/>
        </w:rPr>
        <w:t>第</w:t>
      </w:r>
      <w:r>
        <w:rPr>
          <w:rFonts w:hint="eastAsia" w:ascii="楷体" w:hAnsi="楷体" w:eastAsia="楷体" w:cs="宋体"/>
          <w:b/>
          <w:snapToGrid w:val="0"/>
          <w:kern w:val="0"/>
          <w:szCs w:val="32"/>
        </w:rPr>
        <w:t>三十四</w:t>
      </w:r>
      <w:r>
        <w:rPr>
          <w:rFonts w:hint="eastAsia" w:ascii="楷体" w:hAnsi="楷体" w:eastAsia="楷体"/>
          <w:b/>
          <w:szCs w:val="32"/>
        </w:rPr>
        <w:t>条</w:t>
      </w:r>
      <w:r>
        <w:rPr>
          <w:rFonts w:hint="eastAsia" w:ascii="仿宋" w:hAnsi="仿宋"/>
          <w:szCs w:val="32"/>
        </w:rPr>
        <w:t xml:space="preserve"> 征地拆迁资金管理原则：专户储存、专账核算、专款专用的原则；切实保障被征地拆迁单位和个人合法利益的原则；确保资金安全运行的原则；节约筹资成本、提高资金使用效益的原则。</w:t>
      </w:r>
    </w:p>
    <w:p>
      <w:pPr>
        <w:spacing w:line="360" w:lineRule="auto"/>
        <w:ind w:firstLine="643" w:firstLineChars="200"/>
        <w:rPr>
          <w:rFonts w:ascii="仿宋" w:hAnsi="仿宋"/>
          <w:szCs w:val="32"/>
        </w:rPr>
      </w:pPr>
      <w:r>
        <w:rPr>
          <w:rFonts w:hint="eastAsia" w:ascii="楷体" w:hAnsi="楷体" w:eastAsia="楷体"/>
          <w:b/>
          <w:szCs w:val="32"/>
        </w:rPr>
        <w:t>第</w:t>
      </w:r>
      <w:r>
        <w:rPr>
          <w:rFonts w:hint="eastAsia" w:ascii="楷体" w:hAnsi="楷体" w:eastAsia="楷体" w:cs="宋体"/>
          <w:b/>
          <w:snapToGrid w:val="0"/>
          <w:kern w:val="0"/>
          <w:szCs w:val="32"/>
        </w:rPr>
        <w:t>三十五</w:t>
      </w:r>
      <w:r>
        <w:rPr>
          <w:rFonts w:hint="eastAsia" w:ascii="楷体" w:hAnsi="楷体" w:eastAsia="楷体"/>
          <w:b/>
          <w:szCs w:val="32"/>
        </w:rPr>
        <w:t>条</w:t>
      </w:r>
      <w:r>
        <w:rPr>
          <w:rFonts w:hint="eastAsia" w:ascii="仿宋" w:hAnsi="仿宋"/>
          <w:b/>
          <w:szCs w:val="32"/>
        </w:rPr>
        <w:t xml:space="preserve"> </w:t>
      </w:r>
      <w:r>
        <w:rPr>
          <w:rFonts w:hint="eastAsia" w:ascii="仿宋" w:hAnsi="仿宋"/>
          <w:szCs w:val="32"/>
        </w:rPr>
        <w:t>资金拨付流程：</w:t>
      </w:r>
    </w:p>
    <w:p>
      <w:pPr>
        <w:spacing w:line="360" w:lineRule="auto"/>
        <w:rPr>
          <w:rFonts w:ascii="仿宋" w:hAnsi="仿宋"/>
          <w:szCs w:val="32"/>
        </w:rPr>
      </w:pPr>
      <w:r>
        <w:rPr>
          <w:rFonts w:hint="eastAsia" w:ascii="仿宋" w:hAnsi="仿宋"/>
          <w:szCs w:val="32"/>
        </w:rPr>
        <w:t xml:space="preserve">   （一）征地拆迁部门依据征地拆迁工作进度，提出征地拆迁补偿用款计划。</w:t>
      </w:r>
    </w:p>
    <w:p>
      <w:pPr>
        <w:spacing w:line="360" w:lineRule="auto"/>
        <w:rPr>
          <w:rFonts w:ascii="仿宋" w:hAnsi="仿宋"/>
          <w:szCs w:val="32"/>
        </w:rPr>
      </w:pPr>
      <w:r>
        <w:rPr>
          <w:rFonts w:hint="eastAsia" w:ascii="仿宋" w:hAnsi="仿宋"/>
          <w:szCs w:val="32"/>
        </w:rPr>
        <w:t xml:space="preserve">   （二）财政部门及时组织、筹措资金，复核用款计划。</w:t>
      </w:r>
    </w:p>
    <w:p>
      <w:pPr>
        <w:spacing w:line="360" w:lineRule="auto"/>
        <w:rPr>
          <w:rFonts w:ascii="仿宋" w:hAnsi="仿宋"/>
          <w:szCs w:val="32"/>
        </w:rPr>
      </w:pPr>
      <w:r>
        <w:rPr>
          <w:rFonts w:hint="eastAsia" w:ascii="仿宋" w:hAnsi="仿宋"/>
          <w:szCs w:val="32"/>
        </w:rPr>
        <w:t xml:space="preserve">   （三）资金拨付到财政部门监管的生态新区征地拆迁资金专户。</w:t>
      </w:r>
    </w:p>
    <w:p>
      <w:pPr>
        <w:spacing w:line="360" w:lineRule="auto"/>
        <w:rPr>
          <w:rFonts w:ascii="仿宋" w:hAnsi="仿宋"/>
          <w:szCs w:val="32"/>
        </w:rPr>
      </w:pPr>
      <w:r>
        <w:rPr>
          <w:rFonts w:hint="eastAsia" w:ascii="仿宋" w:hAnsi="仿宋"/>
          <w:szCs w:val="32"/>
        </w:rPr>
        <w:t xml:space="preserve">   （四）根据联审组审定的片收补偿协议，补偿到被拆迁户。</w:t>
      </w:r>
    </w:p>
    <w:p>
      <w:pPr>
        <w:spacing w:line="360" w:lineRule="auto"/>
        <w:ind w:firstLine="643" w:firstLineChars="200"/>
        <w:rPr>
          <w:rFonts w:ascii="仿宋" w:hAnsi="仿宋"/>
          <w:szCs w:val="32"/>
        </w:rPr>
      </w:pPr>
      <w:r>
        <w:rPr>
          <w:rFonts w:hint="eastAsia" w:ascii="楷体" w:hAnsi="楷体" w:eastAsia="楷体"/>
          <w:b/>
          <w:szCs w:val="32"/>
        </w:rPr>
        <w:t>第</w:t>
      </w:r>
      <w:r>
        <w:rPr>
          <w:rFonts w:hint="eastAsia" w:ascii="楷体" w:hAnsi="楷体" w:eastAsia="楷体" w:cs="宋体"/>
          <w:b/>
          <w:snapToGrid w:val="0"/>
          <w:kern w:val="0"/>
          <w:szCs w:val="32"/>
        </w:rPr>
        <w:t>三十六</w:t>
      </w:r>
      <w:r>
        <w:rPr>
          <w:rFonts w:hint="eastAsia" w:ascii="楷体" w:hAnsi="楷体" w:eastAsia="楷体"/>
          <w:b/>
          <w:szCs w:val="32"/>
        </w:rPr>
        <w:t>条</w:t>
      </w:r>
      <w:r>
        <w:rPr>
          <w:rFonts w:hint="eastAsia" w:ascii="仿宋" w:hAnsi="仿宋"/>
          <w:szCs w:val="32"/>
        </w:rPr>
        <w:t xml:space="preserve"> 征地拆迁补偿资金必须及时足额支付给被征地拆迁的单位和个人，不得以任何理由挤占、截留、挪用。</w:t>
      </w:r>
    </w:p>
    <w:p>
      <w:pPr>
        <w:spacing w:line="360" w:lineRule="auto"/>
        <w:ind w:firstLine="643" w:firstLineChars="200"/>
        <w:rPr>
          <w:rFonts w:ascii="仿宋" w:hAnsi="仿宋"/>
          <w:szCs w:val="32"/>
        </w:rPr>
      </w:pPr>
      <w:r>
        <w:rPr>
          <w:rFonts w:hint="eastAsia" w:ascii="楷体" w:hAnsi="楷体" w:eastAsia="楷体"/>
          <w:b/>
          <w:szCs w:val="32"/>
        </w:rPr>
        <w:t>第</w:t>
      </w:r>
      <w:r>
        <w:rPr>
          <w:rFonts w:hint="eastAsia" w:ascii="楷体" w:hAnsi="楷体" w:eastAsia="楷体" w:cs="宋体"/>
          <w:b/>
          <w:snapToGrid w:val="0"/>
          <w:kern w:val="0"/>
          <w:szCs w:val="32"/>
        </w:rPr>
        <w:t>三十七</w:t>
      </w:r>
      <w:r>
        <w:rPr>
          <w:rFonts w:hint="eastAsia" w:ascii="楷体" w:hAnsi="楷体" w:eastAsia="楷体"/>
          <w:b/>
          <w:szCs w:val="32"/>
        </w:rPr>
        <w:t>条</w:t>
      </w:r>
      <w:r>
        <w:rPr>
          <w:rFonts w:hint="eastAsia" w:ascii="仿宋" w:hAnsi="仿宋"/>
          <w:szCs w:val="32"/>
        </w:rPr>
        <w:t xml:space="preserve"> 各部门必须把好资金的使用审批关，层层建立责任制度，要依据本办法制定相关的内部财务管理制度，配备专(兼)职的财务管理人员，切实管好、用好征地拆迁专项资金。财政、审计、监察、国土、征收、城管、规划明确任务落实责任。</w:t>
      </w:r>
    </w:p>
    <w:p>
      <w:pPr>
        <w:spacing w:line="360" w:lineRule="auto"/>
        <w:ind w:firstLine="643" w:firstLineChars="200"/>
        <w:rPr>
          <w:rFonts w:ascii="仿宋" w:hAnsi="仿宋"/>
          <w:bCs/>
          <w:szCs w:val="32"/>
        </w:rPr>
      </w:pPr>
      <w:r>
        <w:rPr>
          <w:rFonts w:hint="eastAsia" w:ascii="楷体" w:hAnsi="楷体" w:eastAsia="楷体"/>
          <w:b/>
          <w:szCs w:val="32"/>
        </w:rPr>
        <w:t>第</w:t>
      </w:r>
      <w:r>
        <w:rPr>
          <w:rFonts w:hint="eastAsia" w:ascii="楷体" w:hAnsi="楷体" w:eastAsia="楷体" w:cs="宋体"/>
          <w:b/>
          <w:snapToGrid w:val="0"/>
          <w:kern w:val="0"/>
          <w:szCs w:val="32"/>
        </w:rPr>
        <w:t>三十八</w:t>
      </w:r>
      <w:r>
        <w:rPr>
          <w:rFonts w:hint="eastAsia" w:ascii="楷体" w:hAnsi="楷体" w:eastAsia="楷体"/>
          <w:b/>
          <w:szCs w:val="32"/>
        </w:rPr>
        <w:t>条</w:t>
      </w:r>
      <w:r>
        <w:rPr>
          <w:rFonts w:hint="eastAsia" w:ascii="仿宋" w:hAnsi="仿宋"/>
          <w:szCs w:val="32"/>
        </w:rPr>
        <w:t xml:space="preserve"> </w:t>
      </w:r>
      <w:r>
        <w:rPr>
          <w:rFonts w:hint="eastAsia" w:ascii="仿宋" w:hAnsi="仿宋"/>
          <w:bCs/>
          <w:szCs w:val="32"/>
        </w:rPr>
        <w:t>征地拆迁补偿安置资金中兑付给被征地个人的资金经审核后审批兑付，并严格管理财务凭证。兑付时应先清理—汇总—公示—审批—签字（签协议）支付。工作人员应依据征地协议或合同，将被征地个人补偿资金登记造册上报审批后予以发放。征地个人凭身份证及协议领取补偿金，原则上委托银行代发。做到协议、付款通知书、发放表三统一，并妥善保存，便于查询与监督检查。严格执行补偿标准，杜绝多补、少补、欠补、漏补、无据补偿情况发生。</w:t>
      </w:r>
    </w:p>
    <w:p>
      <w:pPr>
        <w:spacing w:line="360" w:lineRule="auto"/>
        <w:ind w:firstLine="643" w:firstLineChars="200"/>
        <w:rPr>
          <w:rFonts w:ascii="仿宋" w:hAnsi="仿宋"/>
          <w:szCs w:val="32"/>
        </w:rPr>
      </w:pPr>
      <w:r>
        <w:rPr>
          <w:rFonts w:hint="eastAsia" w:ascii="楷体" w:hAnsi="楷体" w:eastAsia="楷体"/>
          <w:b/>
          <w:szCs w:val="32"/>
        </w:rPr>
        <w:t>第</w:t>
      </w:r>
      <w:r>
        <w:rPr>
          <w:rFonts w:hint="eastAsia" w:ascii="楷体" w:hAnsi="楷体" w:eastAsia="楷体" w:cs="宋体"/>
          <w:b/>
          <w:snapToGrid w:val="0"/>
          <w:kern w:val="0"/>
          <w:szCs w:val="32"/>
        </w:rPr>
        <w:t>三十九</w:t>
      </w:r>
      <w:r>
        <w:rPr>
          <w:rFonts w:hint="eastAsia" w:ascii="楷体" w:hAnsi="楷体" w:eastAsia="楷体"/>
          <w:b/>
          <w:szCs w:val="32"/>
        </w:rPr>
        <w:t>条</w:t>
      </w:r>
      <w:r>
        <w:rPr>
          <w:rFonts w:hint="eastAsia" w:ascii="仿宋" w:hAnsi="仿宋"/>
          <w:szCs w:val="32"/>
        </w:rPr>
        <w:t xml:space="preserve"> 征地拆迁补偿安置资金中兑付给被征地单位的资金经审核后兑付。</w:t>
      </w:r>
    </w:p>
    <w:p>
      <w:pPr>
        <w:spacing w:line="360" w:lineRule="auto"/>
        <w:ind w:firstLine="643" w:firstLineChars="200"/>
        <w:rPr>
          <w:rFonts w:ascii="仿宋" w:hAnsi="仿宋"/>
          <w:szCs w:val="32"/>
        </w:rPr>
      </w:pPr>
      <w:r>
        <w:rPr>
          <w:rFonts w:hint="eastAsia" w:ascii="楷体" w:hAnsi="楷体" w:eastAsia="楷体"/>
          <w:b/>
          <w:szCs w:val="32"/>
        </w:rPr>
        <w:t>第四十条</w:t>
      </w:r>
      <w:r>
        <w:rPr>
          <w:rFonts w:hint="eastAsia" w:ascii="仿宋" w:hAnsi="仿宋"/>
          <w:szCs w:val="32"/>
        </w:rPr>
        <w:t xml:space="preserve"> 会计核算严格按《会计法》及国家、省、市有关规定办理,各部门要按照有关规定在银行开设“生态新区征地拆迁资金专用存款账户”，专门存储征地拆迁资金。支出明细科目统一设置如下：土地补偿支出(含征用的土地补偿支出和处理土地补偿中遗留问题的支出)；安置补助支出;青苗补偿支出;地面附着物补偿支出；建筑物征拆补偿支出；管理费支出;其他支出(与征地拆迁相关的其它支出)。</w:t>
      </w:r>
    </w:p>
    <w:p>
      <w:pPr>
        <w:spacing w:line="360" w:lineRule="auto"/>
        <w:ind w:firstLine="643" w:firstLineChars="200"/>
        <w:rPr>
          <w:rFonts w:ascii="仿宋" w:hAnsi="仿宋"/>
          <w:szCs w:val="32"/>
        </w:rPr>
      </w:pPr>
      <w:r>
        <w:rPr>
          <w:rFonts w:hint="eastAsia" w:ascii="楷体" w:hAnsi="楷体" w:eastAsia="楷体"/>
          <w:b/>
          <w:szCs w:val="32"/>
        </w:rPr>
        <w:t xml:space="preserve">第四十一条 </w:t>
      </w:r>
      <w:r>
        <w:rPr>
          <w:rFonts w:hint="eastAsia" w:ascii="楷体" w:hAnsi="楷体" w:eastAsia="楷体"/>
          <w:szCs w:val="32"/>
        </w:rPr>
        <w:t>财政</w:t>
      </w:r>
      <w:r>
        <w:rPr>
          <w:rFonts w:hint="eastAsia" w:ascii="仿宋" w:hAnsi="仿宋"/>
          <w:szCs w:val="32"/>
        </w:rPr>
        <w:t>审计、监察等相关部门定期和不定期对新区征地拆迁资金管理和使用情况进行事前、事中、事后审计监督，对群众反映强烈的问题应进行重点监督，对资金管理和使用中违法违纪案件及时严肃查处。新区财政部门要落实专人对征地拆迁补偿安置资金予以业务指导和监督。</w:t>
      </w:r>
    </w:p>
    <w:p>
      <w:pPr>
        <w:spacing w:line="360" w:lineRule="auto"/>
        <w:ind w:firstLine="643" w:firstLineChars="200"/>
        <w:rPr>
          <w:rFonts w:ascii="仿宋" w:hAnsi="仿宋"/>
          <w:szCs w:val="32"/>
        </w:rPr>
      </w:pPr>
      <w:r>
        <w:rPr>
          <w:rFonts w:hint="eastAsia" w:ascii="楷体" w:hAnsi="楷体" w:eastAsia="楷体"/>
          <w:b/>
          <w:szCs w:val="32"/>
        </w:rPr>
        <w:t>第四十二条</w:t>
      </w:r>
      <w:r>
        <w:rPr>
          <w:rFonts w:hint="eastAsia" w:ascii="仿宋" w:hAnsi="仿宋"/>
          <w:szCs w:val="32"/>
        </w:rPr>
        <w:t xml:space="preserve"> 生态新区征地拆迁补偿安置资金原则上每半年审计1次。经生态新区领导同意，可以随时对个别项目开展专项审计。</w:t>
      </w:r>
    </w:p>
    <w:p>
      <w:pPr>
        <w:spacing w:line="360" w:lineRule="auto"/>
        <w:ind w:firstLine="643" w:firstLineChars="200"/>
        <w:rPr>
          <w:rFonts w:ascii="仿宋" w:hAnsi="仿宋"/>
          <w:szCs w:val="32"/>
        </w:rPr>
      </w:pPr>
      <w:r>
        <w:rPr>
          <w:rFonts w:hint="eastAsia" w:ascii="楷体" w:hAnsi="楷体" w:eastAsia="楷体"/>
          <w:b/>
          <w:szCs w:val="32"/>
        </w:rPr>
        <w:t>第四十三条</w:t>
      </w:r>
      <w:r>
        <w:rPr>
          <w:rFonts w:hint="eastAsia" w:ascii="仿宋" w:hAnsi="仿宋"/>
          <w:szCs w:val="32"/>
        </w:rPr>
        <w:t xml:space="preserve"> 要坚决杜绝征地拆迁资金在使用过程中的违规、违纪、违法行为，如出现问题将依法、依纪追究法人及相关人员责任。</w:t>
      </w:r>
    </w:p>
    <w:p>
      <w:pPr>
        <w:spacing w:line="360" w:lineRule="auto"/>
        <w:jc w:val="center"/>
        <w:outlineLvl w:val="0"/>
        <w:rPr>
          <w:rFonts w:ascii="黑体" w:hAnsi="黑体" w:eastAsia="黑体"/>
          <w:szCs w:val="32"/>
        </w:rPr>
      </w:pPr>
      <w:bookmarkStart w:id="153" w:name="_Toc19127"/>
      <w:bookmarkStart w:id="154" w:name="_Toc20067"/>
      <w:bookmarkStart w:id="155" w:name="_Toc9093"/>
      <w:bookmarkStart w:id="156" w:name="_Toc19585"/>
      <w:bookmarkStart w:id="157" w:name="_Toc2771"/>
      <w:r>
        <w:rPr>
          <w:rFonts w:hint="eastAsia" w:ascii="黑体" w:hAnsi="黑体" w:eastAsia="黑体"/>
          <w:szCs w:val="32"/>
        </w:rPr>
        <w:t xml:space="preserve">第八章  </w:t>
      </w:r>
      <w:bookmarkEnd w:id="153"/>
      <w:bookmarkEnd w:id="154"/>
      <w:bookmarkEnd w:id="155"/>
      <w:bookmarkEnd w:id="156"/>
      <w:bookmarkEnd w:id="157"/>
      <w:r>
        <w:rPr>
          <w:rFonts w:hint="eastAsia" w:ascii="黑体" w:hAnsi="黑体" w:eastAsia="黑体"/>
          <w:szCs w:val="32"/>
        </w:rPr>
        <w:t>项目建设资金管理</w:t>
      </w:r>
    </w:p>
    <w:p>
      <w:pPr>
        <w:ind w:firstLine="643" w:firstLineChars="200"/>
        <w:rPr>
          <w:rFonts w:ascii="仿宋" w:hAnsi="仿宋"/>
          <w:szCs w:val="32"/>
        </w:rPr>
      </w:pPr>
      <w:r>
        <w:rPr>
          <w:rFonts w:hint="eastAsia" w:ascii="仿宋" w:hAnsi="仿宋"/>
          <w:b/>
          <w:bCs/>
          <w:szCs w:val="32"/>
        </w:rPr>
        <w:t>第</w:t>
      </w:r>
      <w:r>
        <w:rPr>
          <w:rFonts w:hint="eastAsia" w:ascii="楷体" w:hAnsi="楷体" w:eastAsia="楷体"/>
          <w:b/>
          <w:szCs w:val="32"/>
        </w:rPr>
        <w:t>四十四</w:t>
      </w:r>
      <w:r>
        <w:rPr>
          <w:rFonts w:hint="eastAsia" w:ascii="仿宋" w:hAnsi="仿宋"/>
          <w:b/>
          <w:bCs/>
          <w:szCs w:val="32"/>
        </w:rPr>
        <w:t>条</w:t>
      </w:r>
      <w:r>
        <w:rPr>
          <w:rFonts w:hint="eastAsia" w:ascii="仿宋" w:hAnsi="仿宋"/>
          <w:szCs w:val="32"/>
        </w:rPr>
        <w:t xml:space="preserve"> 为了进一步加强项目建设资金管理，规范政府投资建设行为，合理控制投资成本，提高资金使用效益，保障新区项目建设顺利进行，按照《白城市财政性资金基本建设投资评审管理暂行办法》（白城市人民政府令</w:t>
      </w:r>
      <w:r>
        <w:rPr>
          <w:rFonts w:ascii="仿宋" w:hAnsi="仿宋"/>
          <w:szCs w:val="32"/>
        </w:rPr>
        <w:t>[2008]19</w:t>
      </w:r>
      <w:r>
        <w:rPr>
          <w:rFonts w:hint="eastAsia" w:ascii="仿宋" w:hAnsi="仿宋"/>
          <w:szCs w:val="32"/>
        </w:rPr>
        <w:t>号）、《白城市财政性资金基本建设投资评审细则》（白城市人民政府令</w:t>
      </w:r>
      <w:r>
        <w:rPr>
          <w:rFonts w:ascii="仿宋" w:hAnsi="仿宋"/>
          <w:szCs w:val="32"/>
        </w:rPr>
        <w:t>[2009]21</w:t>
      </w:r>
      <w:r>
        <w:rPr>
          <w:rFonts w:hint="eastAsia" w:ascii="仿宋" w:hAnsi="仿宋"/>
          <w:szCs w:val="32"/>
        </w:rPr>
        <w:t>号）和《白城市生态新区专项资金管理暂行办法》等相关文件规定，结合当前实际情况，补充规定如下：</w:t>
      </w:r>
    </w:p>
    <w:p>
      <w:pPr>
        <w:spacing w:line="360" w:lineRule="auto"/>
        <w:ind w:firstLine="640" w:firstLineChars="200"/>
        <w:outlineLvl w:val="0"/>
        <w:rPr>
          <w:rFonts w:ascii="黑体" w:hAnsi="黑体" w:eastAsia="黑体"/>
          <w:szCs w:val="32"/>
        </w:rPr>
      </w:pPr>
      <w:bookmarkStart w:id="158" w:name="_Toc31906"/>
      <w:bookmarkStart w:id="159" w:name="_Toc9857"/>
      <w:bookmarkStart w:id="160" w:name="_Toc28807"/>
      <w:bookmarkStart w:id="161" w:name="_Toc19044"/>
      <w:bookmarkStart w:id="162" w:name="_Toc9014"/>
      <w:r>
        <w:rPr>
          <w:rFonts w:hint="eastAsia" w:ascii="黑体" w:hAnsi="黑体" w:eastAsia="黑体"/>
          <w:szCs w:val="32"/>
        </w:rPr>
        <w:t>（一）投资主体</w:t>
      </w:r>
      <w:bookmarkEnd w:id="158"/>
      <w:bookmarkEnd w:id="159"/>
      <w:bookmarkEnd w:id="160"/>
      <w:bookmarkEnd w:id="161"/>
      <w:bookmarkEnd w:id="162"/>
    </w:p>
    <w:p>
      <w:pPr>
        <w:spacing w:line="360" w:lineRule="auto"/>
        <w:ind w:firstLine="640" w:firstLineChars="200"/>
        <w:rPr>
          <w:rFonts w:ascii="仿宋" w:hAnsi="仿宋"/>
          <w:szCs w:val="32"/>
        </w:rPr>
      </w:pPr>
      <w:r>
        <w:rPr>
          <w:rFonts w:hint="eastAsia" w:ascii="仿宋" w:hAnsi="仿宋"/>
          <w:szCs w:val="32"/>
        </w:rPr>
        <w:t>投资主体为白城市生态新区建设领导小组办公室。</w:t>
      </w:r>
    </w:p>
    <w:p>
      <w:pPr>
        <w:pStyle w:val="16"/>
        <w:spacing w:line="360" w:lineRule="auto"/>
        <w:ind w:firstLine="640"/>
        <w:outlineLvl w:val="0"/>
        <w:rPr>
          <w:rFonts w:ascii="黑体" w:hAnsi="黑体" w:eastAsia="黑体"/>
          <w:szCs w:val="32"/>
        </w:rPr>
      </w:pPr>
      <w:bookmarkStart w:id="163" w:name="_Toc20513"/>
      <w:bookmarkStart w:id="164" w:name="_Toc3530"/>
      <w:bookmarkStart w:id="165" w:name="_Toc25077"/>
      <w:bookmarkStart w:id="166" w:name="_Toc13550"/>
      <w:bookmarkStart w:id="167" w:name="_Toc26898"/>
      <w:r>
        <w:rPr>
          <w:rFonts w:hint="eastAsia" w:ascii="黑体" w:hAnsi="黑体" w:eastAsia="黑体"/>
          <w:szCs w:val="32"/>
        </w:rPr>
        <w:t>（二）明确管理范围</w:t>
      </w:r>
      <w:bookmarkEnd w:id="163"/>
      <w:bookmarkEnd w:id="164"/>
      <w:bookmarkEnd w:id="165"/>
      <w:bookmarkEnd w:id="166"/>
      <w:bookmarkEnd w:id="167"/>
    </w:p>
    <w:p>
      <w:pPr>
        <w:spacing w:line="360" w:lineRule="auto"/>
        <w:ind w:firstLine="640" w:firstLineChars="200"/>
        <w:rPr>
          <w:rFonts w:ascii="仿宋" w:hAnsi="仿宋"/>
          <w:szCs w:val="32"/>
        </w:rPr>
      </w:pPr>
      <w:r>
        <w:rPr>
          <w:rFonts w:hint="eastAsia" w:ascii="仿宋" w:hAnsi="仿宋"/>
          <w:szCs w:val="32"/>
        </w:rPr>
        <w:t>凡是财政性基本建设资金安排的项目都是进一步加强财务管理的范围，具体包括：中央、省专项资金安排的建设项目；市财政预算内资金安排的建设项目；生态新区预算外资金和自筹资金安排的建设项目；政府性基金安排的建设项目；银行贷款、融资安排的建设项目；生态新区企业以政府信用或政府资产担保进行贷款或融资的项目；其他财政性资金投资的建设项目。</w:t>
      </w:r>
    </w:p>
    <w:p>
      <w:pPr>
        <w:spacing w:line="360" w:lineRule="auto"/>
        <w:ind w:firstLine="640" w:firstLineChars="200"/>
        <w:outlineLvl w:val="0"/>
        <w:rPr>
          <w:rFonts w:ascii="黑体" w:hAnsi="黑体" w:eastAsia="黑体"/>
          <w:szCs w:val="32"/>
        </w:rPr>
      </w:pPr>
      <w:bookmarkStart w:id="168" w:name="_Toc24408"/>
      <w:bookmarkStart w:id="169" w:name="_Toc26324"/>
      <w:bookmarkStart w:id="170" w:name="_Toc16594"/>
      <w:bookmarkStart w:id="171" w:name="_Toc6055"/>
      <w:bookmarkStart w:id="172" w:name="_Toc10280"/>
      <w:r>
        <w:rPr>
          <w:rFonts w:hint="eastAsia" w:ascii="黑体" w:hAnsi="黑体" w:eastAsia="黑体"/>
          <w:szCs w:val="32"/>
        </w:rPr>
        <w:t>（三）项目投资评审</w:t>
      </w:r>
      <w:bookmarkEnd w:id="168"/>
      <w:bookmarkEnd w:id="169"/>
      <w:bookmarkEnd w:id="170"/>
      <w:bookmarkEnd w:id="171"/>
      <w:bookmarkEnd w:id="172"/>
    </w:p>
    <w:p>
      <w:pPr>
        <w:spacing w:line="360" w:lineRule="auto"/>
        <w:ind w:firstLine="640" w:firstLineChars="200"/>
        <w:rPr>
          <w:rFonts w:ascii="仿宋" w:hAnsi="仿宋"/>
          <w:szCs w:val="32"/>
        </w:rPr>
      </w:pPr>
      <w:r>
        <w:rPr>
          <w:rFonts w:hint="eastAsia" w:ascii="仿宋" w:hAnsi="仿宋"/>
          <w:szCs w:val="32"/>
        </w:rPr>
        <w:t>财政性资金建设项目，其概、预（结）算、竣工决算必须经过生态新区财政金融审计局预审并会同市财政投资评审机构审核。审查的主要内容包括：项目前期工作、工程预算、工程招标标底、工程价款计算、重大设计变更、工程竣工财务决（结）算等。建设项目招标控制价需经生态新区财政金融审计局预审并会同市财政评审中心审定后，方可报定额站备案，招标办招标。</w:t>
      </w:r>
    </w:p>
    <w:p>
      <w:pPr>
        <w:spacing w:line="360" w:lineRule="auto"/>
        <w:ind w:firstLine="640" w:firstLineChars="200"/>
        <w:outlineLvl w:val="0"/>
        <w:rPr>
          <w:rFonts w:ascii="黑体" w:hAnsi="黑体" w:eastAsia="黑体"/>
          <w:szCs w:val="32"/>
        </w:rPr>
      </w:pPr>
      <w:bookmarkStart w:id="173" w:name="_Toc32043"/>
      <w:bookmarkStart w:id="174" w:name="_Toc13463"/>
      <w:bookmarkStart w:id="175" w:name="_Toc26825"/>
      <w:bookmarkStart w:id="176" w:name="_Toc20192"/>
      <w:bookmarkStart w:id="177" w:name="_Toc12952"/>
      <w:r>
        <w:rPr>
          <w:rFonts w:hint="eastAsia" w:ascii="黑体" w:hAnsi="黑体" w:eastAsia="黑体"/>
          <w:szCs w:val="32"/>
        </w:rPr>
        <w:t>（四）资金专户管理</w:t>
      </w:r>
      <w:bookmarkEnd w:id="173"/>
      <w:bookmarkEnd w:id="174"/>
      <w:bookmarkEnd w:id="175"/>
      <w:bookmarkEnd w:id="176"/>
      <w:bookmarkEnd w:id="177"/>
    </w:p>
    <w:p>
      <w:pPr>
        <w:spacing w:line="360" w:lineRule="auto"/>
        <w:ind w:firstLine="640" w:firstLineChars="200"/>
        <w:rPr>
          <w:rFonts w:ascii="仿宋" w:hAnsi="仿宋"/>
          <w:szCs w:val="32"/>
        </w:rPr>
      </w:pPr>
      <w:r>
        <w:rPr>
          <w:rFonts w:hint="eastAsia" w:ascii="仿宋" w:hAnsi="仿宋"/>
          <w:szCs w:val="32"/>
        </w:rPr>
        <w:t>财政部门要建立基本建设资金专户，财政性基本建设（除维修、装潢外）资金必须存入财政基建专户，并按相关规定对资金进行管理；建设单位也要设立基建专户，对从财政基建专户拨入的基建资金实行专人、专账、专户管理。</w:t>
      </w:r>
    </w:p>
    <w:p>
      <w:pPr>
        <w:spacing w:line="360" w:lineRule="auto"/>
        <w:ind w:firstLine="640" w:firstLineChars="200"/>
        <w:outlineLvl w:val="0"/>
        <w:rPr>
          <w:rFonts w:ascii="黑体" w:hAnsi="黑体" w:eastAsia="黑体"/>
          <w:szCs w:val="32"/>
        </w:rPr>
      </w:pPr>
      <w:bookmarkStart w:id="178" w:name="_Toc15060"/>
      <w:bookmarkStart w:id="179" w:name="_Toc31585"/>
      <w:bookmarkStart w:id="180" w:name="_Toc10200"/>
      <w:bookmarkStart w:id="181" w:name="_Toc22006"/>
      <w:bookmarkStart w:id="182" w:name="_Toc2011"/>
      <w:r>
        <w:rPr>
          <w:rFonts w:hint="eastAsia" w:ascii="黑体" w:hAnsi="黑体" w:eastAsia="黑体"/>
          <w:szCs w:val="32"/>
        </w:rPr>
        <w:t>（五）项目变更管理</w:t>
      </w:r>
      <w:bookmarkEnd w:id="178"/>
      <w:bookmarkEnd w:id="179"/>
      <w:bookmarkEnd w:id="180"/>
      <w:bookmarkEnd w:id="181"/>
      <w:bookmarkEnd w:id="182"/>
    </w:p>
    <w:p>
      <w:pPr>
        <w:spacing w:line="360" w:lineRule="auto"/>
        <w:ind w:firstLine="640" w:firstLineChars="200"/>
        <w:rPr>
          <w:rFonts w:ascii="仿宋" w:hAnsi="仿宋"/>
          <w:szCs w:val="32"/>
        </w:rPr>
      </w:pPr>
      <w:r>
        <w:rPr>
          <w:rFonts w:hint="eastAsia" w:ascii="仿宋" w:hAnsi="仿宋"/>
          <w:szCs w:val="32"/>
        </w:rPr>
        <w:t>建设项目总投资500万元以内变更超过总投资20%的项目，总投资500万元以上变更超过总投资10%的项目应向白城市新区财政等相关部门提出申请，经研究审定。</w:t>
      </w:r>
    </w:p>
    <w:p>
      <w:pPr>
        <w:spacing w:line="360" w:lineRule="auto"/>
        <w:ind w:firstLine="640" w:firstLineChars="200"/>
        <w:outlineLvl w:val="0"/>
        <w:rPr>
          <w:rFonts w:ascii="黑体" w:hAnsi="黑体" w:eastAsia="黑体"/>
          <w:szCs w:val="32"/>
        </w:rPr>
      </w:pPr>
      <w:bookmarkStart w:id="183" w:name="_Toc9977"/>
      <w:bookmarkStart w:id="184" w:name="_Toc819"/>
      <w:bookmarkStart w:id="185" w:name="_Toc26871"/>
      <w:bookmarkStart w:id="186" w:name="_Toc21532"/>
      <w:bookmarkStart w:id="187" w:name="_Toc31010"/>
      <w:r>
        <w:rPr>
          <w:rFonts w:hint="eastAsia" w:ascii="黑体" w:hAnsi="黑体" w:eastAsia="黑体"/>
          <w:szCs w:val="32"/>
        </w:rPr>
        <w:t>（六）严格拨款程序</w:t>
      </w:r>
      <w:bookmarkEnd w:id="183"/>
      <w:bookmarkEnd w:id="184"/>
      <w:bookmarkEnd w:id="185"/>
      <w:bookmarkEnd w:id="186"/>
      <w:bookmarkEnd w:id="187"/>
    </w:p>
    <w:p>
      <w:pPr>
        <w:spacing w:line="360" w:lineRule="auto"/>
        <w:ind w:firstLine="640" w:firstLineChars="200"/>
        <w:rPr>
          <w:rFonts w:ascii="仿宋" w:hAnsi="仿宋"/>
          <w:szCs w:val="32"/>
        </w:rPr>
      </w:pPr>
      <w:r>
        <w:rPr>
          <w:rFonts w:hint="eastAsia" w:ascii="仿宋" w:hAnsi="仿宋"/>
          <w:szCs w:val="32"/>
        </w:rPr>
        <w:t>生态新区财政金融审计局根据预审会同市评审中心审核后的年度投资计划和项目单位申请，按工程建设进度分期拨付建设资金。未经评审的项目财政部门不予拨付资金。工程建设期间，累计拨付的资金不得超过工程造价或投资计划的</w:t>
      </w:r>
      <w:r>
        <w:rPr>
          <w:rFonts w:ascii="仿宋" w:hAnsi="仿宋"/>
          <w:szCs w:val="32"/>
        </w:rPr>
        <w:t>80</w:t>
      </w:r>
      <w:r>
        <w:rPr>
          <w:rFonts w:hint="eastAsia" w:ascii="仿宋" w:hAnsi="仿宋"/>
          <w:szCs w:val="32"/>
        </w:rPr>
        <w:t>％，工程决算后应按工程决算金额的</w:t>
      </w:r>
      <w:r>
        <w:rPr>
          <w:rFonts w:ascii="仿宋" w:hAnsi="仿宋"/>
          <w:szCs w:val="32"/>
        </w:rPr>
        <w:t>5</w:t>
      </w:r>
      <w:r>
        <w:rPr>
          <w:rFonts w:hint="eastAsia" w:ascii="仿宋" w:hAnsi="仿宋"/>
          <w:szCs w:val="32"/>
        </w:rPr>
        <w:t>％预留工程质量保证金，作为保修期内的维修费。</w:t>
      </w:r>
    </w:p>
    <w:p>
      <w:pPr>
        <w:spacing w:line="360" w:lineRule="auto"/>
        <w:ind w:firstLine="640" w:firstLineChars="200"/>
        <w:outlineLvl w:val="0"/>
        <w:rPr>
          <w:rFonts w:ascii="黑体" w:hAnsi="黑体" w:eastAsia="黑体"/>
          <w:szCs w:val="32"/>
        </w:rPr>
      </w:pPr>
      <w:bookmarkStart w:id="188" w:name="_Toc709"/>
      <w:bookmarkStart w:id="189" w:name="_Toc14986"/>
      <w:bookmarkStart w:id="190" w:name="_Toc2007"/>
      <w:bookmarkStart w:id="191" w:name="_Toc9964"/>
      <w:bookmarkStart w:id="192" w:name="_Toc11066"/>
      <w:r>
        <w:rPr>
          <w:rFonts w:hint="eastAsia" w:ascii="黑体" w:hAnsi="黑体" w:eastAsia="黑体"/>
          <w:szCs w:val="32"/>
        </w:rPr>
        <w:t>（七）项目单位申请资金需提供的资料</w:t>
      </w:r>
      <w:bookmarkEnd w:id="188"/>
      <w:bookmarkEnd w:id="189"/>
      <w:bookmarkEnd w:id="190"/>
      <w:bookmarkEnd w:id="191"/>
      <w:bookmarkEnd w:id="192"/>
    </w:p>
    <w:p>
      <w:pPr>
        <w:spacing w:line="360" w:lineRule="auto"/>
        <w:ind w:firstLine="640" w:firstLineChars="200"/>
        <w:rPr>
          <w:rFonts w:ascii="仿宋" w:hAnsi="仿宋"/>
          <w:szCs w:val="32"/>
        </w:rPr>
      </w:pPr>
      <w:r>
        <w:rPr>
          <w:rFonts w:hint="eastAsia" w:ascii="仿宋" w:hAnsi="仿宋"/>
          <w:szCs w:val="32"/>
        </w:rPr>
        <w:t>项目单位申请资金需提供：项目立项文件、可行性研究报告、工程预算书、招投标文件、工程监理及施工合同、基建项目评审结论等。 </w:t>
      </w:r>
    </w:p>
    <w:p>
      <w:pPr>
        <w:spacing w:line="360" w:lineRule="auto"/>
        <w:ind w:firstLine="640" w:firstLineChars="200"/>
        <w:rPr>
          <w:rFonts w:ascii="仿宋" w:hAnsi="仿宋" w:cs="宋体"/>
          <w:kern w:val="0"/>
          <w:szCs w:val="32"/>
        </w:rPr>
      </w:pPr>
      <w:r>
        <w:rPr>
          <w:rFonts w:hint="eastAsia" w:ascii="仿宋" w:hAnsi="仿宋"/>
          <w:szCs w:val="32"/>
        </w:rPr>
        <w:t>被审核的基本建设工程决算需提供：工程决算书、工程竣工验收报告、招标文、投标文件、中标通知书、施工合同、协议、施工图或竣工图、工程量计算书、劳</w:t>
      </w:r>
      <w:r>
        <w:rPr>
          <w:rFonts w:hint="eastAsia" w:ascii="仿宋" w:hAnsi="仿宋" w:cs="宋体"/>
          <w:kern w:val="0"/>
          <w:szCs w:val="32"/>
        </w:rPr>
        <w:t>保取费证明、影像资料、经批准的施工组织设计、工程变更签证资料、隐蔽工程资料等。</w:t>
      </w:r>
    </w:p>
    <w:p>
      <w:pPr>
        <w:spacing w:line="360" w:lineRule="auto"/>
        <w:ind w:firstLine="627" w:firstLineChars="196"/>
        <w:outlineLvl w:val="0"/>
        <w:rPr>
          <w:rFonts w:ascii="黑体" w:hAnsi="黑体" w:eastAsia="黑体"/>
          <w:szCs w:val="32"/>
        </w:rPr>
      </w:pPr>
      <w:bookmarkStart w:id="193" w:name="_Toc12967"/>
      <w:bookmarkStart w:id="194" w:name="_Toc13648"/>
      <w:bookmarkStart w:id="195" w:name="_Toc8354"/>
      <w:bookmarkStart w:id="196" w:name="_Toc23260"/>
      <w:bookmarkStart w:id="197" w:name="_Toc20399"/>
      <w:r>
        <w:rPr>
          <w:rFonts w:hint="eastAsia" w:ascii="黑体" w:hAnsi="黑体" w:eastAsia="黑体"/>
          <w:szCs w:val="32"/>
        </w:rPr>
        <w:t>（八）项目决算管理</w:t>
      </w:r>
      <w:bookmarkEnd w:id="193"/>
      <w:bookmarkEnd w:id="194"/>
      <w:bookmarkEnd w:id="195"/>
      <w:bookmarkEnd w:id="196"/>
      <w:bookmarkEnd w:id="197"/>
    </w:p>
    <w:p>
      <w:pPr>
        <w:spacing w:line="360" w:lineRule="auto"/>
        <w:ind w:firstLine="640" w:firstLineChars="200"/>
        <w:rPr>
          <w:rFonts w:ascii="仿宋" w:hAnsi="仿宋"/>
          <w:szCs w:val="32"/>
        </w:rPr>
      </w:pPr>
      <w:r>
        <w:rPr>
          <w:rFonts w:hint="eastAsia" w:ascii="仿宋" w:hAnsi="仿宋"/>
          <w:szCs w:val="32"/>
        </w:rPr>
        <w:t>建设项目完工一个月内，必须将工程决算报生态新区财政金融审计局，生态新区财政金融审计局会同市财政投资评审中心审核，审核后办理项目竣工验收手续，逾期不报的，财政部门不予拨付建设项目尾款。</w:t>
      </w:r>
    </w:p>
    <w:p>
      <w:pPr>
        <w:spacing w:line="360" w:lineRule="auto"/>
        <w:ind w:firstLine="640" w:firstLineChars="200"/>
        <w:outlineLvl w:val="0"/>
        <w:rPr>
          <w:rFonts w:ascii="黑体" w:hAnsi="黑体" w:eastAsia="黑体"/>
          <w:szCs w:val="32"/>
        </w:rPr>
      </w:pPr>
      <w:bookmarkStart w:id="198" w:name="_Toc31480"/>
      <w:bookmarkStart w:id="199" w:name="_Toc4965"/>
      <w:bookmarkStart w:id="200" w:name="_Toc3920"/>
      <w:bookmarkStart w:id="201" w:name="_Toc26947"/>
      <w:bookmarkStart w:id="202" w:name="_Toc19733"/>
      <w:r>
        <w:rPr>
          <w:rFonts w:hint="eastAsia" w:ascii="黑体" w:hAnsi="黑体" w:eastAsia="黑体"/>
          <w:szCs w:val="32"/>
        </w:rPr>
        <w:t>（九）明确法人责任</w:t>
      </w:r>
      <w:bookmarkEnd w:id="198"/>
      <w:bookmarkEnd w:id="199"/>
      <w:bookmarkEnd w:id="200"/>
      <w:bookmarkEnd w:id="201"/>
      <w:bookmarkEnd w:id="202"/>
    </w:p>
    <w:p>
      <w:pPr>
        <w:widowControl/>
        <w:wordWrap w:val="0"/>
        <w:spacing w:line="432" w:lineRule="atLeast"/>
        <w:ind w:firstLine="640" w:firstLineChars="200"/>
        <w:jc w:val="left"/>
        <w:rPr>
          <w:rFonts w:ascii="仿宋" w:hAnsi="仿宋"/>
          <w:b/>
          <w:bCs/>
          <w:szCs w:val="32"/>
        </w:rPr>
      </w:pPr>
      <w:r>
        <w:rPr>
          <w:rFonts w:hint="eastAsia" w:ascii="仿宋" w:hAnsi="仿宋"/>
          <w:szCs w:val="32"/>
        </w:rPr>
        <w:t xml:space="preserve">项目单位法人对基本建设项目财务管理负直接领导责任，要坚决杜绝项目资金在使用和建设过程中的违纪、违法行为，如出现问题将依法、依纪追究法人及相关人员责任。                 </w:t>
      </w:r>
      <w:r>
        <w:rPr>
          <w:rFonts w:hint="eastAsia" w:ascii="仿宋" w:hAnsi="仿宋"/>
          <w:b/>
          <w:bCs/>
          <w:szCs w:val="32"/>
        </w:rPr>
        <w:t>第九章  财务审批制度</w:t>
      </w:r>
    </w:p>
    <w:p>
      <w:pPr>
        <w:widowControl/>
        <w:wordWrap w:val="0"/>
        <w:spacing w:line="432" w:lineRule="atLeast"/>
        <w:ind w:firstLine="643" w:firstLineChars="200"/>
        <w:jc w:val="left"/>
        <w:rPr>
          <w:rFonts w:ascii="仿宋" w:hAnsi="仿宋"/>
          <w:szCs w:val="32"/>
        </w:rPr>
      </w:pPr>
      <w:r>
        <w:rPr>
          <w:rFonts w:hint="eastAsia" w:ascii="仿宋" w:hAnsi="仿宋"/>
          <w:b/>
          <w:bCs/>
          <w:szCs w:val="32"/>
        </w:rPr>
        <w:t>第</w:t>
      </w:r>
      <w:r>
        <w:rPr>
          <w:rFonts w:hint="eastAsia" w:ascii="楷体" w:hAnsi="楷体" w:eastAsia="楷体"/>
          <w:b/>
          <w:szCs w:val="32"/>
        </w:rPr>
        <w:t>四十五</w:t>
      </w:r>
      <w:r>
        <w:rPr>
          <w:rFonts w:hint="eastAsia" w:ascii="仿宋" w:hAnsi="仿宋"/>
          <w:b/>
          <w:bCs/>
          <w:szCs w:val="32"/>
        </w:rPr>
        <w:t>条</w:t>
      </w:r>
      <w:r>
        <w:rPr>
          <w:rFonts w:hint="eastAsia" w:ascii="仿宋" w:hAnsi="仿宋"/>
          <w:szCs w:val="32"/>
        </w:rPr>
        <w:t xml:space="preserve"> 为了加强财务管理，规范财务工作程序，提高资金的使用效能，现将财务签批权限及审签顺序通知你们，望接此通知后遵照执行。</w:t>
      </w:r>
    </w:p>
    <w:p>
      <w:pPr>
        <w:ind w:firstLine="640" w:firstLineChars="200"/>
        <w:outlineLvl w:val="0"/>
        <w:rPr>
          <w:rFonts w:ascii="黑体" w:hAnsi="黑体" w:eastAsia="黑体"/>
          <w:szCs w:val="32"/>
        </w:rPr>
      </w:pPr>
      <w:bookmarkStart w:id="203" w:name="_Toc17181"/>
      <w:bookmarkStart w:id="204" w:name="_Toc15"/>
      <w:bookmarkStart w:id="205" w:name="_Toc19077"/>
      <w:bookmarkStart w:id="206" w:name="_Toc11389"/>
      <w:bookmarkStart w:id="207" w:name="_Toc22173"/>
      <w:r>
        <w:rPr>
          <w:rFonts w:hint="eastAsia" w:ascii="黑体" w:hAnsi="黑体" w:eastAsia="黑体"/>
          <w:szCs w:val="32"/>
        </w:rPr>
        <w:t>一.借款的签批顺序</w:t>
      </w:r>
      <w:bookmarkEnd w:id="203"/>
      <w:bookmarkEnd w:id="204"/>
      <w:bookmarkEnd w:id="205"/>
      <w:bookmarkEnd w:id="206"/>
      <w:bookmarkEnd w:id="207"/>
    </w:p>
    <w:p>
      <w:pPr>
        <w:ind w:firstLine="640" w:firstLineChars="200"/>
        <w:rPr>
          <w:rFonts w:ascii="仿宋" w:hAnsi="仿宋"/>
          <w:szCs w:val="32"/>
        </w:rPr>
      </w:pPr>
      <w:r>
        <w:rPr>
          <w:rFonts w:hint="eastAsia" w:ascii="仿宋" w:hAnsi="仿宋"/>
          <w:szCs w:val="32"/>
        </w:rPr>
        <w:t>经办人提出申请，所在部门负责人和分管领导在申请上签批，财务签批顺序是：主管会计―财政局长－分管财政副主任—金额较大的须经主要领导和领导班子研究决定。</w:t>
      </w:r>
    </w:p>
    <w:p>
      <w:pPr>
        <w:ind w:firstLine="640" w:firstLineChars="200"/>
        <w:outlineLvl w:val="0"/>
        <w:rPr>
          <w:rFonts w:ascii="黑体" w:hAnsi="黑体" w:eastAsia="黑体"/>
          <w:szCs w:val="32"/>
        </w:rPr>
      </w:pPr>
      <w:bookmarkStart w:id="208" w:name="_Toc29053"/>
      <w:bookmarkStart w:id="209" w:name="_Toc19498"/>
      <w:bookmarkStart w:id="210" w:name="_Toc19740"/>
      <w:bookmarkStart w:id="211" w:name="_Toc17060"/>
      <w:bookmarkStart w:id="212" w:name="_Toc28390"/>
      <w:r>
        <w:rPr>
          <w:rFonts w:hint="eastAsia" w:ascii="黑体" w:hAnsi="黑体" w:eastAsia="黑体"/>
          <w:szCs w:val="32"/>
        </w:rPr>
        <w:t>二.资金拨款的签批顺序</w:t>
      </w:r>
      <w:bookmarkEnd w:id="208"/>
      <w:bookmarkEnd w:id="209"/>
      <w:bookmarkEnd w:id="210"/>
      <w:bookmarkEnd w:id="211"/>
      <w:bookmarkEnd w:id="212"/>
    </w:p>
    <w:p>
      <w:pPr>
        <w:ind w:firstLine="643" w:firstLineChars="200"/>
        <w:rPr>
          <w:rFonts w:ascii="楷体" w:hAnsi="楷体" w:eastAsia="楷体"/>
          <w:b/>
          <w:szCs w:val="32"/>
        </w:rPr>
      </w:pPr>
      <w:r>
        <w:rPr>
          <w:rFonts w:hint="eastAsia" w:ascii="楷体" w:hAnsi="楷体" w:eastAsia="楷体"/>
          <w:b/>
          <w:szCs w:val="32"/>
        </w:rPr>
        <w:t>（一）专项资金</w:t>
      </w:r>
    </w:p>
    <w:p>
      <w:pPr>
        <w:ind w:firstLine="640" w:firstLineChars="200"/>
        <w:rPr>
          <w:rFonts w:ascii="仿宋" w:hAnsi="仿宋"/>
          <w:szCs w:val="32"/>
        </w:rPr>
      </w:pPr>
      <w:r>
        <w:rPr>
          <w:rFonts w:hint="eastAsia" w:ascii="仿宋" w:hAnsi="仿宋"/>
          <w:szCs w:val="32"/>
        </w:rPr>
        <w:t>1.由用款单位提出用款申请，并按财务要求附相关资料手续（相关手续参照《白城市生态新区专项资金管理办法》和《白城市生态新区征地拆迁资金管理办法》）。</w:t>
      </w:r>
    </w:p>
    <w:p>
      <w:pPr>
        <w:tabs>
          <w:tab w:val="left" w:pos="720"/>
        </w:tabs>
        <w:ind w:firstLine="640" w:firstLineChars="200"/>
        <w:rPr>
          <w:rFonts w:ascii="仿宋" w:hAnsi="仿宋"/>
          <w:szCs w:val="32"/>
        </w:rPr>
      </w:pPr>
      <w:r>
        <w:rPr>
          <w:rFonts w:hint="eastAsia" w:ascii="仿宋" w:hAnsi="仿宋"/>
          <w:szCs w:val="32"/>
        </w:rPr>
        <w:t>2.经办人提出申请，所在部门负责人和分管领导在专项资金申请单上签批，专项拨款签批的顺序是：预算总会计－财政局长－分管财政副主任—金额较大的须经主要领导和领导班子研究决定。</w:t>
      </w:r>
    </w:p>
    <w:p>
      <w:pPr>
        <w:ind w:firstLine="643" w:firstLineChars="200"/>
        <w:rPr>
          <w:rFonts w:ascii="楷体" w:hAnsi="楷体" w:eastAsia="楷体"/>
          <w:b/>
          <w:szCs w:val="32"/>
        </w:rPr>
      </w:pPr>
      <w:r>
        <w:rPr>
          <w:rFonts w:hint="eastAsia" w:ascii="楷体" w:hAnsi="楷体" w:eastAsia="楷体"/>
          <w:b/>
          <w:szCs w:val="32"/>
        </w:rPr>
        <w:t>（二）经费支出</w:t>
      </w:r>
    </w:p>
    <w:p>
      <w:pPr>
        <w:tabs>
          <w:tab w:val="left" w:pos="360"/>
          <w:tab w:val="left" w:pos="540"/>
        </w:tabs>
        <w:ind w:left="-80" w:leftChars="-100" w:hanging="240" w:hangingChars="75"/>
        <w:rPr>
          <w:rFonts w:ascii="仿宋" w:hAnsi="仿宋"/>
          <w:szCs w:val="32"/>
        </w:rPr>
      </w:pPr>
      <w:r>
        <w:rPr>
          <w:rFonts w:hint="eastAsia" w:ascii="仿宋" w:hAnsi="仿宋"/>
          <w:szCs w:val="32"/>
        </w:rPr>
        <w:t>　　　经办人提出申请，所在部门负责人和分管领导在报销审批单上签批，在经费支出付款单上签批的顺序是：主管会计－财政局长－分管财政副主任—金额较大的须经主要领导和领导班子研究决定。</w:t>
      </w:r>
    </w:p>
    <w:p>
      <w:pPr>
        <w:ind w:firstLine="800" w:firstLineChars="250"/>
        <w:outlineLvl w:val="0"/>
        <w:rPr>
          <w:rFonts w:ascii="黑体" w:hAnsi="黑体" w:eastAsia="黑体"/>
          <w:szCs w:val="32"/>
        </w:rPr>
      </w:pPr>
      <w:bookmarkStart w:id="213" w:name="_Toc32237"/>
      <w:bookmarkStart w:id="214" w:name="_Toc8064"/>
      <w:bookmarkStart w:id="215" w:name="_Toc14023"/>
      <w:bookmarkStart w:id="216" w:name="_Toc17963"/>
      <w:bookmarkStart w:id="217" w:name="_Toc11838"/>
      <w:r>
        <w:rPr>
          <w:rFonts w:hint="eastAsia" w:ascii="黑体" w:hAnsi="黑体" w:eastAsia="黑体"/>
          <w:szCs w:val="32"/>
        </w:rPr>
        <w:t>三.付款额度权限</w:t>
      </w:r>
      <w:bookmarkEnd w:id="213"/>
      <w:bookmarkEnd w:id="214"/>
      <w:bookmarkEnd w:id="215"/>
      <w:bookmarkEnd w:id="216"/>
      <w:bookmarkEnd w:id="217"/>
    </w:p>
    <w:p>
      <w:pPr>
        <w:ind w:firstLine="640" w:firstLineChars="200"/>
        <w:rPr>
          <w:rFonts w:ascii="仿宋" w:hAnsi="仿宋"/>
          <w:szCs w:val="32"/>
        </w:rPr>
      </w:pPr>
      <w:r>
        <w:rPr>
          <w:rFonts w:hint="eastAsia" w:ascii="仿宋" w:hAnsi="仿宋"/>
          <w:szCs w:val="32"/>
        </w:rPr>
        <w:t>受新区办委托，所有付款均由分管财政副主任签批，涉及金额较大的需经主要领导和领导班子研究决定。</w:t>
      </w:r>
    </w:p>
    <w:p>
      <w:pPr>
        <w:ind w:left="420"/>
        <w:rPr>
          <w:rFonts w:ascii="仿宋" w:hAnsi="仿宋"/>
          <w:szCs w:val="32"/>
        </w:rPr>
      </w:pPr>
    </w:p>
    <w:p>
      <w:pPr>
        <w:ind w:left="420"/>
        <w:rPr>
          <w:rFonts w:ascii="仿宋" w:hAnsi="仿宋"/>
          <w:szCs w:val="32"/>
        </w:rPr>
      </w:pPr>
      <w:r>
        <w:rPr>
          <w:rFonts w:hint="eastAsia" w:ascii="仿宋" w:hAnsi="仿宋"/>
          <w:szCs w:val="32"/>
        </w:rPr>
        <w:t>　　　　　　　　</w:t>
      </w:r>
    </w:p>
    <w:p>
      <w:pPr>
        <w:widowControl/>
        <w:spacing w:line="600" w:lineRule="exact"/>
        <w:jc w:val="left"/>
      </w:pPr>
    </w:p>
    <w:p>
      <w:pPr>
        <w:widowControl/>
        <w:spacing w:line="600" w:lineRule="exact"/>
        <w:jc w:val="left"/>
      </w:pPr>
    </w:p>
    <w:p>
      <w:pPr>
        <w:widowControl/>
        <w:wordWrap w:val="0"/>
        <w:spacing w:line="432" w:lineRule="atLeast"/>
        <w:ind w:firstLine="640"/>
        <w:jc w:val="left"/>
        <w:rPr>
          <w:rFonts w:ascii="仿宋" w:hAnsi="仿宋" w:cs="Arial"/>
          <w:color w:val="000000"/>
          <w:kern w:val="0"/>
          <w:szCs w:val="32"/>
        </w:rPr>
      </w:pPr>
    </w:p>
    <w:p>
      <w:pPr>
        <w:widowControl/>
        <w:wordWrap w:val="0"/>
        <w:spacing w:line="432" w:lineRule="atLeast"/>
        <w:ind w:firstLine="640"/>
        <w:jc w:val="left"/>
        <w:rPr>
          <w:rFonts w:ascii="仿宋" w:hAnsi="仿宋" w:cs="Arial"/>
          <w:color w:val="000000"/>
          <w:kern w:val="0"/>
          <w:szCs w:val="32"/>
        </w:rPr>
      </w:pPr>
    </w:p>
    <w:p>
      <w:pPr>
        <w:widowControl/>
        <w:wordWrap w:val="0"/>
        <w:spacing w:line="432" w:lineRule="atLeast"/>
        <w:ind w:firstLine="640"/>
        <w:jc w:val="left"/>
        <w:rPr>
          <w:rFonts w:ascii="仿宋" w:hAnsi="仿宋" w:cs="Arial"/>
          <w:color w:val="000000"/>
          <w:kern w:val="0"/>
          <w:szCs w:val="32"/>
        </w:rPr>
      </w:pPr>
    </w:p>
    <w:p/>
    <w:p>
      <w:pPr>
        <w:pStyle w:val="2"/>
      </w:pPr>
      <w:r>
        <w:rPr>
          <w:rFonts w:hint="eastAsia"/>
        </w:rPr>
        <w:t>10、公务接待管理制度</w:t>
      </w:r>
      <w:bookmarkEnd w:id="141"/>
    </w:p>
    <w:p>
      <w:pPr>
        <w:ind w:firstLine="640" w:firstLineChars="200"/>
        <w:outlineLvl w:val="0"/>
        <w:rPr>
          <w:rFonts w:ascii="黑体" w:hAnsi="黑体" w:eastAsia="黑体" w:cs="黑体"/>
          <w:bCs/>
          <w:szCs w:val="32"/>
        </w:rPr>
      </w:pPr>
      <w:bookmarkStart w:id="218" w:name="_Toc23408"/>
      <w:bookmarkStart w:id="219" w:name="_Toc3194"/>
      <w:bookmarkStart w:id="220" w:name="_Toc26733"/>
      <w:bookmarkStart w:id="221" w:name="_Toc25796"/>
      <w:bookmarkStart w:id="222" w:name="_Toc17365"/>
      <w:bookmarkStart w:id="223" w:name="_Toc15333"/>
      <w:bookmarkStart w:id="224" w:name="_Toc2383"/>
      <w:r>
        <w:rPr>
          <w:rFonts w:hint="eastAsia" w:ascii="黑体" w:hAnsi="黑体" w:eastAsia="黑体" w:cs="黑体"/>
          <w:bCs/>
          <w:szCs w:val="32"/>
        </w:rPr>
        <w:t>一、公务接待规定</w:t>
      </w:r>
      <w:bookmarkEnd w:id="218"/>
      <w:bookmarkEnd w:id="219"/>
      <w:bookmarkEnd w:id="220"/>
      <w:bookmarkEnd w:id="221"/>
      <w:bookmarkEnd w:id="222"/>
      <w:bookmarkEnd w:id="223"/>
      <w:bookmarkEnd w:id="224"/>
    </w:p>
    <w:p>
      <w:pPr>
        <w:rPr>
          <w:rFonts w:ascii="仿宋_GB2312" w:eastAsia="仿宋_GB2312"/>
          <w:szCs w:val="32"/>
        </w:rPr>
      </w:pPr>
      <w:r>
        <w:rPr>
          <w:rFonts w:hint="eastAsia" w:ascii="仿宋_GB2312" w:eastAsia="仿宋_GB2312"/>
          <w:szCs w:val="32"/>
        </w:rPr>
        <w:t xml:space="preserve">   </w:t>
      </w:r>
      <w:r>
        <w:rPr>
          <w:rFonts w:hint="eastAsia" w:ascii="仿宋" w:hAnsi="仿宋" w:cs="仿宋"/>
          <w:szCs w:val="32"/>
        </w:rPr>
        <w:t xml:space="preserve"> 新区各类公务活动要严格控制时间、内容和人员数量，禁止重复性考察，禁止以各种名义和方式变相旅游，禁止违反规定到风景名胜区举办会议和活动。禁止以公务活动为借口，开展部门之间无特别需要的一般性学习交流、考察调研。确实因工作需要接待的，必须出示接待公函，并经新区主要领导审批同意后，报行政办公室统一安排接待。</w:t>
      </w:r>
    </w:p>
    <w:p>
      <w:pPr>
        <w:ind w:firstLine="640" w:firstLineChars="200"/>
        <w:outlineLvl w:val="0"/>
        <w:rPr>
          <w:rFonts w:ascii="黑体" w:hAnsi="黑体" w:eastAsia="黑体" w:cs="黑体"/>
          <w:bCs/>
          <w:szCs w:val="32"/>
        </w:rPr>
      </w:pPr>
      <w:bookmarkStart w:id="225" w:name="_Toc23781"/>
      <w:bookmarkStart w:id="226" w:name="_Toc22572"/>
      <w:bookmarkStart w:id="227" w:name="_Toc31278"/>
      <w:bookmarkStart w:id="228" w:name="_Toc26172"/>
      <w:bookmarkStart w:id="229" w:name="_Toc30307"/>
      <w:bookmarkStart w:id="230" w:name="_Toc19429"/>
      <w:bookmarkStart w:id="231" w:name="_Toc11321"/>
      <w:bookmarkStart w:id="232" w:name="_Toc15069"/>
      <w:r>
        <w:rPr>
          <w:rFonts w:hint="eastAsia" w:ascii="黑体" w:hAnsi="黑体" w:eastAsia="黑体" w:cs="黑体"/>
          <w:bCs/>
          <w:szCs w:val="32"/>
        </w:rPr>
        <w:t>二、公务接待范围</w:t>
      </w:r>
      <w:bookmarkEnd w:id="225"/>
      <w:bookmarkEnd w:id="226"/>
      <w:bookmarkEnd w:id="227"/>
      <w:bookmarkEnd w:id="228"/>
      <w:bookmarkEnd w:id="229"/>
      <w:bookmarkEnd w:id="230"/>
      <w:bookmarkEnd w:id="231"/>
      <w:bookmarkEnd w:id="232"/>
    </w:p>
    <w:p>
      <w:pPr>
        <w:rPr>
          <w:rFonts w:ascii="仿宋" w:hAnsi="仿宋" w:cs="仿宋"/>
          <w:szCs w:val="32"/>
        </w:rPr>
      </w:pPr>
      <w:r>
        <w:rPr>
          <w:rFonts w:hint="eastAsia" w:ascii="仿宋_GB2312" w:eastAsia="仿宋_GB2312"/>
          <w:szCs w:val="32"/>
        </w:rPr>
        <w:t xml:space="preserve">    </w:t>
      </w:r>
      <w:r>
        <w:rPr>
          <w:rFonts w:hint="eastAsia" w:ascii="仿宋" w:hAnsi="仿宋" w:cs="仿宋"/>
          <w:szCs w:val="32"/>
        </w:rPr>
        <w:t>（一）出席会议、考察调研、执行任务、学习交流、检查指导、请示汇报工作等公务活动，属于公务接待范围。</w:t>
      </w:r>
    </w:p>
    <w:p>
      <w:pPr>
        <w:rPr>
          <w:rFonts w:ascii="仿宋" w:hAnsi="仿宋" w:cs="仿宋"/>
          <w:szCs w:val="32"/>
        </w:rPr>
      </w:pPr>
      <w:r>
        <w:rPr>
          <w:rFonts w:hint="eastAsia" w:ascii="仿宋" w:hAnsi="仿宋" w:cs="仿宋"/>
          <w:szCs w:val="32"/>
        </w:rPr>
        <w:t xml:space="preserve">    （二）严格控制接待范围。严格按照相关规定的范围执行，不得用公款报销或支付应由个人负担的费用。干部职工不得要求将休假、探亲、旅游等活动纳入公务接待范围。</w:t>
      </w:r>
    </w:p>
    <w:p>
      <w:pPr>
        <w:rPr>
          <w:rFonts w:ascii="仿宋" w:hAnsi="仿宋" w:cs="仿宋"/>
          <w:szCs w:val="32"/>
        </w:rPr>
      </w:pPr>
      <w:r>
        <w:rPr>
          <w:rFonts w:hint="eastAsia" w:ascii="仿宋" w:hAnsi="仿宋" w:cs="仿宋"/>
          <w:szCs w:val="32"/>
        </w:rPr>
        <w:t xml:space="preserve">    （三）公休日、节假日不应安排公务活动。同城的公务活动不安排公务接待。</w:t>
      </w:r>
    </w:p>
    <w:p>
      <w:pPr>
        <w:ind w:firstLine="640" w:firstLineChars="200"/>
        <w:outlineLvl w:val="0"/>
        <w:rPr>
          <w:rFonts w:ascii="楷体_GB2312" w:eastAsia="楷体_GB2312"/>
          <w:b/>
          <w:szCs w:val="32"/>
        </w:rPr>
      </w:pPr>
      <w:bookmarkStart w:id="233" w:name="_Toc27516"/>
      <w:bookmarkStart w:id="234" w:name="_Toc19437"/>
      <w:bookmarkStart w:id="235" w:name="_Toc20959"/>
      <w:bookmarkStart w:id="236" w:name="_Toc23181"/>
      <w:bookmarkStart w:id="237" w:name="_Toc9909"/>
      <w:bookmarkStart w:id="238" w:name="_Toc30536"/>
      <w:bookmarkStart w:id="239" w:name="_Toc4673"/>
      <w:bookmarkStart w:id="240" w:name="_Toc8532"/>
      <w:r>
        <w:rPr>
          <w:rFonts w:hint="eastAsia" w:ascii="黑体" w:hAnsi="黑体" w:eastAsia="黑体" w:cs="黑体"/>
          <w:bCs/>
          <w:szCs w:val="32"/>
        </w:rPr>
        <w:t>三、公务接待标准</w:t>
      </w:r>
      <w:bookmarkEnd w:id="233"/>
      <w:bookmarkEnd w:id="234"/>
      <w:bookmarkEnd w:id="235"/>
      <w:bookmarkEnd w:id="236"/>
      <w:bookmarkEnd w:id="237"/>
      <w:bookmarkEnd w:id="238"/>
      <w:bookmarkEnd w:id="239"/>
      <w:bookmarkEnd w:id="240"/>
    </w:p>
    <w:p>
      <w:pPr>
        <w:ind w:firstLine="640"/>
        <w:rPr>
          <w:rFonts w:ascii="仿宋" w:hAnsi="仿宋" w:cs="仿宋"/>
          <w:szCs w:val="32"/>
        </w:rPr>
      </w:pPr>
      <w:r>
        <w:rPr>
          <w:rFonts w:hint="eastAsia" w:ascii="仿宋_GB2312" w:eastAsia="仿宋_GB2312"/>
          <w:szCs w:val="32"/>
        </w:rPr>
        <w:t>（一）</w:t>
      </w:r>
      <w:r>
        <w:rPr>
          <w:rFonts w:hint="eastAsia" w:ascii="仿宋" w:hAnsi="仿宋" w:cs="仿宋"/>
          <w:szCs w:val="32"/>
        </w:rPr>
        <w:t>接待住宿应当严格执行差旅、会议管理的有关规定。应当坚持勤俭节约原则，住宿用房以标准间为主，接待省部级干部可以安排普通套间。不得超标准安排接待住房，不得额外配发洗漱用品。</w:t>
      </w:r>
    </w:p>
    <w:p>
      <w:pPr>
        <w:ind w:firstLine="640"/>
        <w:rPr>
          <w:rFonts w:ascii="仿宋" w:hAnsi="仿宋" w:cs="仿宋"/>
          <w:szCs w:val="32"/>
        </w:rPr>
      </w:pPr>
      <w:r>
        <w:rPr>
          <w:rFonts w:hint="eastAsia" w:ascii="仿宋" w:hAnsi="仿宋" w:cs="仿宋"/>
          <w:szCs w:val="32"/>
        </w:rPr>
        <w:t>（二）接待对象应当按照规定标准自行用餐。确因工作需要，接待单位可以安排工作餐一次，并严格控制陪餐人数。接待对象在10人以内的，陪餐人数不得超过3人；超过10人的，不得超过接待对象人数的三分之一。工作餐应当供应家常菜，不得提供鱼翅、燕窝等高档菜肴和用野生保护动物制作的菜肴，不得提供香烟和高档酒水，不得使用私人会所、高消费餐饮场所。</w:t>
      </w:r>
    </w:p>
    <w:p>
      <w:pPr>
        <w:ind w:firstLine="660"/>
        <w:rPr>
          <w:rFonts w:ascii="仿宋" w:hAnsi="仿宋" w:cs="仿宋"/>
          <w:szCs w:val="32"/>
        </w:rPr>
      </w:pPr>
      <w:r>
        <w:rPr>
          <w:rFonts w:hint="eastAsia" w:ascii="仿宋" w:hAnsi="仿宋" w:cs="仿宋"/>
          <w:szCs w:val="32"/>
        </w:rPr>
        <w:t>（三）公务接待的出行活动应当安排集中乘车，合理使用车型，严格控制随行车辆。</w:t>
      </w:r>
    </w:p>
    <w:p>
      <w:pPr>
        <w:outlineLvl w:val="0"/>
        <w:rPr>
          <w:rFonts w:ascii="楷体_GB2312" w:eastAsia="楷体_GB2312"/>
          <w:b/>
          <w:szCs w:val="32"/>
        </w:rPr>
      </w:pPr>
      <w:r>
        <w:rPr>
          <w:rFonts w:hint="eastAsia" w:ascii="仿宋_GB2312" w:eastAsia="仿宋_GB2312"/>
          <w:szCs w:val="32"/>
        </w:rPr>
        <w:t xml:space="preserve">    </w:t>
      </w:r>
      <w:bookmarkStart w:id="241" w:name="_Toc12883"/>
      <w:bookmarkStart w:id="242" w:name="_Toc21003"/>
      <w:bookmarkStart w:id="243" w:name="_Toc9479"/>
      <w:bookmarkStart w:id="244" w:name="_Toc32667"/>
      <w:bookmarkStart w:id="245" w:name="_Toc2492"/>
      <w:bookmarkStart w:id="246" w:name="_Toc5179"/>
      <w:bookmarkStart w:id="247" w:name="_Toc30775"/>
      <w:bookmarkStart w:id="248" w:name="_Toc18808"/>
      <w:r>
        <w:rPr>
          <w:rFonts w:hint="eastAsia" w:ascii="黑体" w:hAnsi="黑体" w:eastAsia="黑体" w:cs="黑体"/>
          <w:bCs/>
          <w:szCs w:val="32"/>
        </w:rPr>
        <w:t>四、公务接待审批制度</w:t>
      </w:r>
      <w:bookmarkEnd w:id="241"/>
      <w:bookmarkEnd w:id="242"/>
      <w:bookmarkEnd w:id="243"/>
      <w:bookmarkEnd w:id="244"/>
      <w:bookmarkEnd w:id="245"/>
      <w:bookmarkEnd w:id="246"/>
      <w:bookmarkEnd w:id="247"/>
      <w:bookmarkEnd w:id="248"/>
    </w:p>
    <w:p>
      <w:pPr>
        <w:ind w:firstLine="640" w:firstLineChars="200"/>
        <w:rPr>
          <w:rFonts w:ascii="仿宋" w:hAnsi="仿宋" w:cs="仿宋"/>
          <w:szCs w:val="32"/>
        </w:rPr>
      </w:pPr>
      <w:r>
        <w:rPr>
          <w:rFonts w:hint="eastAsia" w:ascii="仿宋" w:hAnsi="仿宋" w:cs="仿宋"/>
          <w:szCs w:val="32"/>
        </w:rPr>
        <w:t>根据规定的接待范围，严格接待审批控制，对能够合并的公务接待统筹安排。无公函的公务活动和来访人员一律不予接待。</w:t>
      </w:r>
    </w:p>
    <w:p>
      <w:pPr>
        <w:ind w:firstLine="640" w:firstLineChars="200"/>
        <w:rPr>
          <w:rFonts w:ascii="仿宋" w:hAnsi="仿宋" w:cs="仿宋"/>
          <w:szCs w:val="32"/>
        </w:rPr>
      </w:pPr>
      <w:r>
        <w:rPr>
          <w:rFonts w:hint="eastAsia" w:ascii="仿宋" w:hAnsi="仿宋" w:cs="仿宋"/>
          <w:szCs w:val="32"/>
        </w:rPr>
        <w:t>公务活动结束后，如实填写接待清单。接待清单包括接待对象的单位、姓名、职务和公务活动项目、时间、场所、费用等内容。</w:t>
      </w:r>
    </w:p>
    <w:p>
      <w:pPr>
        <w:outlineLvl w:val="0"/>
        <w:rPr>
          <w:rFonts w:ascii="楷体_GB2312" w:eastAsia="楷体_GB2312"/>
          <w:b/>
          <w:szCs w:val="32"/>
        </w:rPr>
      </w:pPr>
      <w:r>
        <w:rPr>
          <w:rFonts w:hint="eastAsia" w:ascii="仿宋_GB2312" w:eastAsia="仿宋_GB2312"/>
          <w:szCs w:val="32"/>
        </w:rPr>
        <w:t xml:space="preserve">   </w:t>
      </w:r>
      <w:r>
        <w:rPr>
          <w:rFonts w:hint="eastAsia" w:ascii="黑体" w:eastAsia="黑体"/>
          <w:szCs w:val="32"/>
        </w:rPr>
        <w:t xml:space="preserve"> </w:t>
      </w:r>
      <w:bookmarkStart w:id="249" w:name="_Toc5521"/>
      <w:bookmarkStart w:id="250" w:name="_Toc26716"/>
      <w:bookmarkStart w:id="251" w:name="_Toc26365"/>
      <w:bookmarkStart w:id="252" w:name="_Toc12776"/>
      <w:bookmarkStart w:id="253" w:name="_Toc12315"/>
      <w:bookmarkStart w:id="254" w:name="_Toc16988"/>
      <w:bookmarkStart w:id="255" w:name="_Toc2803"/>
      <w:bookmarkStart w:id="256" w:name="_Toc3447"/>
      <w:r>
        <w:rPr>
          <w:rFonts w:hint="eastAsia" w:ascii="黑体" w:hAnsi="黑体" w:eastAsia="黑体" w:cs="黑体"/>
          <w:bCs/>
          <w:szCs w:val="32"/>
        </w:rPr>
        <w:t>五、公务接待报销办法</w:t>
      </w:r>
      <w:bookmarkEnd w:id="249"/>
      <w:bookmarkEnd w:id="250"/>
      <w:bookmarkEnd w:id="251"/>
      <w:bookmarkEnd w:id="252"/>
      <w:bookmarkEnd w:id="253"/>
      <w:bookmarkEnd w:id="254"/>
      <w:bookmarkEnd w:id="255"/>
      <w:bookmarkEnd w:id="256"/>
    </w:p>
    <w:p>
      <w:pPr>
        <w:ind w:firstLine="640"/>
        <w:rPr>
          <w:rFonts w:ascii="仿宋" w:hAnsi="仿宋" w:cs="仿宋"/>
          <w:szCs w:val="32"/>
        </w:rPr>
      </w:pPr>
      <w:r>
        <w:rPr>
          <w:rFonts w:hint="eastAsia" w:ascii="仿宋" w:hAnsi="仿宋" w:cs="仿宋"/>
          <w:szCs w:val="32"/>
        </w:rPr>
        <w:t>接待费用应及时核报，接待费报销凭证应当包括规范的财务发票、消费明细清单、派出单位公函或通知（包括内容、行程、人员等）、生态新区公务接待审批单（见附件）。经办人填写接待审批单，由所在部门负责人、主管会计、部门分管主任、财政局局长、分管财政的副主任逐一审核签字。未经审批或单据不全的费用不予报销。</w:t>
      </w:r>
    </w:p>
    <w:p>
      <w:pPr>
        <w:ind w:firstLine="640"/>
        <w:rPr>
          <w:rFonts w:ascii="仿宋" w:hAnsi="仿宋" w:cs="仿宋"/>
          <w:szCs w:val="32"/>
        </w:rPr>
      </w:pPr>
    </w:p>
    <w:p>
      <w:pPr>
        <w:ind w:firstLine="640"/>
        <w:rPr>
          <w:rFonts w:ascii="仿宋" w:hAnsi="仿宋" w:cs="仿宋"/>
          <w:szCs w:val="32"/>
        </w:rPr>
      </w:pPr>
    </w:p>
    <w:p>
      <w:pPr>
        <w:ind w:firstLine="640"/>
        <w:rPr>
          <w:rFonts w:ascii="仿宋" w:hAnsi="仿宋" w:cs="仿宋"/>
          <w:szCs w:val="32"/>
        </w:rPr>
      </w:pPr>
    </w:p>
    <w:p>
      <w:pPr>
        <w:ind w:firstLine="640"/>
        <w:rPr>
          <w:rFonts w:ascii="仿宋" w:hAnsi="仿宋" w:cs="仿宋"/>
          <w:szCs w:val="32"/>
        </w:rPr>
      </w:pPr>
      <w:r>
        <w:rPr>
          <w:rFonts w:hint="eastAsia" w:ascii="仿宋" w:hAnsi="仿宋" w:cs="仿宋"/>
          <w:szCs w:val="32"/>
        </w:rPr>
        <w:drawing>
          <wp:inline distT="0" distB="0" distL="114300" distR="114300">
            <wp:extent cx="5574665" cy="5126355"/>
            <wp:effectExtent l="0" t="0" r="6985" b="17145"/>
            <wp:docPr id="115" name="图片 115" descr="公务接待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公务接待流程"/>
                    <pic:cNvPicPr>
                      <a:picLocks noChangeAspect="1"/>
                    </pic:cNvPicPr>
                  </pic:nvPicPr>
                  <pic:blipFill>
                    <a:blip r:embed="rId17"/>
                    <a:stretch>
                      <a:fillRect/>
                    </a:stretch>
                  </pic:blipFill>
                  <pic:spPr>
                    <a:xfrm>
                      <a:off x="0" y="0"/>
                      <a:ext cx="5574665" cy="5126355"/>
                    </a:xfrm>
                    <a:prstGeom prst="rect">
                      <a:avLst/>
                    </a:prstGeom>
                  </pic:spPr>
                </pic:pic>
              </a:graphicData>
            </a:graphic>
          </wp:inline>
        </w:drawing>
      </w:r>
    </w:p>
    <w:p>
      <w:pPr>
        <w:ind w:firstLine="640"/>
        <w:rPr>
          <w:rFonts w:ascii="仿宋" w:hAnsi="仿宋" w:cs="仿宋"/>
          <w:szCs w:val="32"/>
        </w:rPr>
      </w:pPr>
    </w:p>
    <w:p>
      <w:pPr>
        <w:ind w:firstLine="640"/>
        <w:rPr>
          <w:rFonts w:ascii="仿宋" w:hAnsi="仿宋" w:cs="仿宋"/>
          <w:szCs w:val="32"/>
        </w:rPr>
      </w:pPr>
    </w:p>
    <w:p>
      <w:pPr>
        <w:ind w:firstLine="640"/>
        <w:rPr>
          <w:rFonts w:ascii="仿宋" w:hAnsi="仿宋" w:cs="仿宋"/>
          <w:szCs w:val="32"/>
        </w:rPr>
      </w:pPr>
    </w:p>
    <w:p>
      <w:pPr>
        <w:ind w:firstLine="640"/>
        <w:rPr>
          <w:rFonts w:ascii="仿宋" w:hAnsi="仿宋" w:cs="仿宋"/>
          <w:szCs w:val="32"/>
        </w:rPr>
      </w:pPr>
    </w:p>
    <w:p>
      <w:pPr>
        <w:rPr>
          <w:rFonts w:ascii="仿宋" w:hAnsi="仿宋" w:cs="仿宋"/>
          <w:szCs w:val="32"/>
        </w:rPr>
      </w:pPr>
    </w:p>
    <w:p>
      <w:pPr>
        <w:rPr>
          <w:rFonts w:ascii="仿宋_GB2312" w:eastAsia="仿宋_GB2312"/>
          <w:szCs w:val="32"/>
        </w:rPr>
      </w:pPr>
    </w:p>
    <w:p>
      <w:pPr>
        <w:rPr>
          <w:rFonts w:ascii="仿宋_GB2312" w:eastAsia="仿宋_GB2312"/>
          <w:szCs w:val="32"/>
        </w:rPr>
      </w:pPr>
      <w:r>
        <w:rPr>
          <w:rFonts w:hint="eastAsia" w:ascii="仿宋_GB2312" w:eastAsia="仿宋_GB2312"/>
          <w:szCs w:val="32"/>
        </w:rPr>
        <w:t>附件</w:t>
      </w:r>
    </w:p>
    <w:p>
      <w:pPr>
        <w:jc w:val="center"/>
        <w:rPr>
          <w:rFonts w:ascii="宋体" w:hAnsi="宋体"/>
          <w:b/>
          <w:sz w:val="48"/>
          <w:szCs w:val="48"/>
        </w:rPr>
      </w:pPr>
      <w:r>
        <w:rPr>
          <w:rFonts w:hint="eastAsia" w:ascii="宋体" w:hAnsi="宋体"/>
          <w:b/>
          <w:sz w:val="48"/>
          <w:szCs w:val="48"/>
        </w:rPr>
        <w:t>生态新区公务接待审批单</w:t>
      </w:r>
    </w:p>
    <w:p>
      <w:pPr>
        <w:jc w:val="center"/>
        <w:rPr>
          <w:rFonts w:ascii="宋体" w:hAnsi="宋体"/>
          <w:b/>
          <w:sz w:val="44"/>
          <w:szCs w:val="44"/>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881"/>
        <w:gridCol w:w="882"/>
        <w:gridCol w:w="1751"/>
        <w:gridCol w:w="1763"/>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908" w:type="dxa"/>
            <w:gridSpan w:val="2"/>
            <w:vAlign w:val="center"/>
          </w:tcPr>
          <w:p>
            <w:pPr>
              <w:jc w:val="center"/>
              <w:rPr>
                <w:rFonts w:ascii="宋体" w:hAnsi="宋体"/>
                <w:szCs w:val="32"/>
              </w:rPr>
            </w:pPr>
            <w:r>
              <w:rPr>
                <w:rFonts w:hint="eastAsia" w:ascii="宋体" w:hAnsi="宋体"/>
                <w:szCs w:val="32"/>
              </w:rPr>
              <w:t>承办部门</w:t>
            </w:r>
          </w:p>
        </w:tc>
        <w:tc>
          <w:tcPr>
            <w:tcW w:w="2700" w:type="dxa"/>
            <w:gridSpan w:val="2"/>
            <w:vAlign w:val="center"/>
          </w:tcPr>
          <w:p>
            <w:pPr>
              <w:jc w:val="center"/>
              <w:rPr>
                <w:rFonts w:ascii="宋体" w:hAnsi="宋体"/>
                <w:szCs w:val="32"/>
              </w:rPr>
            </w:pPr>
          </w:p>
        </w:tc>
        <w:tc>
          <w:tcPr>
            <w:tcW w:w="1800" w:type="dxa"/>
            <w:vAlign w:val="center"/>
          </w:tcPr>
          <w:p>
            <w:pPr>
              <w:jc w:val="center"/>
              <w:rPr>
                <w:rFonts w:ascii="宋体" w:hAnsi="宋体"/>
                <w:szCs w:val="32"/>
              </w:rPr>
            </w:pPr>
            <w:r>
              <w:rPr>
                <w:rFonts w:hint="eastAsia" w:ascii="宋体" w:hAnsi="宋体"/>
                <w:szCs w:val="32"/>
              </w:rPr>
              <w:t>就餐时间</w:t>
            </w:r>
          </w:p>
        </w:tc>
        <w:tc>
          <w:tcPr>
            <w:tcW w:w="2312" w:type="dxa"/>
            <w:vAlign w:val="center"/>
          </w:tcPr>
          <w:p>
            <w:pPr>
              <w:jc w:val="center"/>
              <w:rPr>
                <w:rFonts w:ascii="宋体" w:hAnsi="宋体"/>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908" w:type="dxa"/>
            <w:gridSpan w:val="2"/>
            <w:vAlign w:val="center"/>
          </w:tcPr>
          <w:p>
            <w:pPr>
              <w:jc w:val="center"/>
              <w:rPr>
                <w:rFonts w:ascii="宋体" w:hAnsi="宋体"/>
                <w:szCs w:val="32"/>
              </w:rPr>
            </w:pPr>
            <w:r>
              <w:rPr>
                <w:rFonts w:hint="eastAsia" w:ascii="宋体" w:hAnsi="宋体"/>
                <w:szCs w:val="32"/>
              </w:rPr>
              <w:t>来宾单位</w:t>
            </w:r>
          </w:p>
        </w:tc>
        <w:tc>
          <w:tcPr>
            <w:tcW w:w="2700" w:type="dxa"/>
            <w:gridSpan w:val="2"/>
            <w:vAlign w:val="center"/>
          </w:tcPr>
          <w:p>
            <w:pPr>
              <w:jc w:val="center"/>
              <w:rPr>
                <w:rFonts w:ascii="宋体" w:hAnsi="宋体"/>
                <w:szCs w:val="32"/>
              </w:rPr>
            </w:pPr>
          </w:p>
        </w:tc>
        <w:tc>
          <w:tcPr>
            <w:tcW w:w="1800" w:type="dxa"/>
            <w:vAlign w:val="center"/>
          </w:tcPr>
          <w:p>
            <w:pPr>
              <w:jc w:val="center"/>
              <w:rPr>
                <w:rFonts w:ascii="宋体" w:hAnsi="宋体"/>
                <w:szCs w:val="32"/>
              </w:rPr>
            </w:pPr>
            <w:r>
              <w:rPr>
                <w:rFonts w:hint="eastAsia" w:ascii="宋体" w:hAnsi="宋体"/>
                <w:szCs w:val="32"/>
              </w:rPr>
              <w:t>来宾级别</w:t>
            </w:r>
          </w:p>
        </w:tc>
        <w:tc>
          <w:tcPr>
            <w:tcW w:w="2312" w:type="dxa"/>
            <w:vAlign w:val="center"/>
          </w:tcPr>
          <w:p>
            <w:pPr>
              <w:jc w:val="center"/>
              <w:rPr>
                <w:rFonts w:ascii="宋体" w:hAnsi="宋体"/>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1908" w:type="dxa"/>
            <w:gridSpan w:val="2"/>
            <w:vAlign w:val="center"/>
          </w:tcPr>
          <w:p>
            <w:pPr>
              <w:jc w:val="center"/>
              <w:rPr>
                <w:rFonts w:ascii="宋体" w:hAnsi="宋体"/>
                <w:szCs w:val="32"/>
              </w:rPr>
            </w:pPr>
            <w:r>
              <w:rPr>
                <w:rFonts w:hint="eastAsia" w:ascii="宋体" w:hAnsi="宋体"/>
                <w:szCs w:val="32"/>
              </w:rPr>
              <w:t>来宾人数</w:t>
            </w:r>
          </w:p>
        </w:tc>
        <w:tc>
          <w:tcPr>
            <w:tcW w:w="2700" w:type="dxa"/>
            <w:gridSpan w:val="2"/>
            <w:vAlign w:val="center"/>
          </w:tcPr>
          <w:p>
            <w:pPr>
              <w:jc w:val="center"/>
              <w:rPr>
                <w:rFonts w:ascii="宋体" w:hAnsi="宋体"/>
                <w:szCs w:val="32"/>
              </w:rPr>
            </w:pPr>
          </w:p>
        </w:tc>
        <w:tc>
          <w:tcPr>
            <w:tcW w:w="1800" w:type="dxa"/>
            <w:vAlign w:val="center"/>
          </w:tcPr>
          <w:p>
            <w:pPr>
              <w:jc w:val="center"/>
              <w:rPr>
                <w:rFonts w:ascii="宋体" w:hAnsi="宋体"/>
                <w:szCs w:val="32"/>
              </w:rPr>
            </w:pPr>
            <w:r>
              <w:rPr>
                <w:rFonts w:hint="eastAsia" w:ascii="宋体" w:hAnsi="宋体"/>
                <w:szCs w:val="32"/>
              </w:rPr>
              <w:t>陪餐人数</w:t>
            </w:r>
          </w:p>
        </w:tc>
        <w:tc>
          <w:tcPr>
            <w:tcW w:w="2312" w:type="dxa"/>
            <w:vAlign w:val="center"/>
          </w:tcPr>
          <w:p>
            <w:pPr>
              <w:jc w:val="center"/>
              <w:rPr>
                <w:rFonts w:ascii="宋体" w:hAnsi="宋体"/>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8720" w:type="dxa"/>
            <w:gridSpan w:val="6"/>
            <w:vAlign w:val="center"/>
          </w:tcPr>
          <w:p>
            <w:pPr>
              <w:rPr>
                <w:rFonts w:ascii="宋体" w:hAnsi="宋体"/>
                <w:szCs w:val="32"/>
              </w:rPr>
            </w:pPr>
            <w:r>
              <w:rPr>
                <w:rFonts w:hint="eastAsia" w:ascii="宋体" w:hAnsi="宋体"/>
                <w:szCs w:val="32"/>
              </w:rPr>
              <w:t>消费金额（大写）：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1008" w:type="dxa"/>
            <w:vMerge w:val="restart"/>
            <w:vAlign w:val="center"/>
          </w:tcPr>
          <w:p>
            <w:pPr>
              <w:jc w:val="center"/>
              <w:rPr>
                <w:rFonts w:ascii="宋体" w:hAnsi="宋体"/>
                <w:szCs w:val="32"/>
              </w:rPr>
            </w:pPr>
            <w:r>
              <w:rPr>
                <w:rFonts w:hint="eastAsia" w:ascii="宋体" w:hAnsi="宋体"/>
                <w:szCs w:val="32"/>
              </w:rPr>
              <w:t>审</w:t>
            </w:r>
          </w:p>
          <w:p>
            <w:pPr>
              <w:jc w:val="center"/>
              <w:rPr>
                <w:rFonts w:ascii="宋体" w:hAnsi="宋体"/>
                <w:szCs w:val="32"/>
              </w:rPr>
            </w:pPr>
            <w:r>
              <w:rPr>
                <w:rFonts w:hint="eastAsia" w:ascii="宋体" w:hAnsi="宋体"/>
                <w:szCs w:val="32"/>
              </w:rPr>
              <w:t>批</w:t>
            </w:r>
          </w:p>
          <w:p>
            <w:pPr>
              <w:jc w:val="center"/>
              <w:rPr>
                <w:rFonts w:ascii="宋体" w:hAnsi="宋体"/>
                <w:szCs w:val="32"/>
              </w:rPr>
            </w:pPr>
            <w:r>
              <w:rPr>
                <w:rFonts w:hint="eastAsia" w:ascii="宋体" w:hAnsi="宋体"/>
                <w:szCs w:val="32"/>
              </w:rPr>
              <w:t>意</w:t>
            </w:r>
          </w:p>
          <w:p>
            <w:pPr>
              <w:jc w:val="center"/>
              <w:rPr>
                <w:rFonts w:ascii="宋体" w:hAnsi="宋体"/>
                <w:szCs w:val="32"/>
              </w:rPr>
            </w:pPr>
            <w:r>
              <w:rPr>
                <w:rFonts w:hint="eastAsia" w:ascii="宋体" w:hAnsi="宋体"/>
                <w:szCs w:val="32"/>
              </w:rPr>
              <w:t>见</w:t>
            </w:r>
          </w:p>
        </w:tc>
        <w:tc>
          <w:tcPr>
            <w:tcW w:w="1800" w:type="dxa"/>
            <w:gridSpan w:val="2"/>
            <w:vAlign w:val="center"/>
          </w:tcPr>
          <w:p>
            <w:pPr>
              <w:jc w:val="center"/>
              <w:rPr>
                <w:rFonts w:ascii="宋体" w:hAnsi="宋体"/>
                <w:szCs w:val="32"/>
              </w:rPr>
            </w:pPr>
            <w:r>
              <w:rPr>
                <w:rFonts w:hint="eastAsia" w:ascii="宋体" w:hAnsi="宋体"/>
                <w:szCs w:val="32"/>
              </w:rPr>
              <w:t>分管财政</w:t>
            </w:r>
          </w:p>
          <w:p>
            <w:pPr>
              <w:jc w:val="center"/>
              <w:rPr>
                <w:rFonts w:ascii="宋体" w:hAnsi="宋体"/>
                <w:szCs w:val="32"/>
              </w:rPr>
            </w:pPr>
            <w:r>
              <w:rPr>
                <w:rFonts w:hint="eastAsia" w:ascii="宋体" w:hAnsi="宋体"/>
                <w:szCs w:val="32"/>
              </w:rPr>
              <w:t>领导</w:t>
            </w:r>
          </w:p>
        </w:tc>
        <w:tc>
          <w:tcPr>
            <w:tcW w:w="5912" w:type="dxa"/>
            <w:gridSpan w:val="3"/>
            <w:vAlign w:val="center"/>
          </w:tcPr>
          <w:p>
            <w:pPr>
              <w:jc w:val="center"/>
              <w:rPr>
                <w:rFonts w:ascii="宋体" w:hAnsi="宋体"/>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trPr>
        <w:tc>
          <w:tcPr>
            <w:tcW w:w="1008" w:type="dxa"/>
            <w:vMerge w:val="continue"/>
            <w:vAlign w:val="center"/>
          </w:tcPr>
          <w:p>
            <w:pPr>
              <w:jc w:val="center"/>
              <w:rPr>
                <w:rFonts w:ascii="宋体" w:hAnsi="宋体"/>
                <w:szCs w:val="32"/>
              </w:rPr>
            </w:pPr>
          </w:p>
        </w:tc>
        <w:tc>
          <w:tcPr>
            <w:tcW w:w="1800" w:type="dxa"/>
            <w:gridSpan w:val="2"/>
            <w:vAlign w:val="center"/>
          </w:tcPr>
          <w:p>
            <w:pPr>
              <w:jc w:val="center"/>
              <w:rPr>
                <w:rFonts w:ascii="宋体" w:hAnsi="宋体"/>
                <w:szCs w:val="32"/>
              </w:rPr>
            </w:pPr>
            <w:r>
              <w:rPr>
                <w:rFonts w:hint="eastAsia" w:ascii="宋体" w:hAnsi="宋体"/>
                <w:szCs w:val="32"/>
              </w:rPr>
              <w:t>所在部门</w:t>
            </w:r>
          </w:p>
          <w:p>
            <w:pPr>
              <w:jc w:val="center"/>
              <w:rPr>
                <w:rFonts w:ascii="宋体" w:hAnsi="宋体"/>
                <w:szCs w:val="32"/>
              </w:rPr>
            </w:pPr>
            <w:r>
              <w:rPr>
                <w:rFonts w:hint="eastAsia" w:ascii="宋体" w:hAnsi="宋体"/>
                <w:szCs w:val="32"/>
              </w:rPr>
              <w:t>分管领导</w:t>
            </w:r>
          </w:p>
        </w:tc>
        <w:tc>
          <w:tcPr>
            <w:tcW w:w="5912" w:type="dxa"/>
            <w:gridSpan w:val="3"/>
            <w:vAlign w:val="center"/>
          </w:tcPr>
          <w:p>
            <w:pPr>
              <w:jc w:val="center"/>
              <w:rPr>
                <w:rFonts w:ascii="宋体" w:hAnsi="宋体"/>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1008" w:type="dxa"/>
            <w:vMerge w:val="continue"/>
            <w:vAlign w:val="center"/>
          </w:tcPr>
          <w:p>
            <w:pPr>
              <w:jc w:val="center"/>
              <w:rPr>
                <w:rFonts w:ascii="宋体" w:hAnsi="宋体"/>
                <w:szCs w:val="32"/>
              </w:rPr>
            </w:pPr>
          </w:p>
        </w:tc>
        <w:tc>
          <w:tcPr>
            <w:tcW w:w="1800" w:type="dxa"/>
            <w:gridSpan w:val="2"/>
            <w:vAlign w:val="center"/>
          </w:tcPr>
          <w:p>
            <w:pPr>
              <w:jc w:val="center"/>
              <w:rPr>
                <w:rFonts w:ascii="宋体" w:hAnsi="宋体"/>
                <w:szCs w:val="32"/>
              </w:rPr>
            </w:pPr>
            <w:r>
              <w:rPr>
                <w:rFonts w:hint="eastAsia" w:ascii="宋体" w:hAnsi="宋体"/>
                <w:szCs w:val="32"/>
              </w:rPr>
              <w:t>主管会计</w:t>
            </w:r>
          </w:p>
        </w:tc>
        <w:tc>
          <w:tcPr>
            <w:tcW w:w="5912" w:type="dxa"/>
            <w:gridSpan w:val="3"/>
            <w:vAlign w:val="center"/>
          </w:tcPr>
          <w:p>
            <w:pPr>
              <w:jc w:val="center"/>
              <w:rPr>
                <w:rFonts w:ascii="宋体" w:hAnsi="宋体"/>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1008" w:type="dxa"/>
            <w:vMerge w:val="continue"/>
            <w:vAlign w:val="center"/>
          </w:tcPr>
          <w:p>
            <w:pPr>
              <w:jc w:val="center"/>
              <w:rPr>
                <w:rFonts w:ascii="宋体" w:hAnsi="宋体"/>
                <w:szCs w:val="32"/>
              </w:rPr>
            </w:pPr>
          </w:p>
        </w:tc>
        <w:tc>
          <w:tcPr>
            <w:tcW w:w="1800" w:type="dxa"/>
            <w:gridSpan w:val="2"/>
            <w:vAlign w:val="center"/>
          </w:tcPr>
          <w:p>
            <w:pPr>
              <w:jc w:val="center"/>
              <w:rPr>
                <w:rFonts w:ascii="宋体" w:hAnsi="宋体"/>
                <w:szCs w:val="32"/>
              </w:rPr>
            </w:pPr>
            <w:r>
              <w:rPr>
                <w:rFonts w:hint="eastAsia" w:ascii="宋体" w:hAnsi="宋体"/>
                <w:szCs w:val="32"/>
              </w:rPr>
              <w:t>部门</w:t>
            </w:r>
          </w:p>
          <w:p>
            <w:pPr>
              <w:jc w:val="center"/>
              <w:rPr>
                <w:rFonts w:ascii="宋体" w:hAnsi="宋体"/>
                <w:szCs w:val="32"/>
              </w:rPr>
            </w:pPr>
            <w:r>
              <w:rPr>
                <w:rFonts w:hint="eastAsia" w:ascii="宋体" w:hAnsi="宋体"/>
                <w:szCs w:val="32"/>
              </w:rPr>
              <w:t>负责人</w:t>
            </w:r>
          </w:p>
        </w:tc>
        <w:tc>
          <w:tcPr>
            <w:tcW w:w="5912" w:type="dxa"/>
            <w:gridSpan w:val="3"/>
            <w:vAlign w:val="center"/>
          </w:tcPr>
          <w:p>
            <w:pPr>
              <w:jc w:val="center"/>
              <w:rPr>
                <w:rFonts w:ascii="宋体" w:hAnsi="宋体"/>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1008" w:type="dxa"/>
            <w:vMerge w:val="continue"/>
            <w:vAlign w:val="center"/>
          </w:tcPr>
          <w:p>
            <w:pPr>
              <w:jc w:val="center"/>
              <w:rPr>
                <w:rFonts w:ascii="宋体" w:hAnsi="宋体"/>
                <w:szCs w:val="32"/>
              </w:rPr>
            </w:pPr>
          </w:p>
        </w:tc>
        <w:tc>
          <w:tcPr>
            <w:tcW w:w="1800" w:type="dxa"/>
            <w:gridSpan w:val="2"/>
            <w:vAlign w:val="center"/>
          </w:tcPr>
          <w:p>
            <w:pPr>
              <w:jc w:val="center"/>
              <w:rPr>
                <w:rFonts w:ascii="宋体" w:hAnsi="宋体"/>
                <w:szCs w:val="32"/>
              </w:rPr>
            </w:pPr>
            <w:r>
              <w:rPr>
                <w:rFonts w:hint="eastAsia" w:ascii="宋体" w:hAnsi="宋体"/>
                <w:szCs w:val="32"/>
              </w:rPr>
              <w:t>经办人</w:t>
            </w:r>
          </w:p>
        </w:tc>
        <w:tc>
          <w:tcPr>
            <w:tcW w:w="5912" w:type="dxa"/>
            <w:gridSpan w:val="3"/>
            <w:vAlign w:val="center"/>
          </w:tcPr>
          <w:p>
            <w:pPr>
              <w:jc w:val="center"/>
              <w:rPr>
                <w:rFonts w:ascii="宋体" w:hAnsi="宋体"/>
                <w:szCs w:val="32"/>
              </w:rPr>
            </w:pPr>
          </w:p>
        </w:tc>
      </w:tr>
    </w:tbl>
    <w:p>
      <w:pPr>
        <w:pStyle w:val="2"/>
      </w:pPr>
      <w:bookmarkStart w:id="257" w:name="_Toc18486"/>
      <w:r>
        <w:rPr>
          <w:rFonts w:hint="eastAsia"/>
        </w:rPr>
        <w:t>11、生态新区差旅费管理办法</w:t>
      </w:r>
      <w:bookmarkEnd w:id="257"/>
    </w:p>
    <w:p>
      <w:pPr>
        <w:widowControl/>
        <w:jc w:val="center"/>
        <w:rPr>
          <w:rFonts w:ascii="仿宋" w:hAnsi="仿宋" w:cs="仿宋"/>
          <w:szCs w:val="32"/>
        </w:rPr>
      </w:pPr>
      <w:r>
        <w:rPr>
          <w:rFonts w:hint="eastAsia" w:ascii="宋体" w:hAnsi="宋体" w:eastAsia="宋体" w:cs="宋体"/>
          <w:kern w:val="0"/>
          <w:szCs w:val="32"/>
          <w:shd w:val="clear" w:color="auto" w:fill="FFFFFF"/>
        </w:rPr>
        <w:t> </w:t>
      </w:r>
      <w:r>
        <w:rPr>
          <w:rFonts w:hint="eastAsia" w:ascii="黑体" w:hAnsi="黑体" w:eastAsia="黑体" w:cs="黑体"/>
          <w:kern w:val="0"/>
          <w:szCs w:val="32"/>
          <w:shd w:val="clear" w:color="auto" w:fill="FFFFFF"/>
        </w:rPr>
        <w:t>第一章 总则</w:t>
      </w:r>
    </w:p>
    <w:p>
      <w:pPr>
        <w:widowControl/>
        <w:wordWrap w:val="0"/>
        <w:spacing w:before="120" w:line="500" w:lineRule="atLeast"/>
        <w:ind w:firstLine="643"/>
        <w:rPr>
          <w:rFonts w:ascii="仿宋" w:hAnsi="仿宋" w:cs="仿宋"/>
          <w:szCs w:val="32"/>
        </w:rPr>
      </w:pPr>
      <w:r>
        <w:rPr>
          <w:rFonts w:hint="eastAsia" w:ascii="仿宋" w:hAnsi="仿宋" w:cs="仿宋"/>
          <w:b/>
          <w:kern w:val="0"/>
          <w:szCs w:val="32"/>
          <w:shd w:val="clear" w:color="auto" w:fill="FFFFFF"/>
        </w:rPr>
        <w:t>第一条</w:t>
      </w:r>
      <w:r>
        <w:rPr>
          <w:rFonts w:hint="eastAsia" w:ascii="仿宋" w:hAnsi="仿宋" w:cs="仿宋"/>
          <w:kern w:val="0"/>
          <w:szCs w:val="32"/>
          <w:shd w:val="clear" w:color="auto" w:fill="FFFFFF"/>
        </w:rPr>
        <w:t> 为加强和规范生态新区差旅费管理，推进厉行节约反对浪费，根据《党政机关厉行节约反对浪费条例》，参照《中央和国家机关差旅费管理办法》，并结合我区实际，制定本办法。</w:t>
      </w:r>
    </w:p>
    <w:p>
      <w:pPr>
        <w:widowControl/>
        <w:wordWrap w:val="0"/>
        <w:spacing w:before="120" w:line="500" w:lineRule="atLeast"/>
        <w:ind w:firstLine="643"/>
        <w:rPr>
          <w:rFonts w:ascii="仿宋" w:hAnsi="仿宋" w:cs="仿宋"/>
          <w:szCs w:val="32"/>
        </w:rPr>
      </w:pPr>
      <w:r>
        <w:rPr>
          <w:rFonts w:hint="eastAsia" w:ascii="仿宋" w:hAnsi="仿宋" w:cs="仿宋"/>
          <w:b/>
          <w:kern w:val="0"/>
          <w:szCs w:val="32"/>
          <w:shd w:val="clear" w:color="auto" w:fill="FFFFFF"/>
        </w:rPr>
        <w:t>第二条</w:t>
      </w:r>
      <w:r>
        <w:rPr>
          <w:rFonts w:hint="eastAsia" w:ascii="仿宋" w:hAnsi="仿宋" w:cs="仿宋"/>
          <w:kern w:val="0"/>
          <w:szCs w:val="32"/>
          <w:shd w:val="clear" w:color="auto" w:fill="FFFFFF"/>
        </w:rPr>
        <w:t> 差旅费是指各部门工作人员临时到常驻地以外地区公务出差所发生的城市间交通费、住宿费、伙食补助费和市内交通费。</w:t>
      </w:r>
    </w:p>
    <w:p>
      <w:pPr>
        <w:widowControl/>
        <w:wordWrap w:val="0"/>
        <w:spacing w:before="120" w:line="500" w:lineRule="atLeast"/>
        <w:ind w:firstLine="643"/>
        <w:rPr>
          <w:rFonts w:ascii="仿宋" w:hAnsi="仿宋" w:cs="仿宋"/>
          <w:szCs w:val="32"/>
        </w:rPr>
      </w:pPr>
      <w:r>
        <w:rPr>
          <w:rFonts w:hint="eastAsia" w:ascii="仿宋" w:hAnsi="仿宋" w:cs="仿宋"/>
          <w:b/>
          <w:kern w:val="0"/>
          <w:szCs w:val="32"/>
          <w:shd w:val="clear" w:color="auto" w:fill="FFFFFF"/>
        </w:rPr>
        <w:t>第三条</w:t>
      </w:r>
      <w:r>
        <w:rPr>
          <w:rFonts w:hint="eastAsia" w:ascii="仿宋" w:hAnsi="仿宋" w:cs="仿宋"/>
          <w:kern w:val="0"/>
          <w:szCs w:val="32"/>
          <w:shd w:val="clear" w:color="auto" w:fill="FFFFFF"/>
        </w:rPr>
        <w:t> 各部门应当建立健全出差审批制度，出差必须按规定报经本部门有关领导批准，从严控制出差人数和天数；严格差旅费预算管理，控制差旅费规模；严禁无实质内容、无明确公务目的的差旅活动，严禁以任何名义和方式变相旅游，严禁异地部门间无实质内容的学习交流和考察调研。</w:t>
      </w:r>
    </w:p>
    <w:p>
      <w:pPr>
        <w:widowControl/>
        <w:wordWrap w:val="0"/>
        <w:spacing w:before="120" w:line="500" w:lineRule="atLeast"/>
        <w:jc w:val="center"/>
        <w:rPr>
          <w:rFonts w:ascii="仿宋" w:hAnsi="仿宋" w:cs="仿宋"/>
          <w:szCs w:val="32"/>
        </w:rPr>
      </w:pPr>
      <w:r>
        <w:rPr>
          <w:rFonts w:hint="eastAsia" w:ascii="黑体" w:hAnsi="黑体" w:eastAsia="黑体" w:cs="黑体"/>
          <w:kern w:val="0"/>
          <w:szCs w:val="32"/>
          <w:shd w:val="clear" w:color="auto" w:fill="FFFFFF"/>
        </w:rPr>
        <w:t>第二章 城市间交通费</w:t>
      </w:r>
    </w:p>
    <w:p>
      <w:pPr>
        <w:widowControl/>
        <w:wordWrap w:val="0"/>
        <w:spacing w:before="120" w:line="500" w:lineRule="atLeast"/>
        <w:ind w:firstLine="643"/>
        <w:rPr>
          <w:rFonts w:ascii="仿宋" w:hAnsi="仿宋" w:cs="仿宋"/>
          <w:szCs w:val="32"/>
        </w:rPr>
      </w:pPr>
      <w:r>
        <w:rPr>
          <w:rFonts w:hint="eastAsia" w:ascii="仿宋" w:hAnsi="仿宋" w:cs="仿宋"/>
          <w:b/>
          <w:kern w:val="0"/>
          <w:szCs w:val="32"/>
          <w:shd w:val="clear" w:color="auto" w:fill="FFFFFF"/>
        </w:rPr>
        <w:t>第四条 </w:t>
      </w:r>
      <w:r>
        <w:rPr>
          <w:rFonts w:hint="eastAsia" w:ascii="仿宋" w:hAnsi="仿宋" w:cs="仿宋"/>
          <w:kern w:val="0"/>
          <w:szCs w:val="32"/>
          <w:shd w:val="clear" w:color="auto" w:fill="FFFFFF"/>
        </w:rPr>
        <w:t>城市间交通费是指各部门工作人员因公临时到常驻地以外地区出差乘坐火车、轮船、飞机等交通工具所发生的费用。</w:t>
      </w:r>
    </w:p>
    <w:p>
      <w:pPr>
        <w:widowControl/>
        <w:wordWrap w:val="0"/>
        <w:spacing w:before="120" w:line="500" w:lineRule="atLeast"/>
        <w:ind w:firstLine="643"/>
        <w:rPr>
          <w:rFonts w:ascii="仿宋" w:hAnsi="仿宋" w:cs="仿宋"/>
          <w:szCs w:val="32"/>
        </w:rPr>
      </w:pPr>
      <w:r>
        <w:rPr>
          <w:rFonts w:hint="eastAsia" w:ascii="仿宋" w:hAnsi="仿宋" w:cs="仿宋"/>
          <w:b/>
          <w:kern w:val="0"/>
          <w:szCs w:val="32"/>
          <w:shd w:val="clear" w:color="auto" w:fill="FFFFFF"/>
        </w:rPr>
        <w:t>第五条 </w:t>
      </w:r>
      <w:r>
        <w:rPr>
          <w:rFonts w:hint="eastAsia" w:ascii="仿宋" w:hAnsi="仿宋" w:cs="仿宋"/>
          <w:kern w:val="0"/>
          <w:szCs w:val="32"/>
          <w:shd w:val="clear" w:color="auto" w:fill="FFFFFF"/>
        </w:rPr>
        <w:t> 出差人员应当按规定等级乘坐交通工具。出差人员乘坐交通工具等级见下表：</w:t>
      </w:r>
    </w:p>
    <w:tbl>
      <w:tblPr>
        <w:tblStyle w:val="10"/>
        <w:tblW w:w="0" w:type="auto"/>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0" w:type="dxa"/>
          <w:left w:w="0" w:type="dxa"/>
          <w:bottom w:w="0" w:type="dxa"/>
          <w:right w:w="0" w:type="dxa"/>
        </w:tblCellMar>
      </w:tblPr>
      <w:tblGrid>
        <w:gridCol w:w="2268"/>
        <w:gridCol w:w="2280"/>
        <w:gridCol w:w="1324"/>
        <w:gridCol w:w="1179"/>
        <w:gridCol w:w="1471"/>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54" w:hRule="atLeast"/>
          <w:jc w:val="center"/>
        </w:trPr>
        <w:tc>
          <w:tcPr>
            <w:tcW w:w="2268"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ascii="仿宋" w:hAnsi="仿宋" w:cs="仿宋"/>
                <w:szCs w:val="32"/>
              </w:rPr>
            </w:pPr>
            <w:r>
              <w:rPr>
                <w:rFonts w:hint="eastAsia" w:ascii="仿宋" w:hAnsi="仿宋" w:cs="仿宋"/>
                <w:b/>
                <w:kern w:val="0"/>
                <w:szCs w:val="32"/>
              </w:rPr>
              <w:t>  交通工具</w:t>
            </w:r>
          </w:p>
          <w:p>
            <w:pPr>
              <w:widowControl/>
              <w:wordWrap w:val="0"/>
              <w:spacing w:line="300" w:lineRule="atLeast"/>
              <w:jc w:val="center"/>
              <w:rPr>
                <w:rFonts w:ascii="仿宋" w:hAnsi="仿宋" w:cs="仿宋"/>
                <w:szCs w:val="32"/>
              </w:rPr>
            </w:pPr>
            <w:r>
              <w:rPr>
                <w:rFonts w:hint="eastAsia" w:ascii="仿宋" w:hAnsi="仿宋" w:cs="仿宋"/>
                <w:b/>
                <w:kern w:val="0"/>
                <w:szCs w:val="32"/>
              </w:rPr>
              <w:t> 级    别</w:t>
            </w:r>
          </w:p>
        </w:tc>
        <w:tc>
          <w:tcPr>
            <w:tcW w:w="2280"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ascii="仿宋" w:hAnsi="仿宋" w:cs="仿宋"/>
                <w:szCs w:val="32"/>
              </w:rPr>
            </w:pPr>
            <w:r>
              <w:rPr>
                <w:rFonts w:hint="eastAsia" w:ascii="仿宋" w:hAnsi="仿宋" w:cs="仿宋"/>
                <w:b/>
                <w:kern w:val="0"/>
                <w:szCs w:val="32"/>
              </w:rPr>
              <w:t>火车（含高铁、动车、全列软席列车）</w:t>
            </w:r>
          </w:p>
        </w:tc>
        <w:tc>
          <w:tcPr>
            <w:tcW w:w="1324"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ascii="仿宋" w:hAnsi="仿宋" w:cs="仿宋"/>
                <w:szCs w:val="32"/>
              </w:rPr>
            </w:pPr>
            <w:r>
              <w:rPr>
                <w:rFonts w:hint="eastAsia" w:ascii="仿宋" w:hAnsi="仿宋" w:cs="仿宋"/>
                <w:b/>
                <w:kern w:val="0"/>
                <w:szCs w:val="32"/>
              </w:rPr>
              <w:t>轮船（不包括旅游船）</w:t>
            </w:r>
          </w:p>
        </w:tc>
        <w:tc>
          <w:tcPr>
            <w:tcW w:w="1179"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ascii="仿宋" w:hAnsi="仿宋" w:cs="仿宋"/>
                <w:szCs w:val="32"/>
              </w:rPr>
            </w:pPr>
            <w:r>
              <w:rPr>
                <w:rFonts w:hint="eastAsia" w:ascii="仿宋" w:hAnsi="仿宋" w:cs="仿宋"/>
                <w:b/>
                <w:kern w:val="0"/>
                <w:szCs w:val="32"/>
              </w:rPr>
              <w:t>飞机</w:t>
            </w:r>
          </w:p>
        </w:tc>
        <w:tc>
          <w:tcPr>
            <w:tcW w:w="1471"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ascii="仿宋" w:hAnsi="仿宋" w:cs="仿宋"/>
                <w:szCs w:val="32"/>
              </w:rPr>
            </w:pPr>
            <w:r>
              <w:rPr>
                <w:rFonts w:hint="eastAsia" w:ascii="仿宋" w:hAnsi="仿宋" w:cs="仿宋"/>
                <w:b/>
                <w:kern w:val="0"/>
                <w:szCs w:val="32"/>
              </w:rPr>
              <w:t>其他交通工具</w:t>
            </w:r>
          </w:p>
          <w:p>
            <w:pPr>
              <w:widowControl/>
              <w:wordWrap w:val="0"/>
              <w:spacing w:line="300" w:lineRule="atLeast"/>
              <w:jc w:val="center"/>
              <w:rPr>
                <w:rFonts w:ascii="仿宋" w:hAnsi="仿宋" w:cs="仿宋"/>
                <w:szCs w:val="32"/>
              </w:rPr>
            </w:pPr>
            <w:r>
              <w:rPr>
                <w:rFonts w:hint="eastAsia" w:ascii="仿宋" w:hAnsi="仿宋" w:cs="仿宋"/>
                <w:b/>
                <w:kern w:val="0"/>
                <w:szCs w:val="32"/>
              </w:rPr>
              <w:t>（不包括出租小汽车）</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81" w:hRule="atLeast"/>
          <w:jc w:val="center"/>
        </w:trPr>
        <w:tc>
          <w:tcPr>
            <w:tcW w:w="2268"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ascii="仿宋" w:hAnsi="仿宋" w:cs="仿宋"/>
                <w:szCs w:val="32"/>
              </w:rPr>
            </w:pPr>
            <w:r>
              <w:rPr>
                <w:rFonts w:hint="eastAsia" w:ascii="仿宋" w:hAnsi="仿宋" w:cs="仿宋"/>
                <w:b/>
                <w:kern w:val="0"/>
                <w:szCs w:val="32"/>
              </w:rPr>
              <w:t>省级及相当职务</w:t>
            </w:r>
          </w:p>
          <w:p>
            <w:pPr>
              <w:widowControl/>
              <w:wordWrap w:val="0"/>
              <w:spacing w:line="300" w:lineRule="atLeast"/>
              <w:jc w:val="center"/>
              <w:rPr>
                <w:rFonts w:ascii="仿宋" w:hAnsi="仿宋" w:cs="仿宋"/>
                <w:szCs w:val="32"/>
              </w:rPr>
            </w:pPr>
            <w:r>
              <w:rPr>
                <w:rFonts w:hint="eastAsia" w:ascii="仿宋" w:hAnsi="仿宋" w:cs="仿宋"/>
                <w:b/>
                <w:kern w:val="0"/>
                <w:szCs w:val="32"/>
              </w:rPr>
              <w:t>人员</w:t>
            </w:r>
          </w:p>
        </w:tc>
        <w:tc>
          <w:tcPr>
            <w:tcW w:w="228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ascii="仿宋" w:hAnsi="仿宋" w:cs="仿宋"/>
                <w:szCs w:val="32"/>
              </w:rPr>
            </w:pPr>
            <w:r>
              <w:rPr>
                <w:rFonts w:hint="eastAsia" w:ascii="仿宋" w:hAnsi="仿宋" w:cs="仿宋"/>
                <w:b/>
                <w:kern w:val="0"/>
                <w:szCs w:val="32"/>
              </w:rPr>
              <w:t>软席（软座、软卧），高铁/动车商务座，全列软席列车一等软座</w:t>
            </w:r>
          </w:p>
        </w:tc>
        <w:tc>
          <w:tcPr>
            <w:tcW w:w="132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ascii="仿宋" w:hAnsi="仿宋" w:cs="仿宋"/>
                <w:szCs w:val="32"/>
              </w:rPr>
            </w:pPr>
            <w:r>
              <w:rPr>
                <w:rFonts w:hint="eastAsia" w:ascii="仿宋" w:hAnsi="仿宋" w:cs="仿宋"/>
                <w:b/>
                <w:kern w:val="0"/>
                <w:szCs w:val="32"/>
              </w:rPr>
              <w:t>一等舱</w:t>
            </w:r>
          </w:p>
        </w:tc>
        <w:tc>
          <w:tcPr>
            <w:tcW w:w="117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ascii="仿宋" w:hAnsi="仿宋" w:cs="仿宋"/>
                <w:szCs w:val="32"/>
              </w:rPr>
            </w:pPr>
            <w:r>
              <w:rPr>
                <w:rFonts w:hint="eastAsia" w:ascii="仿宋" w:hAnsi="仿宋" w:cs="仿宋"/>
                <w:b/>
                <w:kern w:val="0"/>
                <w:szCs w:val="32"/>
              </w:rPr>
              <w:t>头等舱</w:t>
            </w:r>
          </w:p>
        </w:tc>
        <w:tc>
          <w:tcPr>
            <w:tcW w:w="147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ascii="仿宋" w:hAnsi="仿宋" w:cs="仿宋"/>
                <w:szCs w:val="32"/>
              </w:rPr>
            </w:pPr>
            <w:r>
              <w:rPr>
                <w:rFonts w:hint="eastAsia" w:ascii="仿宋" w:hAnsi="仿宋" w:cs="仿宋"/>
                <w:b/>
                <w:kern w:val="0"/>
                <w:szCs w:val="32"/>
              </w:rPr>
              <w:t>凭据报销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111" w:hRule="atLeast"/>
          <w:jc w:val="center"/>
        </w:trPr>
        <w:tc>
          <w:tcPr>
            <w:tcW w:w="2268"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ascii="仿宋" w:hAnsi="仿宋" w:cs="仿宋"/>
                <w:szCs w:val="32"/>
              </w:rPr>
            </w:pPr>
            <w:r>
              <w:rPr>
                <w:rFonts w:hint="eastAsia" w:ascii="仿宋" w:hAnsi="仿宋" w:cs="仿宋"/>
                <w:b/>
                <w:kern w:val="0"/>
                <w:szCs w:val="32"/>
              </w:rPr>
              <w:t>厅（局）级及相当</w:t>
            </w:r>
          </w:p>
          <w:p>
            <w:pPr>
              <w:widowControl/>
              <w:wordWrap w:val="0"/>
              <w:spacing w:line="300" w:lineRule="atLeast"/>
              <w:jc w:val="center"/>
              <w:rPr>
                <w:rFonts w:ascii="仿宋" w:hAnsi="仿宋" w:cs="仿宋"/>
                <w:szCs w:val="32"/>
              </w:rPr>
            </w:pPr>
            <w:r>
              <w:rPr>
                <w:rFonts w:hint="eastAsia" w:ascii="仿宋" w:hAnsi="仿宋" w:cs="仿宋"/>
                <w:b/>
                <w:kern w:val="0"/>
                <w:szCs w:val="32"/>
              </w:rPr>
              <w:t>职务人员</w:t>
            </w:r>
          </w:p>
        </w:tc>
        <w:tc>
          <w:tcPr>
            <w:tcW w:w="228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ascii="仿宋" w:hAnsi="仿宋" w:cs="仿宋"/>
                <w:szCs w:val="32"/>
              </w:rPr>
            </w:pPr>
            <w:r>
              <w:rPr>
                <w:rFonts w:hint="eastAsia" w:ascii="仿宋" w:hAnsi="仿宋" w:cs="仿宋"/>
                <w:b/>
                <w:kern w:val="0"/>
                <w:szCs w:val="32"/>
              </w:rPr>
              <w:t>软席（软座、软卧），高铁/动车一等座，全列软席列车一等软座</w:t>
            </w:r>
          </w:p>
        </w:tc>
        <w:tc>
          <w:tcPr>
            <w:tcW w:w="132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ascii="仿宋" w:hAnsi="仿宋" w:cs="仿宋"/>
                <w:szCs w:val="32"/>
              </w:rPr>
            </w:pPr>
            <w:r>
              <w:rPr>
                <w:rFonts w:hint="eastAsia" w:ascii="仿宋" w:hAnsi="仿宋" w:cs="仿宋"/>
                <w:b/>
                <w:kern w:val="0"/>
                <w:szCs w:val="32"/>
              </w:rPr>
              <w:t>二等舱</w:t>
            </w:r>
          </w:p>
        </w:tc>
        <w:tc>
          <w:tcPr>
            <w:tcW w:w="117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ascii="仿宋" w:hAnsi="仿宋" w:cs="仿宋"/>
                <w:szCs w:val="32"/>
              </w:rPr>
            </w:pPr>
            <w:r>
              <w:rPr>
                <w:rFonts w:hint="eastAsia" w:ascii="仿宋" w:hAnsi="仿宋" w:cs="仿宋"/>
                <w:b/>
                <w:kern w:val="0"/>
                <w:szCs w:val="32"/>
              </w:rPr>
              <w:t>经济舱</w:t>
            </w:r>
          </w:p>
        </w:tc>
        <w:tc>
          <w:tcPr>
            <w:tcW w:w="147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ascii="仿宋" w:hAnsi="仿宋" w:cs="仿宋"/>
                <w:szCs w:val="32"/>
              </w:rPr>
            </w:pPr>
            <w:r>
              <w:rPr>
                <w:rFonts w:hint="eastAsia" w:ascii="仿宋" w:hAnsi="仿宋" w:cs="仿宋"/>
                <w:b/>
                <w:kern w:val="0"/>
                <w:szCs w:val="32"/>
              </w:rPr>
              <w:t>凭据报销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03" w:hRule="atLeast"/>
          <w:jc w:val="center"/>
        </w:trPr>
        <w:tc>
          <w:tcPr>
            <w:tcW w:w="2268"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ascii="仿宋" w:hAnsi="仿宋" w:cs="仿宋"/>
                <w:szCs w:val="32"/>
              </w:rPr>
            </w:pPr>
            <w:r>
              <w:rPr>
                <w:rFonts w:hint="eastAsia" w:ascii="仿宋" w:hAnsi="仿宋" w:cs="仿宋"/>
                <w:b/>
                <w:kern w:val="0"/>
                <w:szCs w:val="32"/>
              </w:rPr>
              <w:t>其他人员</w:t>
            </w:r>
          </w:p>
        </w:tc>
        <w:tc>
          <w:tcPr>
            <w:tcW w:w="228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ascii="仿宋" w:hAnsi="仿宋" w:cs="仿宋"/>
                <w:szCs w:val="32"/>
              </w:rPr>
            </w:pPr>
            <w:r>
              <w:rPr>
                <w:rFonts w:hint="eastAsia" w:ascii="仿宋" w:hAnsi="仿宋" w:cs="仿宋"/>
                <w:b/>
                <w:kern w:val="0"/>
                <w:szCs w:val="32"/>
              </w:rPr>
              <w:t>硬席（硬座、硬卧），高铁/动车二等座，全列软席列车二等软座</w:t>
            </w:r>
          </w:p>
        </w:tc>
        <w:tc>
          <w:tcPr>
            <w:tcW w:w="132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ascii="仿宋" w:hAnsi="仿宋" w:cs="仿宋"/>
                <w:szCs w:val="32"/>
              </w:rPr>
            </w:pPr>
            <w:r>
              <w:rPr>
                <w:rFonts w:hint="eastAsia" w:ascii="仿宋" w:hAnsi="仿宋" w:cs="仿宋"/>
                <w:b/>
                <w:kern w:val="0"/>
                <w:szCs w:val="32"/>
              </w:rPr>
              <w:t>三等舱</w:t>
            </w:r>
          </w:p>
        </w:tc>
        <w:tc>
          <w:tcPr>
            <w:tcW w:w="1179"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ascii="仿宋" w:hAnsi="仿宋" w:cs="仿宋"/>
                <w:szCs w:val="32"/>
              </w:rPr>
            </w:pPr>
            <w:r>
              <w:rPr>
                <w:rFonts w:hint="eastAsia" w:ascii="仿宋" w:hAnsi="仿宋" w:cs="仿宋"/>
                <w:b/>
                <w:kern w:val="0"/>
                <w:szCs w:val="32"/>
              </w:rPr>
              <w:t>经济舱</w:t>
            </w:r>
          </w:p>
        </w:tc>
        <w:tc>
          <w:tcPr>
            <w:tcW w:w="1471"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wordWrap w:val="0"/>
              <w:spacing w:line="300" w:lineRule="atLeast"/>
              <w:jc w:val="center"/>
              <w:rPr>
                <w:rFonts w:ascii="仿宋" w:hAnsi="仿宋" w:cs="仿宋"/>
                <w:szCs w:val="32"/>
              </w:rPr>
            </w:pPr>
            <w:r>
              <w:rPr>
                <w:rFonts w:hint="eastAsia" w:ascii="仿宋" w:hAnsi="仿宋" w:cs="仿宋"/>
                <w:b/>
                <w:kern w:val="0"/>
                <w:szCs w:val="32"/>
              </w:rPr>
              <w:t>凭据报销</w:t>
            </w:r>
          </w:p>
        </w:tc>
      </w:tr>
    </w:tbl>
    <w:p>
      <w:pPr>
        <w:widowControl/>
        <w:wordWrap w:val="0"/>
        <w:spacing w:before="120" w:line="500" w:lineRule="atLeast"/>
        <w:ind w:firstLine="640"/>
        <w:rPr>
          <w:rFonts w:ascii="仿宋" w:hAnsi="仿宋" w:cs="仿宋"/>
          <w:szCs w:val="32"/>
        </w:rPr>
      </w:pPr>
      <w:r>
        <w:rPr>
          <w:rFonts w:hint="eastAsia" w:ascii="仿宋" w:hAnsi="仿宋" w:cs="仿宋"/>
          <w:kern w:val="0"/>
          <w:szCs w:val="32"/>
          <w:shd w:val="clear" w:color="auto" w:fill="FFFFFF"/>
        </w:rPr>
        <w:t>省级及相当职务人员出差，因工作需要，随行一人可乘坐同等级交通工具。</w:t>
      </w:r>
    </w:p>
    <w:p>
      <w:pPr>
        <w:widowControl/>
        <w:wordWrap w:val="0"/>
        <w:spacing w:before="120" w:line="500" w:lineRule="atLeast"/>
        <w:ind w:firstLine="640"/>
        <w:rPr>
          <w:rFonts w:ascii="仿宋" w:hAnsi="仿宋" w:cs="仿宋"/>
          <w:szCs w:val="32"/>
        </w:rPr>
      </w:pPr>
      <w:r>
        <w:rPr>
          <w:rFonts w:hint="eastAsia" w:ascii="仿宋" w:hAnsi="仿宋" w:cs="仿宋"/>
          <w:kern w:val="0"/>
          <w:szCs w:val="32"/>
          <w:shd w:val="clear" w:color="auto" w:fill="FFFFFF"/>
        </w:rPr>
        <w:t>未按规定等级乘坐交通工具的，超支部分由个人自理。</w:t>
      </w:r>
    </w:p>
    <w:p>
      <w:pPr>
        <w:widowControl/>
        <w:wordWrap w:val="0"/>
        <w:spacing w:before="120" w:line="500" w:lineRule="atLeast"/>
        <w:ind w:firstLine="643"/>
        <w:rPr>
          <w:rFonts w:ascii="仿宋" w:hAnsi="仿宋" w:cs="仿宋"/>
          <w:szCs w:val="32"/>
        </w:rPr>
      </w:pPr>
      <w:r>
        <w:rPr>
          <w:rFonts w:hint="eastAsia" w:ascii="仿宋" w:hAnsi="仿宋" w:cs="仿宋"/>
          <w:b/>
          <w:kern w:val="0"/>
          <w:szCs w:val="32"/>
          <w:shd w:val="clear" w:color="auto" w:fill="FFFFFF"/>
        </w:rPr>
        <w:t>第六条</w:t>
      </w:r>
      <w:r>
        <w:rPr>
          <w:rFonts w:hint="eastAsia" w:ascii="仿宋" w:hAnsi="仿宋" w:cs="仿宋"/>
          <w:kern w:val="0"/>
          <w:szCs w:val="32"/>
          <w:shd w:val="clear" w:color="auto" w:fill="FFFFFF"/>
        </w:rPr>
        <w:t> 到出差目的地有多种交通工具可选择时，出差人员在不影响公务、确保安全的前提下，应当选乘相对经济便捷的交通工具。</w:t>
      </w:r>
    </w:p>
    <w:p>
      <w:pPr>
        <w:widowControl/>
        <w:wordWrap w:val="0"/>
        <w:spacing w:before="120" w:line="500" w:lineRule="atLeast"/>
        <w:ind w:firstLine="643"/>
        <w:rPr>
          <w:rFonts w:ascii="仿宋" w:hAnsi="仿宋" w:cs="仿宋"/>
          <w:szCs w:val="32"/>
        </w:rPr>
      </w:pPr>
      <w:r>
        <w:rPr>
          <w:rFonts w:hint="eastAsia" w:ascii="仿宋" w:hAnsi="仿宋" w:cs="仿宋"/>
          <w:b/>
          <w:kern w:val="0"/>
          <w:szCs w:val="32"/>
          <w:shd w:val="clear" w:color="auto" w:fill="FFFFFF"/>
        </w:rPr>
        <w:t>第七条</w:t>
      </w:r>
      <w:r>
        <w:rPr>
          <w:rFonts w:hint="eastAsia" w:ascii="仿宋" w:hAnsi="仿宋" w:cs="仿宋"/>
          <w:kern w:val="0"/>
          <w:szCs w:val="32"/>
          <w:shd w:val="clear" w:color="auto" w:fill="FFFFFF"/>
        </w:rPr>
        <w:t> 乘坐飞机的，民航发展基金、燃油附加费可以凭据报销。</w:t>
      </w:r>
    </w:p>
    <w:p>
      <w:pPr>
        <w:widowControl/>
        <w:wordWrap w:val="0"/>
        <w:spacing w:before="120" w:line="500" w:lineRule="atLeast"/>
        <w:ind w:firstLine="643"/>
        <w:rPr>
          <w:rFonts w:ascii="仿宋" w:hAnsi="仿宋" w:cs="仿宋"/>
          <w:szCs w:val="32"/>
        </w:rPr>
      </w:pPr>
      <w:r>
        <w:rPr>
          <w:rFonts w:hint="eastAsia" w:ascii="仿宋" w:hAnsi="仿宋" w:cs="仿宋"/>
          <w:b/>
          <w:kern w:val="0"/>
          <w:szCs w:val="32"/>
          <w:shd w:val="clear" w:color="auto" w:fill="FFFFFF"/>
        </w:rPr>
        <w:t>第八条</w:t>
      </w:r>
      <w:r>
        <w:rPr>
          <w:rFonts w:hint="eastAsia" w:ascii="仿宋" w:hAnsi="仿宋" w:cs="仿宋"/>
          <w:kern w:val="0"/>
          <w:szCs w:val="32"/>
          <w:shd w:val="clear" w:color="auto" w:fill="FFFFFF"/>
        </w:rPr>
        <w:t> 乘坐飞机、火车、轮船等交通工具的，每人次可以购买交通意外保险一份。所在单位统一购买交通意外保险的，不再重复购买。</w:t>
      </w:r>
    </w:p>
    <w:p>
      <w:pPr>
        <w:widowControl/>
        <w:wordWrap w:val="0"/>
        <w:spacing w:line="500" w:lineRule="atLeast"/>
        <w:rPr>
          <w:rFonts w:ascii="仿宋" w:hAnsi="仿宋" w:cs="仿宋"/>
          <w:szCs w:val="32"/>
        </w:rPr>
      </w:pPr>
      <w:r>
        <w:rPr>
          <w:rFonts w:hint="eastAsia" w:ascii="仿宋" w:hAnsi="仿宋" w:cs="仿宋"/>
          <w:kern w:val="0"/>
          <w:szCs w:val="32"/>
          <w:shd w:val="clear" w:color="auto" w:fill="FFFFFF"/>
        </w:rPr>
        <w:t xml:space="preserve">                   </w:t>
      </w:r>
      <w:r>
        <w:rPr>
          <w:rFonts w:hint="eastAsia" w:ascii="黑体" w:hAnsi="黑体" w:eastAsia="黑体" w:cs="黑体"/>
          <w:kern w:val="0"/>
          <w:szCs w:val="32"/>
          <w:shd w:val="clear" w:color="auto" w:fill="FFFFFF"/>
        </w:rPr>
        <w:t>第三章 住宿费</w:t>
      </w:r>
    </w:p>
    <w:p>
      <w:pPr>
        <w:widowControl/>
        <w:wordWrap w:val="0"/>
        <w:spacing w:before="120" w:line="500" w:lineRule="atLeast"/>
        <w:ind w:firstLine="643"/>
        <w:rPr>
          <w:rFonts w:ascii="仿宋" w:hAnsi="仿宋" w:cs="仿宋"/>
          <w:szCs w:val="32"/>
        </w:rPr>
      </w:pPr>
      <w:r>
        <w:rPr>
          <w:rFonts w:hint="eastAsia" w:ascii="仿宋" w:hAnsi="仿宋" w:cs="仿宋"/>
          <w:b/>
          <w:kern w:val="0"/>
          <w:szCs w:val="32"/>
          <w:shd w:val="clear" w:color="auto" w:fill="FFFFFF"/>
        </w:rPr>
        <w:t>第九条</w:t>
      </w:r>
      <w:r>
        <w:rPr>
          <w:rFonts w:hint="eastAsia" w:ascii="仿宋" w:hAnsi="仿宋" w:cs="仿宋"/>
          <w:kern w:val="0"/>
          <w:szCs w:val="32"/>
          <w:shd w:val="clear" w:color="auto" w:fill="FFFFFF"/>
        </w:rPr>
        <w:t> 住宿费是指各部门工作人员因公临时出差期间入住宾馆（包括饭店、招待所等，下同）发生的房租费用。</w:t>
      </w:r>
    </w:p>
    <w:p>
      <w:pPr>
        <w:widowControl/>
        <w:wordWrap w:val="0"/>
        <w:spacing w:before="120" w:line="500" w:lineRule="atLeast"/>
        <w:ind w:firstLine="643"/>
        <w:rPr>
          <w:rFonts w:ascii="仿宋" w:hAnsi="仿宋" w:cs="仿宋"/>
          <w:szCs w:val="32"/>
        </w:rPr>
      </w:pPr>
      <w:r>
        <w:rPr>
          <w:rFonts w:hint="eastAsia" w:ascii="仿宋" w:hAnsi="仿宋" w:cs="仿宋"/>
          <w:b/>
          <w:kern w:val="0"/>
          <w:szCs w:val="32"/>
          <w:shd w:val="clear" w:color="auto" w:fill="FFFFFF"/>
        </w:rPr>
        <w:t>第十条 </w:t>
      </w:r>
      <w:r>
        <w:rPr>
          <w:rFonts w:hint="eastAsia" w:ascii="仿宋" w:hAnsi="仿宋" w:cs="仿宋"/>
          <w:kern w:val="0"/>
          <w:szCs w:val="32"/>
          <w:shd w:val="clear" w:color="auto" w:fill="FFFFFF"/>
        </w:rPr>
        <w:t>各部门工作人员出差住宿费限额标准见下表：</w:t>
      </w:r>
    </w:p>
    <w:p>
      <w:pPr>
        <w:widowControl/>
        <w:wordWrap w:val="0"/>
        <w:spacing w:before="120" w:line="400" w:lineRule="atLeast"/>
        <w:ind w:firstLine="640"/>
        <w:rPr>
          <w:rFonts w:ascii="仿宋" w:hAnsi="仿宋" w:cs="仿宋"/>
          <w:szCs w:val="32"/>
        </w:rPr>
      </w:pPr>
      <w:r>
        <w:rPr>
          <w:rFonts w:hint="eastAsia" w:ascii="仿宋" w:hAnsi="仿宋" w:cs="仿宋"/>
          <w:kern w:val="0"/>
          <w:szCs w:val="32"/>
          <w:shd w:val="clear" w:color="auto" w:fill="FFFFFF"/>
        </w:rPr>
        <w:t>  单位：元/人天</w:t>
      </w:r>
    </w:p>
    <w:tbl>
      <w:tblPr>
        <w:tblStyle w:val="10"/>
        <w:tblW w:w="822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0" w:type="dxa"/>
          <w:left w:w="0" w:type="dxa"/>
          <w:bottom w:w="0" w:type="dxa"/>
          <w:right w:w="0" w:type="dxa"/>
        </w:tblCellMar>
      </w:tblPr>
      <w:tblGrid>
        <w:gridCol w:w="3118"/>
        <w:gridCol w:w="1701"/>
        <w:gridCol w:w="3402"/>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86" w:hRule="atLeast"/>
          <w:jc w:val="center"/>
        </w:trPr>
        <w:tc>
          <w:tcPr>
            <w:tcW w:w="3118" w:type="dxa"/>
            <w:tcBorders>
              <w:top w:val="single" w:color="000000" w:sz="8" w:space="0"/>
              <w:left w:val="single" w:color="000000" w:sz="8" w:space="0"/>
              <w:bottom w:val="single" w:color="000000" w:sz="8" w:space="0"/>
              <w:right w:val="single" w:color="000000" w:sz="8" w:space="0"/>
            </w:tcBorders>
            <w:shd w:val="clear" w:color="auto" w:fill="auto"/>
            <w:tcMar>
              <w:left w:w="108" w:type="dxa"/>
              <w:right w:w="108" w:type="dxa"/>
            </w:tcMar>
          </w:tcPr>
          <w:p>
            <w:pPr>
              <w:widowControl/>
              <w:wordWrap w:val="0"/>
              <w:spacing w:before="120" w:line="240" w:lineRule="atLeast"/>
              <w:jc w:val="center"/>
              <w:rPr>
                <w:rFonts w:ascii="仿宋" w:hAnsi="仿宋" w:cs="仿宋"/>
                <w:szCs w:val="32"/>
              </w:rPr>
            </w:pPr>
            <w:r>
              <w:rPr>
                <w:rFonts w:hint="eastAsia" w:ascii="仿宋" w:hAnsi="仿宋" w:cs="仿宋"/>
                <w:kern w:val="0"/>
                <w:szCs w:val="32"/>
              </w:rPr>
              <w:t>级 别</w:t>
            </w:r>
          </w:p>
        </w:tc>
        <w:tc>
          <w:tcPr>
            <w:tcW w:w="1701" w:type="dxa"/>
            <w:tcBorders>
              <w:top w:val="single" w:color="000000" w:sz="8" w:space="0"/>
              <w:left w:val="nil"/>
              <w:bottom w:val="single" w:color="000000" w:sz="8" w:space="0"/>
              <w:right w:val="single" w:color="000000" w:sz="8" w:space="0"/>
            </w:tcBorders>
            <w:shd w:val="clear" w:color="auto" w:fill="auto"/>
            <w:tcMar>
              <w:left w:w="108" w:type="dxa"/>
              <w:right w:w="108" w:type="dxa"/>
            </w:tcMar>
          </w:tcPr>
          <w:p>
            <w:pPr>
              <w:widowControl/>
              <w:wordWrap w:val="0"/>
              <w:spacing w:before="120" w:line="240" w:lineRule="atLeast"/>
              <w:jc w:val="center"/>
              <w:rPr>
                <w:rFonts w:ascii="仿宋" w:hAnsi="仿宋" w:cs="仿宋"/>
                <w:szCs w:val="32"/>
              </w:rPr>
            </w:pPr>
            <w:r>
              <w:rPr>
                <w:rFonts w:hint="eastAsia" w:ascii="仿宋" w:hAnsi="仿宋" w:cs="仿宋"/>
                <w:kern w:val="0"/>
                <w:szCs w:val="32"/>
              </w:rPr>
              <w:t>省 内</w:t>
            </w:r>
          </w:p>
        </w:tc>
        <w:tc>
          <w:tcPr>
            <w:tcW w:w="3402" w:type="dxa"/>
            <w:tcBorders>
              <w:top w:val="single" w:color="000000" w:sz="8" w:space="0"/>
              <w:left w:val="nil"/>
              <w:bottom w:val="single" w:color="000000" w:sz="8" w:space="0"/>
              <w:right w:val="single" w:color="000000" w:sz="8" w:space="0"/>
            </w:tcBorders>
            <w:shd w:val="clear" w:color="auto" w:fill="auto"/>
            <w:tcMar>
              <w:left w:w="108" w:type="dxa"/>
              <w:right w:w="108" w:type="dxa"/>
            </w:tcMar>
          </w:tcPr>
          <w:p>
            <w:pPr>
              <w:widowControl/>
              <w:wordWrap w:val="0"/>
              <w:spacing w:before="120" w:line="240" w:lineRule="atLeast"/>
              <w:jc w:val="center"/>
              <w:rPr>
                <w:rFonts w:ascii="仿宋" w:hAnsi="仿宋" w:cs="仿宋"/>
                <w:szCs w:val="32"/>
              </w:rPr>
            </w:pPr>
            <w:r>
              <w:rPr>
                <w:rFonts w:hint="eastAsia" w:ascii="仿宋" w:hAnsi="仿宋" w:cs="仿宋"/>
                <w:kern w:val="0"/>
                <w:szCs w:val="32"/>
              </w:rPr>
              <w:t>省 外</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86" w:hRule="atLeast"/>
          <w:jc w:val="center"/>
        </w:trPr>
        <w:tc>
          <w:tcPr>
            <w:tcW w:w="3118" w:type="dxa"/>
            <w:tcBorders>
              <w:top w:val="nil"/>
              <w:left w:val="single" w:color="000000" w:sz="8" w:space="0"/>
              <w:bottom w:val="single" w:color="000000" w:sz="8" w:space="0"/>
              <w:right w:val="single" w:color="000000" w:sz="8" w:space="0"/>
            </w:tcBorders>
            <w:shd w:val="clear" w:color="auto" w:fill="auto"/>
            <w:tcMar>
              <w:left w:w="108" w:type="dxa"/>
              <w:right w:w="108" w:type="dxa"/>
            </w:tcMar>
          </w:tcPr>
          <w:p>
            <w:pPr>
              <w:widowControl/>
              <w:wordWrap w:val="0"/>
              <w:spacing w:before="120" w:line="240" w:lineRule="atLeast"/>
              <w:jc w:val="center"/>
              <w:rPr>
                <w:rFonts w:ascii="仿宋" w:hAnsi="仿宋" w:cs="仿宋"/>
                <w:szCs w:val="32"/>
              </w:rPr>
            </w:pPr>
            <w:r>
              <w:rPr>
                <w:rFonts w:hint="eastAsia" w:ascii="仿宋" w:hAnsi="仿宋" w:cs="仿宋"/>
                <w:kern w:val="0"/>
                <w:szCs w:val="32"/>
              </w:rPr>
              <w:t>省级及相当职务人员</w:t>
            </w:r>
          </w:p>
        </w:tc>
        <w:tc>
          <w:tcPr>
            <w:tcW w:w="1701" w:type="dxa"/>
            <w:tcBorders>
              <w:top w:val="nil"/>
              <w:left w:val="nil"/>
              <w:bottom w:val="single" w:color="000000" w:sz="8" w:space="0"/>
              <w:right w:val="single" w:color="000000" w:sz="8" w:space="0"/>
            </w:tcBorders>
            <w:shd w:val="clear" w:color="auto" w:fill="auto"/>
            <w:tcMar>
              <w:left w:w="108" w:type="dxa"/>
              <w:right w:w="108" w:type="dxa"/>
            </w:tcMar>
          </w:tcPr>
          <w:p>
            <w:pPr>
              <w:widowControl/>
              <w:wordWrap w:val="0"/>
              <w:spacing w:before="120" w:line="240" w:lineRule="atLeast"/>
              <w:jc w:val="center"/>
              <w:rPr>
                <w:rFonts w:ascii="仿宋" w:hAnsi="仿宋" w:cs="仿宋"/>
                <w:szCs w:val="32"/>
              </w:rPr>
            </w:pPr>
            <w:r>
              <w:rPr>
                <w:rFonts w:hint="eastAsia" w:ascii="仿宋" w:hAnsi="仿宋" w:cs="仿宋"/>
                <w:kern w:val="0"/>
                <w:szCs w:val="32"/>
              </w:rPr>
              <w:t>750</w:t>
            </w:r>
          </w:p>
        </w:tc>
        <w:tc>
          <w:tcPr>
            <w:tcW w:w="3402" w:type="dxa"/>
            <w:vMerge w:val="restart"/>
            <w:tcBorders>
              <w:top w:val="nil"/>
              <w:left w:val="nil"/>
              <w:bottom w:val="single" w:color="000000" w:sz="8" w:space="0"/>
              <w:right w:val="single" w:color="000000" w:sz="8" w:space="0"/>
            </w:tcBorders>
            <w:shd w:val="clear" w:color="auto" w:fill="auto"/>
            <w:tcMar>
              <w:left w:w="108" w:type="dxa"/>
              <w:right w:w="108" w:type="dxa"/>
            </w:tcMar>
            <w:vAlign w:val="center"/>
          </w:tcPr>
          <w:p>
            <w:pPr>
              <w:widowControl/>
              <w:wordWrap w:val="0"/>
              <w:spacing w:before="120" w:line="240" w:lineRule="atLeast"/>
              <w:jc w:val="center"/>
              <w:rPr>
                <w:rFonts w:ascii="仿宋" w:hAnsi="仿宋" w:cs="仿宋"/>
                <w:szCs w:val="32"/>
              </w:rPr>
            </w:pPr>
            <w:r>
              <w:rPr>
                <w:rFonts w:hint="eastAsia" w:ascii="仿宋" w:hAnsi="仿宋" w:cs="仿宋"/>
                <w:kern w:val="0"/>
                <w:szCs w:val="32"/>
              </w:rPr>
              <w:t>执行财政部发布的住宿费限额标准（见附表）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86" w:hRule="atLeast"/>
          <w:jc w:val="center"/>
        </w:trPr>
        <w:tc>
          <w:tcPr>
            <w:tcW w:w="3118"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pPr>
              <w:widowControl/>
              <w:wordWrap w:val="0"/>
              <w:spacing w:before="120" w:line="240" w:lineRule="atLeast"/>
              <w:jc w:val="center"/>
              <w:rPr>
                <w:rFonts w:ascii="仿宋" w:hAnsi="仿宋" w:cs="仿宋"/>
                <w:szCs w:val="32"/>
              </w:rPr>
            </w:pPr>
            <w:r>
              <w:rPr>
                <w:rFonts w:hint="eastAsia" w:ascii="仿宋" w:hAnsi="仿宋" w:cs="仿宋"/>
                <w:kern w:val="0"/>
                <w:szCs w:val="32"/>
              </w:rPr>
              <w:t>厅（局）级及相当职务人员</w:t>
            </w:r>
          </w:p>
        </w:tc>
        <w:tc>
          <w:tcPr>
            <w:tcW w:w="1701" w:type="dxa"/>
            <w:tcBorders>
              <w:top w:val="nil"/>
              <w:left w:val="nil"/>
              <w:bottom w:val="single" w:color="000000" w:sz="8" w:space="0"/>
              <w:right w:val="single" w:color="000000" w:sz="8" w:space="0"/>
            </w:tcBorders>
            <w:shd w:val="clear" w:color="auto" w:fill="auto"/>
            <w:tcMar>
              <w:left w:w="108" w:type="dxa"/>
              <w:right w:w="108" w:type="dxa"/>
            </w:tcMar>
            <w:vAlign w:val="center"/>
          </w:tcPr>
          <w:p>
            <w:pPr>
              <w:widowControl/>
              <w:wordWrap w:val="0"/>
              <w:spacing w:before="120" w:line="240" w:lineRule="atLeast"/>
              <w:jc w:val="center"/>
              <w:rPr>
                <w:rFonts w:ascii="仿宋" w:hAnsi="仿宋" w:cs="仿宋"/>
                <w:szCs w:val="32"/>
              </w:rPr>
            </w:pPr>
            <w:r>
              <w:rPr>
                <w:rFonts w:hint="eastAsia" w:ascii="仿宋" w:hAnsi="仿宋" w:cs="仿宋"/>
                <w:kern w:val="0"/>
                <w:szCs w:val="32"/>
              </w:rPr>
              <w:t>450</w:t>
            </w:r>
          </w:p>
        </w:tc>
        <w:tc>
          <w:tcPr>
            <w:tcW w:w="3402" w:type="dxa"/>
            <w:vMerge w:val="continue"/>
            <w:tcBorders>
              <w:top w:val="nil"/>
              <w:left w:val="nil"/>
              <w:bottom w:val="single" w:color="000000" w:sz="8" w:space="0"/>
              <w:right w:val="single" w:color="000000" w:sz="8" w:space="0"/>
            </w:tcBorders>
            <w:shd w:val="clear" w:color="auto" w:fill="auto"/>
            <w:tcMar>
              <w:left w:w="108" w:type="dxa"/>
              <w:right w:w="108" w:type="dxa"/>
            </w:tcMar>
            <w:vAlign w:val="center"/>
          </w:tcPr>
          <w:p>
            <w:pPr>
              <w:rPr>
                <w:rFonts w:ascii="仿宋" w:hAnsi="仿宋" w:cs="仿宋"/>
                <w:szCs w:val="32"/>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86" w:hRule="atLeast"/>
          <w:jc w:val="center"/>
        </w:trPr>
        <w:tc>
          <w:tcPr>
            <w:tcW w:w="3118" w:type="dxa"/>
            <w:tcBorders>
              <w:top w:val="nil"/>
              <w:left w:val="single" w:color="000000" w:sz="8" w:space="0"/>
              <w:bottom w:val="single" w:color="000000" w:sz="8" w:space="0"/>
              <w:right w:val="single" w:color="000000" w:sz="8" w:space="0"/>
            </w:tcBorders>
            <w:shd w:val="clear" w:color="auto" w:fill="auto"/>
            <w:tcMar>
              <w:left w:w="108" w:type="dxa"/>
              <w:right w:w="108" w:type="dxa"/>
            </w:tcMar>
          </w:tcPr>
          <w:p>
            <w:pPr>
              <w:widowControl/>
              <w:wordWrap w:val="0"/>
              <w:spacing w:before="120" w:line="240" w:lineRule="atLeast"/>
              <w:jc w:val="center"/>
              <w:rPr>
                <w:rFonts w:ascii="仿宋" w:hAnsi="仿宋" w:cs="仿宋"/>
                <w:szCs w:val="32"/>
              </w:rPr>
            </w:pPr>
            <w:r>
              <w:rPr>
                <w:rFonts w:hint="eastAsia" w:ascii="仿宋" w:hAnsi="仿宋" w:cs="仿宋"/>
                <w:kern w:val="0"/>
                <w:szCs w:val="32"/>
              </w:rPr>
              <w:t>其他人员</w:t>
            </w:r>
          </w:p>
        </w:tc>
        <w:tc>
          <w:tcPr>
            <w:tcW w:w="1701" w:type="dxa"/>
            <w:tcBorders>
              <w:top w:val="nil"/>
              <w:left w:val="nil"/>
              <w:bottom w:val="single" w:color="000000" w:sz="8" w:space="0"/>
              <w:right w:val="single" w:color="000000" w:sz="8" w:space="0"/>
            </w:tcBorders>
            <w:shd w:val="clear" w:color="auto" w:fill="auto"/>
            <w:tcMar>
              <w:left w:w="108" w:type="dxa"/>
              <w:right w:w="108" w:type="dxa"/>
            </w:tcMar>
          </w:tcPr>
          <w:p>
            <w:pPr>
              <w:widowControl/>
              <w:wordWrap w:val="0"/>
              <w:spacing w:before="120" w:line="240" w:lineRule="atLeast"/>
              <w:jc w:val="center"/>
              <w:rPr>
                <w:rFonts w:ascii="仿宋" w:hAnsi="仿宋" w:cs="仿宋"/>
                <w:szCs w:val="32"/>
              </w:rPr>
            </w:pPr>
            <w:r>
              <w:rPr>
                <w:rFonts w:hint="eastAsia" w:ascii="仿宋" w:hAnsi="仿宋" w:cs="仿宋"/>
                <w:kern w:val="0"/>
                <w:szCs w:val="32"/>
              </w:rPr>
              <w:t>350</w:t>
            </w:r>
          </w:p>
        </w:tc>
        <w:tc>
          <w:tcPr>
            <w:tcW w:w="3402" w:type="dxa"/>
            <w:vMerge w:val="continue"/>
            <w:tcBorders>
              <w:top w:val="nil"/>
              <w:left w:val="nil"/>
              <w:bottom w:val="single" w:color="000000" w:sz="8" w:space="0"/>
              <w:right w:val="single" w:color="000000" w:sz="8" w:space="0"/>
            </w:tcBorders>
            <w:shd w:val="clear" w:color="auto" w:fill="auto"/>
            <w:tcMar>
              <w:left w:w="108" w:type="dxa"/>
              <w:right w:w="108" w:type="dxa"/>
            </w:tcMar>
            <w:vAlign w:val="center"/>
          </w:tcPr>
          <w:p>
            <w:pPr>
              <w:rPr>
                <w:rFonts w:ascii="仿宋" w:hAnsi="仿宋" w:cs="仿宋"/>
                <w:szCs w:val="32"/>
              </w:rPr>
            </w:pPr>
          </w:p>
        </w:tc>
      </w:tr>
    </w:tbl>
    <w:p>
      <w:pPr>
        <w:widowControl/>
        <w:wordWrap w:val="0"/>
        <w:spacing w:before="120" w:line="500" w:lineRule="atLeast"/>
        <w:ind w:firstLine="643"/>
        <w:rPr>
          <w:rFonts w:ascii="仿宋" w:hAnsi="仿宋" w:cs="仿宋"/>
          <w:szCs w:val="32"/>
        </w:rPr>
      </w:pPr>
      <w:r>
        <w:rPr>
          <w:rFonts w:hint="eastAsia" w:ascii="仿宋" w:hAnsi="仿宋" w:cs="仿宋"/>
          <w:b/>
          <w:kern w:val="0"/>
          <w:szCs w:val="32"/>
          <w:shd w:val="clear" w:color="auto" w:fill="FFFFFF"/>
        </w:rPr>
        <w:t>第十一条</w:t>
      </w:r>
      <w:r>
        <w:rPr>
          <w:rFonts w:hint="eastAsia" w:ascii="仿宋" w:hAnsi="仿宋" w:cs="仿宋"/>
          <w:kern w:val="0"/>
          <w:szCs w:val="32"/>
          <w:shd w:val="clear" w:color="auto" w:fill="FFFFFF"/>
        </w:rPr>
        <w:t> 省级及相当职务人员住普通套间，厅（局）级及以下人员住单间或者标准间。</w:t>
      </w:r>
    </w:p>
    <w:p>
      <w:pPr>
        <w:widowControl/>
        <w:wordWrap w:val="0"/>
        <w:spacing w:before="120" w:line="500" w:lineRule="atLeast"/>
        <w:ind w:firstLine="643"/>
        <w:rPr>
          <w:rFonts w:ascii="仿宋" w:hAnsi="仿宋" w:cs="仿宋"/>
          <w:szCs w:val="32"/>
        </w:rPr>
      </w:pPr>
      <w:r>
        <w:rPr>
          <w:rFonts w:hint="eastAsia" w:ascii="仿宋" w:hAnsi="仿宋" w:cs="仿宋"/>
          <w:b/>
          <w:kern w:val="0"/>
          <w:szCs w:val="32"/>
          <w:shd w:val="clear" w:color="auto" w:fill="FFFFFF"/>
        </w:rPr>
        <w:t>第十二条</w:t>
      </w:r>
      <w:r>
        <w:rPr>
          <w:rFonts w:hint="eastAsia" w:ascii="仿宋" w:hAnsi="仿宋" w:cs="仿宋"/>
          <w:kern w:val="0"/>
          <w:szCs w:val="32"/>
          <w:shd w:val="clear" w:color="auto" w:fill="FFFFFF"/>
        </w:rPr>
        <w:t> 出差人员应当在职务级别对应的住宿费标准限额内，选择安全、经济、便捷的宾馆住宿。</w:t>
      </w:r>
    </w:p>
    <w:p>
      <w:pPr>
        <w:widowControl/>
        <w:wordWrap w:val="0"/>
        <w:spacing w:before="120" w:line="500" w:lineRule="atLeast"/>
        <w:rPr>
          <w:rFonts w:ascii="仿宋" w:hAnsi="仿宋" w:cs="仿宋"/>
          <w:szCs w:val="32"/>
        </w:rPr>
      </w:pPr>
      <w:r>
        <w:rPr>
          <w:rFonts w:hint="eastAsia" w:ascii="仿宋" w:hAnsi="仿宋" w:cs="仿宋"/>
          <w:kern w:val="0"/>
          <w:szCs w:val="32"/>
          <w:shd w:val="clear" w:color="auto" w:fill="FFFFFF"/>
        </w:rPr>
        <w:t xml:space="preserve">                </w:t>
      </w:r>
      <w:r>
        <w:rPr>
          <w:rFonts w:hint="eastAsia" w:ascii="黑体" w:hAnsi="黑体" w:eastAsia="黑体" w:cs="黑体"/>
          <w:kern w:val="0"/>
          <w:szCs w:val="32"/>
          <w:shd w:val="clear" w:color="auto" w:fill="FFFFFF"/>
        </w:rPr>
        <w:t>第四章 伙食补助费</w:t>
      </w:r>
    </w:p>
    <w:p>
      <w:pPr>
        <w:widowControl/>
        <w:wordWrap w:val="0"/>
        <w:spacing w:before="120" w:line="500" w:lineRule="atLeast"/>
        <w:ind w:firstLine="643"/>
        <w:rPr>
          <w:rFonts w:ascii="仿宋" w:hAnsi="仿宋" w:cs="仿宋"/>
          <w:szCs w:val="32"/>
        </w:rPr>
      </w:pPr>
      <w:r>
        <w:rPr>
          <w:rFonts w:hint="eastAsia" w:ascii="仿宋" w:hAnsi="仿宋" w:cs="仿宋"/>
          <w:b/>
          <w:kern w:val="0"/>
          <w:szCs w:val="32"/>
          <w:shd w:val="clear" w:color="auto" w:fill="FFFFFF"/>
        </w:rPr>
        <w:t>第十三条</w:t>
      </w:r>
      <w:r>
        <w:rPr>
          <w:rFonts w:hint="eastAsia" w:ascii="仿宋" w:hAnsi="仿宋" w:cs="仿宋"/>
          <w:kern w:val="0"/>
          <w:szCs w:val="32"/>
          <w:shd w:val="clear" w:color="auto" w:fill="FFFFFF"/>
        </w:rPr>
        <w:t> 伙食补助费是指对各部门工作人员在因公出差期间给予的伙食补助费用。</w:t>
      </w:r>
    </w:p>
    <w:p>
      <w:pPr>
        <w:widowControl/>
        <w:wordWrap w:val="0"/>
        <w:spacing w:before="120" w:line="500" w:lineRule="atLeast"/>
        <w:ind w:firstLine="643"/>
        <w:rPr>
          <w:rFonts w:ascii="仿宋" w:hAnsi="仿宋" w:cs="仿宋"/>
          <w:szCs w:val="32"/>
        </w:rPr>
      </w:pPr>
      <w:r>
        <w:rPr>
          <w:rFonts w:hint="eastAsia" w:ascii="仿宋" w:hAnsi="仿宋" w:cs="仿宋"/>
          <w:b/>
          <w:kern w:val="0"/>
          <w:szCs w:val="32"/>
          <w:shd w:val="clear" w:color="auto" w:fill="FFFFFF"/>
        </w:rPr>
        <w:t>第十四条 </w:t>
      </w:r>
      <w:r>
        <w:rPr>
          <w:rFonts w:hint="eastAsia" w:ascii="仿宋" w:hAnsi="仿宋" w:cs="仿宋"/>
          <w:kern w:val="0"/>
          <w:szCs w:val="32"/>
          <w:shd w:val="clear" w:color="auto" w:fill="FFFFFF"/>
        </w:rPr>
        <w:t>伙食补助费按出差自然（日历）天数计算，按规定标准包干使用。省内出差每人每天100元包干使用。省外出差按照财政部发布的相关地区出差伙食补助费标准执行（见附表）。</w:t>
      </w:r>
    </w:p>
    <w:p>
      <w:pPr>
        <w:widowControl/>
        <w:wordWrap w:val="0"/>
        <w:spacing w:before="120" w:line="500" w:lineRule="atLeast"/>
        <w:ind w:firstLine="643"/>
        <w:rPr>
          <w:rFonts w:ascii="仿宋" w:hAnsi="仿宋" w:cs="仿宋"/>
          <w:szCs w:val="32"/>
        </w:rPr>
      </w:pPr>
      <w:r>
        <w:rPr>
          <w:rFonts w:hint="eastAsia" w:ascii="仿宋" w:hAnsi="仿宋" w:cs="仿宋"/>
          <w:b/>
          <w:kern w:val="0"/>
          <w:szCs w:val="32"/>
          <w:shd w:val="clear" w:color="auto" w:fill="FFFFFF"/>
        </w:rPr>
        <w:t>第十五条</w:t>
      </w:r>
      <w:r>
        <w:rPr>
          <w:rFonts w:hint="eastAsia" w:ascii="仿宋" w:hAnsi="仿宋" w:cs="仿宋"/>
          <w:kern w:val="0"/>
          <w:szCs w:val="32"/>
          <w:shd w:val="clear" w:color="auto" w:fill="FFFFFF"/>
        </w:rPr>
        <w:t> 出差人员应当自行用餐。凡由接待单位统一安排就餐的，应当向接待单位交纳伙食费。</w:t>
      </w:r>
    </w:p>
    <w:p>
      <w:pPr>
        <w:widowControl/>
        <w:wordWrap w:val="0"/>
        <w:spacing w:line="500" w:lineRule="atLeast"/>
        <w:rPr>
          <w:rFonts w:ascii="仿宋" w:hAnsi="仿宋" w:cs="仿宋"/>
          <w:szCs w:val="32"/>
        </w:rPr>
      </w:pPr>
      <w:r>
        <w:rPr>
          <w:rFonts w:hint="eastAsia" w:ascii="仿宋" w:hAnsi="仿宋" w:cs="仿宋"/>
          <w:kern w:val="0"/>
          <w:szCs w:val="32"/>
          <w:shd w:val="clear" w:color="auto" w:fill="FFFFFF"/>
        </w:rPr>
        <w:t xml:space="preserve">               </w:t>
      </w:r>
      <w:r>
        <w:rPr>
          <w:rFonts w:hint="eastAsia" w:ascii="黑体" w:hAnsi="黑体" w:eastAsia="黑体" w:cs="黑体"/>
          <w:kern w:val="0"/>
          <w:szCs w:val="32"/>
          <w:shd w:val="clear" w:color="auto" w:fill="FFFFFF"/>
        </w:rPr>
        <w:t xml:space="preserve"> 第五章 市内交通费</w:t>
      </w:r>
    </w:p>
    <w:p>
      <w:pPr>
        <w:widowControl/>
        <w:wordWrap w:val="0"/>
        <w:spacing w:before="120" w:line="500" w:lineRule="atLeast"/>
        <w:ind w:firstLine="643"/>
        <w:rPr>
          <w:rFonts w:ascii="仿宋" w:hAnsi="仿宋" w:cs="仿宋"/>
          <w:szCs w:val="32"/>
        </w:rPr>
      </w:pPr>
      <w:r>
        <w:rPr>
          <w:rFonts w:hint="eastAsia" w:ascii="仿宋" w:hAnsi="仿宋" w:cs="仿宋"/>
          <w:b/>
          <w:kern w:val="0"/>
          <w:szCs w:val="32"/>
          <w:shd w:val="clear" w:color="auto" w:fill="FFFFFF"/>
        </w:rPr>
        <w:t>第十六条 </w:t>
      </w:r>
      <w:r>
        <w:rPr>
          <w:rFonts w:hint="eastAsia" w:ascii="仿宋" w:hAnsi="仿宋" w:cs="仿宋"/>
          <w:kern w:val="0"/>
          <w:szCs w:val="32"/>
          <w:shd w:val="clear" w:color="auto" w:fill="FFFFFF"/>
        </w:rPr>
        <w:t>市内交通费是指各部门工作人员因公临时出差期间发生的市内交通费用。</w:t>
      </w:r>
    </w:p>
    <w:p>
      <w:pPr>
        <w:widowControl/>
        <w:wordWrap w:val="0"/>
        <w:spacing w:before="120" w:line="500" w:lineRule="atLeast"/>
        <w:ind w:firstLine="643"/>
        <w:rPr>
          <w:rFonts w:ascii="仿宋" w:hAnsi="仿宋" w:cs="仿宋"/>
          <w:szCs w:val="32"/>
        </w:rPr>
      </w:pPr>
      <w:r>
        <w:rPr>
          <w:rFonts w:hint="eastAsia" w:ascii="仿宋" w:hAnsi="仿宋" w:cs="仿宋"/>
          <w:b/>
          <w:kern w:val="0"/>
          <w:szCs w:val="32"/>
          <w:shd w:val="clear" w:color="auto" w:fill="FFFFFF"/>
        </w:rPr>
        <w:t>第十七条 </w:t>
      </w:r>
      <w:r>
        <w:rPr>
          <w:rFonts w:hint="eastAsia" w:ascii="仿宋" w:hAnsi="仿宋" w:cs="仿宋"/>
          <w:kern w:val="0"/>
          <w:szCs w:val="32"/>
          <w:shd w:val="clear" w:color="auto" w:fill="FFFFFF"/>
        </w:rPr>
        <w:t>市内交通费按出差自然（日历）天数计算，每人每天80元包干使用。</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b/>
          <w:kern w:val="0"/>
          <w:szCs w:val="32"/>
          <w:shd w:val="clear" w:color="auto" w:fill="FFFFFF"/>
        </w:rPr>
        <w:t>第十八条</w:t>
      </w:r>
      <w:r>
        <w:rPr>
          <w:rFonts w:hint="eastAsia" w:ascii="仿宋" w:hAnsi="仿宋" w:cs="仿宋"/>
          <w:kern w:val="0"/>
          <w:szCs w:val="32"/>
          <w:shd w:val="clear" w:color="auto" w:fill="FFFFFF"/>
        </w:rPr>
        <w:t> 出差人员由接待单位或其他单位提供交通工具的，应向接待单位或其他单位交纳相关费用。</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 xml:space="preserve">                </w:t>
      </w:r>
      <w:r>
        <w:rPr>
          <w:rFonts w:hint="eastAsia" w:ascii="仿宋" w:hAnsi="仿宋" w:cs="仿宋"/>
          <w:b/>
          <w:bCs/>
          <w:kern w:val="0"/>
          <w:szCs w:val="32"/>
          <w:shd w:val="clear" w:color="auto" w:fill="FFFFFF"/>
        </w:rPr>
        <w:t>第六章 报销管理</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b/>
          <w:kern w:val="0"/>
          <w:szCs w:val="32"/>
          <w:shd w:val="clear" w:color="auto" w:fill="FFFFFF"/>
        </w:rPr>
        <w:t>第十九条</w:t>
      </w:r>
      <w:r>
        <w:rPr>
          <w:rFonts w:hint="eastAsia" w:ascii="仿宋" w:hAnsi="仿宋" w:cs="仿宋"/>
          <w:kern w:val="0"/>
          <w:szCs w:val="32"/>
          <w:shd w:val="clear" w:color="auto" w:fill="FFFFFF"/>
        </w:rPr>
        <w:t> 出差人员应当严格按规定开支差旅费，费用由所在单位承担，不得向下级单位、企业或其他单位转嫁。</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b/>
          <w:kern w:val="0"/>
          <w:szCs w:val="32"/>
          <w:shd w:val="clear" w:color="auto" w:fill="FFFFFF"/>
        </w:rPr>
        <w:t>第二十条</w:t>
      </w:r>
      <w:r>
        <w:rPr>
          <w:rFonts w:hint="eastAsia" w:ascii="仿宋" w:hAnsi="仿宋" w:cs="仿宋"/>
          <w:kern w:val="0"/>
          <w:szCs w:val="32"/>
          <w:shd w:val="clear" w:color="auto" w:fill="FFFFFF"/>
        </w:rPr>
        <w:t> 城市间交通费按乘坐交通工具的等级凭据报销，订票费、经批准发生的签转或退票费、交通意外保险费凭据报销。</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住宿费在标准限额之内凭发票据实报销。</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伙食补助费和市内交通费按规定标准报销。在途期间的伙食补助费按当天最后到达目的地的标准报销。</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未按规定开支差旅费的，超支部分由个人自理。</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b/>
          <w:kern w:val="0"/>
          <w:szCs w:val="32"/>
          <w:shd w:val="clear" w:color="auto" w:fill="FFFFFF"/>
        </w:rPr>
        <w:t>第二十一条</w:t>
      </w:r>
      <w:r>
        <w:rPr>
          <w:rFonts w:hint="eastAsia" w:ascii="仿宋" w:hAnsi="仿宋" w:cs="仿宋"/>
          <w:kern w:val="0"/>
          <w:szCs w:val="32"/>
          <w:shd w:val="clear" w:color="auto" w:fill="FFFFFF"/>
        </w:rPr>
        <w:t> 各部门工作人员出差结束后应当及时办理报销手续。</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（1）出差前填写《出差审批单》，经相关权限人审批同意后，方可出差。</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（2）出差返还后，应及时将相应票据及《差旅报销单》按照财政局要求分类粘贴好并由本部门相关领导审核后报到财务部门审核，不合格票据财务部门有权拒收。</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附原始单据如下:</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1、差旅费审批单：出差人、出差人数、随行人员、出差事由、预计出差时间、出差地点安排、预计出差费用、预借款等。</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2、交通费支付凭证。</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3、住宿费凭证。</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4、餐费凭证。</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5、订票费、保险费、行李托运费、寄存费、退票费、机场建设费等杂费凭证。</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6、带车出差的相关费用凭证及往返里程资料。</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7、其他特殊费用等凭证。</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b/>
          <w:kern w:val="0"/>
          <w:szCs w:val="32"/>
          <w:shd w:val="clear" w:color="auto" w:fill="FFFFFF"/>
        </w:rPr>
        <w:t>第二十二条</w:t>
      </w:r>
      <w:r>
        <w:rPr>
          <w:rFonts w:hint="eastAsia" w:ascii="仿宋" w:hAnsi="仿宋" w:cs="仿宋"/>
          <w:kern w:val="0"/>
          <w:szCs w:val="32"/>
          <w:shd w:val="clear" w:color="auto" w:fill="FFFFFF"/>
        </w:rPr>
        <w:t> 财务部门应当严格按规定审核差旅费开支，对未经批准，以及超范围、超标准开支的费用不予报销。</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实际发生住宿而无住宿费发票的，不得报销住宿费以及城市间交通费、伙食补助费和市内交通费。</w:t>
      </w:r>
    </w:p>
    <w:p>
      <w:pPr>
        <w:widowControl/>
        <w:wordWrap w:val="0"/>
        <w:spacing w:before="120" w:line="500" w:lineRule="atLeast"/>
        <w:ind w:firstLine="643"/>
        <w:rPr>
          <w:rFonts w:ascii="仿宋" w:hAnsi="仿宋" w:cs="仿宋"/>
          <w:b/>
          <w:bCs/>
          <w:kern w:val="0"/>
          <w:szCs w:val="32"/>
          <w:shd w:val="clear" w:color="auto" w:fill="FFFFFF"/>
        </w:rPr>
      </w:pPr>
      <w:r>
        <w:rPr>
          <w:rFonts w:hint="eastAsia" w:ascii="仿宋" w:hAnsi="仿宋" w:cs="仿宋"/>
          <w:kern w:val="0"/>
          <w:szCs w:val="32"/>
          <w:shd w:val="clear" w:color="auto" w:fill="FFFFFF"/>
        </w:rPr>
        <w:t xml:space="preserve">              </w:t>
      </w:r>
      <w:r>
        <w:rPr>
          <w:rFonts w:hint="eastAsia" w:ascii="仿宋" w:hAnsi="仿宋" w:cs="仿宋"/>
          <w:b/>
          <w:bCs/>
          <w:kern w:val="0"/>
          <w:szCs w:val="32"/>
          <w:shd w:val="clear" w:color="auto" w:fill="FFFFFF"/>
        </w:rPr>
        <w:t xml:space="preserve"> 第七章  监督问责</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b/>
          <w:kern w:val="0"/>
          <w:szCs w:val="32"/>
          <w:shd w:val="clear" w:color="auto" w:fill="FFFFFF"/>
        </w:rPr>
        <w:t>第二十三条</w:t>
      </w:r>
      <w:r>
        <w:rPr>
          <w:rFonts w:hint="eastAsia" w:ascii="仿宋" w:hAnsi="仿宋" w:cs="仿宋"/>
          <w:kern w:val="0"/>
          <w:szCs w:val="32"/>
          <w:shd w:val="clear" w:color="auto" w:fill="FFFFFF"/>
        </w:rPr>
        <w:t> 各部门应当加强对本部门工作人员差旅活动和经费报销的内控管理，对本部门差旅审批制度、差旅费预算及规模控制负责，相关领导、财务人员等对差旅费报销进行审核把关，确保票据来源合法，内容真实完整、合规。对未经批准擅自出差、不按规定开支和报销差旅费的人员进行严肃处理。</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 </w:t>
      </w:r>
      <w:r>
        <w:rPr>
          <w:rFonts w:hint="eastAsia" w:ascii="仿宋" w:hAnsi="仿宋" w:cs="仿宋"/>
          <w:b/>
          <w:kern w:val="0"/>
          <w:szCs w:val="32"/>
          <w:shd w:val="clear" w:color="auto" w:fill="FFFFFF"/>
        </w:rPr>
        <w:t>第二十四条</w:t>
      </w:r>
      <w:r>
        <w:rPr>
          <w:rFonts w:hint="eastAsia" w:ascii="仿宋" w:hAnsi="仿宋" w:cs="仿宋"/>
          <w:kern w:val="0"/>
          <w:szCs w:val="32"/>
          <w:shd w:val="clear" w:color="auto" w:fill="FFFFFF"/>
        </w:rPr>
        <w:t> 对各部门差旅费实行监督检查。主要内容包括：</w:t>
      </w:r>
    </w:p>
    <w:p>
      <w:pPr>
        <w:widowControl/>
        <w:numPr>
          <w:ilvl w:val="0"/>
          <w:numId w:val="4"/>
        </w:numPr>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出差活动是否按规定履行审批手续；</w:t>
      </w:r>
    </w:p>
    <w:p>
      <w:pPr>
        <w:widowControl/>
        <w:numPr>
          <w:ilvl w:val="0"/>
          <w:numId w:val="4"/>
        </w:numPr>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差旅费开支范围和标准是否符合规定；</w:t>
      </w:r>
    </w:p>
    <w:p>
      <w:pPr>
        <w:widowControl/>
        <w:numPr>
          <w:ilvl w:val="0"/>
          <w:numId w:val="4"/>
        </w:numPr>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差旅费报销是否符合规定；</w:t>
      </w:r>
    </w:p>
    <w:p>
      <w:pPr>
        <w:widowControl/>
        <w:numPr>
          <w:ilvl w:val="0"/>
          <w:numId w:val="4"/>
        </w:numPr>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是否向下级单位、企业或其他单位转嫁差旅费；</w:t>
      </w:r>
    </w:p>
    <w:p>
      <w:pPr>
        <w:widowControl/>
        <w:wordWrap w:val="0"/>
        <w:spacing w:before="120" w:line="500" w:lineRule="atLeast"/>
        <w:ind w:firstLine="640" w:firstLineChars="200"/>
        <w:rPr>
          <w:rFonts w:ascii="仿宋" w:hAnsi="仿宋" w:cs="仿宋"/>
          <w:kern w:val="0"/>
          <w:szCs w:val="32"/>
          <w:shd w:val="clear" w:color="auto" w:fill="FFFFFF"/>
        </w:rPr>
      </w:pPr>
      <w:r>
        <w:rPr>
          <w:rFonts w:hint="eastAsia" w:ascii="仿宋" w:hAnsi="仿宋" w:cs="仿宋"/>
          <w:kern w:val="0"/>
          <w:szCs w:val="32"/>
          <w:shd w:val="clear" w:color="auto" w:fill="FFFFFF"/>
        </w:rPr>
        <w:t>（五）差旅费管理和使用的其他情况。</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b/>
          <w:kern w:val="0"/>
          <w:szCs w:val="32"/>
          <w:shd w:val="clear" w:color="auto" w:fill="FFFFFF"/>
        </w:rPr>
        <w:t>第二十五条</w:t>
      </w:r>
      <w:r>
        <w:rPr>
          <w:rFonts w:hint="eastAsia" w:ascii="仿宋" w:hAnsi="仿宋" w:cs="仿宋"/>
          <w:kern w:val="0"/>
          <w:szCs w:val="32"/>
          <w:shd w:val="clear" w:color="auto" w:fill="FFFFFF"/>
        </w:rPr>
        <w:t> 出差人员不得向接待单位提出正常公务活动以外的要求，不得在出差期间接受违反规定用公款支付的宴请、游览和非工作需要的参观，不得接受礼品、礼金和土特产品等。</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b/>
          <w:kern w:val="0"/>
          <w:szCs w:val="32"/>
          <w:shd w:val="clear" w:color="auto" w:fill="FFFFFF"/>
        </w:rPr>
        <w:t>第二十六条</w:t>
      </w:r>
      <w:r>
        <w:rPr>
          <w:rFonts w:hint="eastAsia" w:ascii="仿宋" w:hAnsi="仿宋" w:cs="仿宋"/>
          <w:kern w:val="0"/>
          <w:szCs w:val="32"/>
          <w:shd w:val="clear" w:color="auto" w:fill="FFFFFF"/>
        </w:rPr>
        <w:t> 工作人员外出参加会议、培训，举办单位统一安排食宿的，会议、培训期间的食宿费和市内交通费由会议、培训举办单位按规定统一开支；往返会议、培训地点的差旅费由所在单位按本办法有关规定报销。</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b/>
          <w:kern w:val="0"/>
          <w:szCs w:val="32"/>
          <w:shd w:val="clear" w:color="auto" w:fill="FFFFFF"/>
        </w:rPr>
        <w:t>第二十七条</w:t>
      </w:r>
      <w:r>
        <w:rPr>
          <w:rFonts w:hint="eastAsia" w:ascii="仿宋" w:hAnsi="仿宋" w:cs="仿宋"/>
          <w:kern w:val="0"/>
          <w:szCs w:val="32"/>
          <w:shd w:val="clear" w:color="auto" w:fill="FFFFFF"/>
        </w:rPr>
        <w:t> 财务对各部门及个人差旅费使用情况进行全面监督检查，对检查中发现的问题要责令改正，追回违规金额，对相关违纪情况要视情节轻重转交相应部门追究责任。</w:t>
      </w:r>
    </w:p>
    <w:p>
      <w:pPr>
        <w:widowControl/>
        <w:wordWrap w:val="0"/>
        <w:spacing w:before="120" w:line="500" w:lineRule="atLeast"/>
        <w:ind w:firstLine="643"/>
        <w:jc w:val="center"/>
        <w:rPr>
          <w:rFonts w:ascii="仿宋" w:hAnsi="仿宋" w:cs="仿宋"/>
          <w:b/>
          <w:bCs/>
          <w:kern w:val="0"/>
          <w:szCs w:val="32"/>
          <w:shd w:val="clear" w:color="auto" w:fill="FFFFFF"/>
        </w:rPr>
      </w:pPr>
      <w:bookmarkStart w:id="258" w:name="_Toc8778"/>
      <w:r>
        <w:rPr>
          <w:rFonts w:hint="eastAsia" w:ascii="仿宋" w:hAnsi="仿宋" w:cs="仿宋"/>
          <w:b/>
          <w:bCs/>
          <w:kern w:val="0"/>
          <w:szCs w:val="32"/>
          <w:shd w:val="clear" w:color="auto" w:fill="FFFFFF"/>
        </w:rPr>
        <w:t>招商工作人员出差管理办法</w:t>
      </w:r>
      <w:bookmarkEnd w:id="258"/>
    </w:p>
    <w:p>
      <w:pPr>
        <w:widowControl/>
        <w:wordWrap w:val="0"/>
        <w:spacing w:before="120" w:line="500" w:lineRule="atLeast"/>
        <w:ind w:firstLine="643"/>
        <w:rPr>
          <w:rFonts w:ascii="仿宋" w:hAnsi="仿宋" w:cs="仿宋"/>
          <w:kern w:val="0"/>
          <w:szCs w:val="32"/>
          <w:shd w:val="clear" w:color="auto" w:fill="FFFFFF"/>
        </w:rPr>
      </w:pPr>
      <w:bookmarkStart w:id="259" w:name="_Toc30193"/>
      <w:bookmarkStart w:id="260" w:name="_Toc24"/>
      <w:bookmarkStart w:id="261" w:name="_Toc6489"/>
      <w:bookmarkStart w:id="262" w:name="_Toc17260"/>
      <w:bookmarkStart w:id="263" w:name="_Toc1649"/>
      <w:bookmarkStart w:id="264" w:name="_Toc7744"/>
      <w:bookmarkStart w:id="265" w:name="_Toc10003"/>
      <w:r>
        <w:rPr>
          <w:rFonts w:hint="eastAsia" w:ascii="仿宋" w:hAnsi="仿宋" w:cs="仿宋"/>
          <w:kern w:val="0"/>
          <w:szCs w:val="32"/>
          <w:shd w:val="clear" w:color="auto" w:fill="FFFFFF"/>
        </w:rPr>
        <w:t>一、出差管理办法</w:t>
      </w:r>
      <w:bookmarkEnd w:id="259"/>
      <w:bookmarkEnd w:id="260"/>
    </w:p>
    <w:p>
      <w:pPr>
        <w:widowControl/>
        <w:wordWrap w:val="0"/>
        <w:spacing w:before="120" w:line="500" w:lineRule="atLeast"/>
        <w:ind w:firstLine="643"/>
        <w:jc w:val="center"/>
        <w:rPr>
          <w:rFonts w:ascii="仿宋" w:hAnsi="仿宋" w:cs="仿宋"/>
          <w:kern w:val="0"/>
          <w:szCs w:val="32"/>
          <w:shd w:val="clear" w:color="auto" w:fill="FFFFFF"/>
        </w:rPr>
      </w:pPr>
      <w:bookmarkStart w:id="266" w:name="_Toc1801"/>
      <w:bookmarkStart w:id="267" w:name="_Toc30114"/>
      <w:r>
        <w:rPr>
          <w:rFonts w:hint="eastAsia" w:ascii="仿宋" w:hAnsi="仿宋" w:cs="仿宋"/>
          <w:kern w:val="0"/>
          <w:szCs w:val="32"/>
          <w:shd w:val="clear" w:color="auto" w:fill="FFFFFF"/>
        </w:rPr>
        <w:t>第一章  总  则</w:t>
      </w:r>
      <w:bookmarkEnd w:id="261"/>
      <w:bookmarkEnd w:id="262"/>
      <w:bookmarkEnd w:id="263"/>
      <w:bookmarkEnd w:id="264"/>
      <w:bookmarkEnd w:id="265"/>
      <w:bookmarkEnd w:id="266"/>
      <w:bookmarkEnd w:id="267"/>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第一条  为进一步规范招商工作人员出差，节约经费开支，加强政风建设，根据《中央国家机关和事业单位差旅费管理办法》、《吉林省国家机关和事业单位差旅费管理办法》等规定，制定本办法。</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第二条  本办法适用于生态新区招商局及其他局办招商引资工作人员。</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第三条  本办法所称的出差，是指工作人员赴国内市（区）以外的其他省、自治区、直辖市等地方以及外县（区）参加公务活动。</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第四条  工作人员出差，应当坚持工作需要、严格审批、节约开支、务求实效的原则。</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第五条  工作人员不得参加各类社团组织、社会中介机构举办的营利性会议和活动。</w:t>
      </w:r>
    </w:p>
    <w:p>
      <w:pPr>
        <w:widowControl/>
        <w:wordWrap w:val="0"/>
        <w:spacing w:before="120" w:line="500" w:lineRule="atLeast"/>
        <w:ind w:firstLine="643"/>
        <w:jc w:val="center"/>
        <w:rPr>
          <w:rFonts w:ascii="仿宋" w:hAnsi="仿宋" w:cs="仿宋"/>
          <w:kern w:val="0"/>
          <w:szCs w:val="32"/>
          <w:shd w:val="clear" w:color="auto" w:fill="FFFFFF"/>
        </w:rPr>
      </w:pPr>
      <w:bookmarkStart w:id="268" w:name="_Toc8762"/>
      <w:bookmarkStart w:id="269" w:name="_Toc19501"/>
      <w:bookmarkStart w:id="270" w:name="_Toc16357"/>
      <w:bookmarkStart w:id="271" w:name="_Toc9044"/>
      <w:bookmarkStart w:id="272" w:name="_Toc7311"/>
      <w:bookmarkStart w:id="273" w:name="_Toc11469"/>
      <w:bookmarkStart w:id="274" w:name="_Toc7560"/>
      <w:r>
        <w:rPr>
          <w:rFonts w:hint="eastAsia" w:ascii="仿宋" w:hAnsi="仿宋" w:cs="仿宋"/>
          <w:kern w:val="0"/>
          <w:szCs w:val="32"/>
          <w:shd w:val="clear" w:color="auto" w:fill="FFFFFF"/>
        </w:rPr>
        <w:t>第二章  出差审批</w:t>
      </w:r>
      <w:bookmarkEnd w:id="268"/>
      <w:bookmarkEnd w:id="269"/>
      <w:bookmarkEnd w:id="270"/>
      <w:bookmarkEnd w:id="271"/>
      <w:bookmarkEnd w:id="272"/>
      <w:bookmarkEnd w:id="273"/>
      <w:bookmarkEnd w:id="274"/>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第六条  建立健全出差审批管理制度，按照出差审批权限办理出差审批手续，严格控制出差人数和天数。</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第七条  招商工作人员出差，应当填写出差审批单，并明确出差的内容、时间、人数等，按照审批权限办理出差审批手续。《出差审批单》作为在财务部门借款和报销差旅费的依据。</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第八条  出差审批权限招商局负责同志出差，需报分管主任批准同意，并报请书记批准；一般同志出差，需经招商局负责同志同意，报分管主任批准同意。</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第九条  因情况特殊无法事先书面报批的，可按出差审批权限先口头向有关领导请示同意，待出差结束后，再补办《出差审批单》。</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第十条  陪同领导出差的，由公务活动牵头单位统一填写《出差审批单》，并按照出差审批权限办理出差审批手续。</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第十一条  招商工作人员差旅费的报销按照新区工作人员差旅费报销规定执行。</w:t>
      </w:r>
    </w:p>
    <w:p>
      <w:pPr>
        <w:widowControl/>
        <w:wordWrap w:val="0"/>
        <w:spacing w:before="120" w:line="500" w:lineRule="atLeast"/>
        <w:ind w:firstLine="643"/>
        <w:jc w:val="center"/>
        <w:rPr>
          <w:rFonts w:ascii="仿宋" w:hAnsi="仿宋" w:cs="仿宋"/>
          <w:kern w:val="0"/>
          <w:szCs w:val="32"/>
          <w:shd w:val="clear" w:color="auto" w:fill="FFFFFF"/>
        </w:rPr>
      </w:pPr>
      <w:bookmarkStart w:id="275" w:name="_Toc1006"/>
      <w:bookmarkStart w:id="276" w:name="_Toc15926"/>
      <w:bookmarkStart w:id="277" w:name="_Toc12700"/>
      <w:bookmarkStart w:id="278" w:name="_Toc30040"/>
      <w:bookmarkStart w:id="279" w:name="_Toc11746"/>
      <w:bookmarkStart w:id="280" w:name="_Toc21162"/>
      <w:bookmarkStart w:id="281" w:name="_Toc32187"/>
      <w:r>
        <w:rPr>
          <w:rFonts w:hint="eastAsia" w:ascii="仿宋" w:hAnsi="仿宋" w:cs="仿宋"/>
          <w:kern w:val="0"/>
          <w:szCs w:val="32"/>
          <w:shd w:val="clear" w:color="auto" w:fill="FFFFFF"/>
        </w:rPr>
        <w:t>第三章  出差纪律</w:t>
      </w:r>
      <w:bookmarkEnd w:id="275"/>
      <w:bookmarkEnd w:id="276"/>
      <w:bookmarkEnd w:id="277"/>
      <w:bookmarkEnd w:id="278"/>
      <w:bookmarkEnd w:id="279"/>
      <w:bookmarkEnd w:id="280"/>
      <w:bookmarkEnd w:id="281"/>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第十二条  对赴外地招商引资、考察调研、参观学习、出差培训要注重实效，能通过电话联系解决的事项，尽量不安排出差。</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第十三条  出差人员不得接受接待单位超标准接待，不准接受违反规定用公款支付的请客、送礼、游览。不得用公款大吃大喝，到营业性娱乐、健身场所消费。不得要求接待单位报销机（车、船）票和转嫁应由出差人支付的各种费用。</w:t>
      </w:r>
    </w:p>
    <w:p>
      <w:pPr>
        <w:widowControl/>
        <w:wordWrap w:val="0"/>
        <w:spacing w:before="120" w:line="500" w:lineRule="atLeast"/>
        <w:ind w:firstLine="643"/>
        <w:jc w:val="center"/>
        <w:rPr>
          <w:rFonts w:ascii="仿宋" w:hAnsi="仿宋" w:cs="仿宋"/>
          <w:kern w:val="0"/>
          <w:szCs w:val="32"/>
          <w:shd w:val="clear" w:color="auto" w:fill="FFFFFF"/>
        </w:rPr>
      </w:pPr>
      <w:bookmarkStart w:id="282" w:name="_Toc20038"/>
      <w:bookmarkStart w:id="283" w:name="_Toc20182"/>
      <w:bookmarkStart w:id="284" w:name="_Toc22717"/>
      <w:bookmarkStart w:id="285" w:name="_Toc20105"/>
      <w:bookmarkStart w:id="286" w:name="_Toc30749"/>
      <w:bookmarkStart w:id="287" w:name="_Toc10473"/>
      <w:bookmarkStart w:id="288" w:name="_Toc4792"/>
      <w:r>
        <w:rPr>
          <w:rFonts w:hint="eastAsia" w:ascii="仿宋" w:hAnsi="仿宋" w:cs="仿宋"/>
          <w:kern w:val="0"/>
          <w:szCs w:val="32"/>
          <w:shd w:val="clear" w:color="auto" w:fill="FFFFFF"/>
        </w:rPr>
        <w:t>第四章  附  则</w:t>
      </w:r>
      <w:bookmarkEnd w:id="282"/>
      <w:bookmarkEnd w:id="283"/>
      <w:bookmarkEnd w:id="284"/>
      <w:bookmarkEnd w:id="285"/>
      <w:bookmarkEnd w:id="286"/>
      <w:bookmarkEnd w:id="287"/>
      <w:bookmarkEnd w:id="288"/>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第十四条  在出差中违反本办法，造成不良影响的单位及有关人员，要按照党纪政纪的有关规定严肃处理。</w:t>
      </w:r>
    </w:p>
    <w:p>
      <w:pPr>
        <w:widowControl/>
        <w:wordWrap w:val="0"/>
        <w:spacing w:before="120" w:line="500" w:lineRule="atLeast"/>
        <w:ind w:firstLine="643"/>
        <w:rPr>
          <w:rFonts w:ascii="仿宋" w:hAnsi="仿宋" w:cs="仿宋"/>
          <w:kern w:val="0"/>
          <w:szCs w:val="32"/>
          <w:shd w:val="clear" w:color="auto" w:fill="FFFFFF"/>
        </w:rPr>
      </w:pPr>
      <w:r>
        <w:rPr>
          <w:rFonts w:hint="eastAsia" w:ascii="仿宋" w:hAnsi="仿宋" w:cs="仿宋"/>
          <w:kern w:val="0"/>
          <w:szCs w:val="32"/>
          <w:shd w:val="clear" w:color="auto" w:fill="FFFFFF"/>
        </w:rPr>
        <w:t>第十五条  本办法由生态新区招商局负责解释。本办法自发布之日起执行。</w:t>
      </w:r>
    </w:p>
    <w:p>
      <w:pPr>
        <w:widowControl/>
        <w:wordWrap w:val="0"/>
        <w:spacing w:before="120" w:line="500" w:lineRule="atLeast"/>
        <w:ind w:firstLine="643"/>
        <w:rPr>
          <w:rFonts w:ascii="仿宋" w:hAnsi="仿宋" w:cs="仿宋"/>
          <w:kern w:val="0"/>
          <w:szCs w:val="32"/>
          <w:shd w:val="clear" w:color="auto" w:fill="FFFFFF"/>
        </w:rPr>
      </w:pPr>
    </w:p>
    <w:p>
      <w:pPr>
        <w:widowControl/>
        <w:wordWrap w:val="0"/>
        <w:spacing w:before="120" w:line="500" w:lineRule="atLeast"/>
        <w:ind w:firstLine="643"/>
        <w:rPr>
          <w:rFonts w:ascii="仿宋" w:hAnsi="仿宋" w:cs="仿宋"/>
          <w:kern w:val="0"/>
          <w:szCs w:val="32"/>
          <w:shd w:val="clear" w:color="auto" w:fill="FFFFFF"/>
        </w:rPr>
      </w:pPr>
    </w:p>
    <w:p>
      <w:pPr>
        <w:pStyle w:val="2"/>
      </w:pPr>
      <w:r>
        <w:rPr>
          <w:rFonts w:ascii="宋体" w:hAnsi="宋体" w:cs="宋体"/>
          <w:sz w:val="24"/>
        </w:rPr>
        <w:fldChar w:fldCharType="begin"/>
      </w:r>
      <w:r>
        <w:rPr>
          <w:rFonts w:ascii="宋体" w:hAnsi="宋体" w:cs="宋体"/>
          <w:sz w:val="24"/>
        </w:rPr>
        <w:instrText xml:space="preserve">INCLUDEPICTURE \d "http://finance.people.com.cn/NMediaFile/2015/1020/MAIN201510201103000269549081838.jpg" \* MERGEFORMATINET </w:instrText>
      </w:r>
      <w:r>
        <w:rPr>
          <w:rFonts w:ascii="宋体" w:hAnsi="宋体" w:cs="宋体"/>
          <w:sz w:val="24"/>
        </w:rPr>
        <w:fldChar w:fldCharType="separate"/>
      </w:r>
      <w:r>
        <w:rPr>
          <w:rFonts w:ascii="宋体" w:hAnsi="宋体" w:cs="宋体"/>
          <w:sz w:val="24"/>
        </w:rPr>
        <w:drawing>
          <wp:inline distT="0" distB="0" distL="114300" distR="114300">
            <wp:extent cx="5372100" cy="8704580"/>
            <wp:effectExtent l="0" t="0" r="0" b="12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8"/>
                    <a:stretch>
                      <a:fillRect/>
                    </a:stretch>
                  </pic:blipFill>
                  <pic:spPr>
                    <a:xfrm>
                      <a:off x="0" y="0"/>
                      <a:ext cx="5372100" cy="8704580"/>
                    </a:xfrm>
                    <a:prstGeom prst="rect">
                      <a:avLst/>
                    </a:prstGeom>
                    <a:noFill/>
                    <a:ln>
                      <a:noFill/>
                    </a:ln>
                  </pic:spPr>
                </pic:pic>
              </a:graphicData>
            </a:graphic>
          </wp:inline>
        </w:drawing>
      </w:r>
      <w:r>
        <w:rPr>
          <w:rFonts w:ascii="宋体" w:hAnsi="宋体" w:cs="宋体"/>
          <w:sz w:val="24"/>
        </w:rPr>
        <w:fldChar w:fldCharType="end"/>
      </w:r>
    </w:p>
    <w:p>
      <w:pPr>
        <w:pStyle w:val="2"/>
      </w:pPr>
      <w:bookmarkStart w:id="289" w:name="_Toc25370"/>
      <w:r>
        <w:rPr>
          <w:rFonts w:hint="eastAsia"/>
        </w:rPr>
        <w:t>12、公务用车管理制度</w:t>
      </w:r>
      <w:bookmarkEnd w:id="289"/>
    </w:p>
    <w:p>
      <w:pPr>
        <w:jc w:val="center"/>
        <w:rPr>
          <w:rFonts w:ascii="黑体" w:eastAsia="黑体"/>
          <w:szCs w:val="32"/>
        </w:rPr>
      </w:pPr>
      <w:r>
        <w:rPr>
          <w:rFonts w:hint="eastAsia" w:ascii="黑体" w:eastAsia="黑体"/>
          <w:szCs w:val="32"/>
        </w:rPr>
        <w:t>第一章 总则</w:t>
      </w:r>
    </w:p>
    <w:p>
      <w:pPr>
        <w:ind w:firstLine="640" w:firstLineChars="200"/>
        <w:rPr>
          <w:rFonts w:ascii="仿宋" w:hAnsi="仿宋" w:cs="仿宋"/>
          <w:szCs w:val="32"/>
        </w:rPr>
      </w:pPr>
      <w:r>
        <w:rPr>
          <w:rFonts w:hint="eastAsia" w:ascii="仿宋" w:hAnsi="仿宋" w:cs="仿宋"/>
          <w:szCs w:val="32"/>
        </w:rPr>
        <w:t>第一条 为了加强和规范党政机关公务用车配备使用管理，推动节能减排，降低行政成本，推进公务用车配备使用制度改革，促进党风廉政建设，根据有关规定，制定本办法。 </w:t>
      </w:r>
    </w:p>
    <w:p>
      <w:pPr>
        <w:ind w:firstLine="640" w:firstLineChars="200"/>
        <w:jc w:val="left"/>
        <w:rPr>
          <w:rFonts w:ascii="仿宋" w:hAnsi="仿宋" w:cs="仿宋"/>
          <w:szCs w:val="32"/>
        </w:rPr>
      </w:pPr>
      <w:r>
        <w:rPr>
          <w:rFonts w:hint="eastAsia" w:ascii="仿宋" w:hAnsi="仿宋" w:cs="仿宋"/>
          <w:szCs w:val="32"/>
        </w:rPr>
        <w:t>第二条 单位公务车辆遵循行政办公室统一调度管理的用车原则。公务车辆是指新区所属五辆公务用车。 </w:t>
      </w:r>
    </w:p>
    <w:p>
      <w:pPr>
        <w:ind w:firstLine="640" w:firstLineChars="200"/>
        <w:jc w:val="left"/>
        <w:rPr>
          <w:rFonts w:ascii="仿宋_GB2312" w:eastAsia="仿宋_GB2312"/>
          <w:szCs w:val="32"/>
        </w:rPr>
      </w:pPr>
      <w:r>
        <w:rPr>
          <w:rFonts w:hint="eastAsia" w:ascii="仿宋" w:hAnsi="仿宋" w:cs="仿宋"/>
          <w:szCs w:val="32"/>
        </w:rPr>
        <w:t>第三条 单位公务车辆必须遵守统一的使用原则，严格执行既定的用车管理制度和程序</w:t>
      </w:r>
      <w:r>
        <w:rPr>
          <w:rFonts w:hint="eastAsia" w:ascii="仿宋_GB2312" w:eastAsia="仿宋_GB2312"/>
          <w:szCs w:val="32"/>
        </w:rPr>
        <w:t>。  </w:t>
      </w:r>
    </w:p>
    <w:p>
      <w:pPr>
        <w:jc w:val="center"/>
        <w:rPr>
          <w:rFonts w:ascii="黑体" w:eastAsia="黑体"/>
          <w:szCs w:val="32"/>
        </w:rPr>
      </w:pPr>
      <w:r>
        <w:rPr>
          <w:rFonts w:hint="eastAsia" w:ascii="黑体" w:eastAsia="黑体"/>
          <w:szCs w:val="32"/>
        </w:rPr>
        <w:t>第二章 车辆使用程序</w:t>
      </w:r>
    </w:p>
    <w:p>
      <w:pPr>
        <w:ind w:firstLine="640" w:firstLineChars="200"/>
        <w:jc w:val="left"/>
        <w:rPr>
          <w:rFonts w:ascii="仿宋" w:hAnsi="仿宋" w:cs="仿宋"/>
          <w:szCs w:val="32"/>
        </w:rPr>
      </w:pPr>
      <w:r>
        <w:rPr>
          <w:rFonts w:hint="eastAsia" w:ascii="仿宋" w:hAnsi="仿宋" w:cs="仿宋"/>
          <w:szCs w:val="32"/>
        </w:rPr>
        <w:t>第一条 各部门用车均须事前向部门负责人报告并向行政办公室提出申请，由行政办公室根据派车执行公务的轻重缓急调度派车。 </w:t>
      </w:r>
    </w:p>
    <w:p>
      <w:pPr>
        <w:ind w:firstLine="640" w:firstLineChars="200"/>
        <w:rPr>
          <w:rFonts w:ascii="仿宋" w:hAnsi="仿宋" w:cs="仿宋"/>
          <w:szCs w:val="32"/>
        </w:rPr>
      </w:pPr>
      <w:r>
        <w:rPr>
          <w:rFonts w:hint="eastAsia" w:ascii="仿宋" w:hAnsi="仿宋" w:cs="仿宋"/>
          <w:szCs w:val="32"/>
        </w:rPr>
        <w:t>第二条 公务车辆的使用必须遵守法律法规和单位制度。驾驶人员必须持有有效的驾驶执照一年以上。公务车辆停用期间，必须有序停放在单位地下停车场。 </w:t>
      </w:r>
    </w:p>
    <w:p>
      <w:pPr>
        <w:ind w:firstLine="640" w:firstLineChars="200"/>
        <w:jc w:val="left"/>
        <w:rPr>
          <w:rFonts w:ascii="仿宋_GB2312" w:eastAsia="仿宋_GB2312"/>
          <w:szCs w:val="32"/>
        </w:rPr>
      </w:pPr>
      <w:r>
        <w:rPr>
          <w:rFonts w:hint="eastAsia" w:ascii="仿宋" w:hAnsi="仿宋" w:cs="仿宋"/>
          <w:szCs w:val="32"/>
        </w:rPr>
        <w:t>第三条 公务用车使用区域为市直机关差旅费相关办法规定的常驻地，包括白城市洮北区、工业园区、经济开发区、查干浩特旅游经济开发区、生态新区、长安机场，使用范围要与差旅费保障范围相衔接。</w:t>
      </w:r>
    </w:p>
    <w:p>
      <w:pPr>
        <w:jc w:val="center"/>
        <w:rPr>
          <w:rFonts w:ascii="黑体" w:eastAsia="黑体"/>
          <w:szCs w:val="32"/>
        </w:rPr>
      </w:pPr>
      <w:r>
        <w:rPr>
          <w:rFonts w:hint="eastAsia" w:ascii="黑体" w:eastAsia="黑体"/>
          <w:szCs w:val="32"/>
        </w:rPr>
        <w:t>第三章 公务用车标识化管理</w:t>
      </w:r>
    </w:p>
    <w:p>
      <w:pPr>
        <w:ind w:firstLine="640" w:firstLineChars="200"/>
        <w:jc w:val="left"/>
        <w:rPr>
          <w:rFonts w:ascii="仿宋" w:hAnsi="仿宋" w:cs="仿宋"/>
          <w:szCs w:val="32"/>
        </w:rPr>
      </w:pPr>
      <w:r>
        <w:rPr>
          <w:rFonts w:hint="eastAsia" w:ascii="仿宋" w:hAnsi="仿宋" w:cs="仿宋"/>
          <w:szCs w:val="32"/>
        </w:rPr>
        <w:t>第一条 所有车辆一律按照《吉林省党政机关公务用车标识化管理实施方案》进行标识化管理。新购公务用车应在购回落籍完成后10个工作日内完成标识涂装，标识老化或损坏的车辆，应及时修复或重新喷涂。车辆因达到更新条件需处置的，应及时清除标识。</w:t>
      </w:r>
    </w:p>
    <w:p>
      <w:pPr>
        <w:ind w:firstLine="640" w:firstLineChars="200"/>
        <w:jc w:val="left"/>
        <w:rPr>
          <w:rFonts w:ascii="仿宋" w:hAnsi="仿宋" w:cs="仿宋"/>
          <w:szCs w:val="32"/>
        </w:rPr>
      </w:pPr>
      <w:r>
        <w:rPr>
          <w:rFonts w:hint="eastAsia" w:ascii="仿宋" w:hAnsi="仿宋" w:cs="仿宋"/>
          <w:szCs w:val="32"/>
        </w:rPr>
        <w:t>第二条 不得故意遮盖、擅自损毁车辆标识，发现一次，给予警告处分，发现两次，解除劳动关系。</w:t>
      </w:r>
    </w:p>
    <w:p>
      <w:pPr>
        <w:jc w:val="center"/>
        <w:rPr>
          <w:rFonts w:ascii="黑体" w:eastAsia="黑体"/>
          <w:szCs w:val="32"/>
        </w:rPr>
      </w:pPr>
      <w:r>
        <w:rPr>
          <w:rFonts w:hint="eastAsia" w:ascii="黑体" w:eastAsia="黑体"/>
          <w:szCs w:val="32"/>
        </w:rPr>
        <w:t>第四章 车辆保养维护</w:t>
      </w:r>
    </w:p>
    <w:p>
      <w:pPr>
        <w:ind w:firstLine="640" w:firstLineChars="200"/>
        <w:jc w:val="left"/>
        <w:rPr>
          <w:rFonts w:ascii="仿宋" w:hAnsi="仿宋" w:cs="仿宋"/>
          <w:szCs w:val="32"/>
        </w:rPr>
      </w:pPr>
      <w:r>
        <w:rPr>
          <w:rFonts w:hint="eastAsia" w:ascii="仿宋" w:hAnsi="仿宋" w:cs="仿宋"/>
          <w:szCs w:val="32"/>
        </w:rPr>
        <w:t>第一条 行政办公室必须建立公务车辆档案，包括：公务车辆的原始资料（购置材料或租赁记录）和行驶证、保险单、税单等行车必备有效证件。 </w:t>
      </w:r>
    </w:p>
    <w:p>
      <w:pPr>
        <w:ind w:firstLine="640" w:firstLineChars="200"/>
        <w:jc w:val="left"/>
        <w:rPr>
          <w:rFonts w:ascii="仿宋" w:hAnsi="仿宋" w:cs="仿宋"/>
          <w:szCs w:val="32"/>
        </w:rPr>
      </w:pPr>
      <w:r>
        <w:rPr>
          <w:rFonts w:hint="eastAsia" w:ascii="仿宋" w:hAnsi="仿宋" w:cs="仿宋"/>
          <w:szCs w:val="32"/>
        </w:rPr>
        <w:t>第二条 行政办公室车辆管理人员负责向财政局提出车险续保申请，财政局经询价后择优选择保险公司购买车辆保险。车辆管理人员要及时按照每辆公务用车的保险期限申请续保，并留存保单归入车辆档案。查询、复制车辆保单必须经行政办公室主任同意后方可进行。</w:t>
      </w:r>
    </w:p>
    <w:p>
      <w:pPr>
        <w:ind w:firstLine="640" w:firstLineChars="200"/>
        <w:jc w:val="left"/>
        <w:rPr>
          <w:rFonts w:ascii="仿宋" w:hAnsi="仿宋" w:cs="仿宋"/>
          <w:szCs w:val="32"/>
        </w:rPr>
      </w:pPr>
      <w:r>
        <w:rPr>
          <w:rFonts w:hint="eastAsia" w:ascii="仿宋" w:hAnsi="仿宋" w:cs="仿宋"/>
          <w:szCs w:val="32"/>
        </w:rPr>
        <w:t>第三条 单位所有车辆需要维修保养时，司机先填报《车辆维修申请单》，由行政办公室指定专人会同司机到指定维修中心鉴定报价后，经行政办公室主任批准，方可维修，否则财务不予支付费用。</w:t>
      </w:r>
    </w:p>
    <w:p>
      <w:pPr>
        <w:ind w:firstLine="640" w:firstLineChars="200"/>
        <w:jc w:val="left"/>
        <w:rPr>
          <w:rFonts w:ascii="仿宋" w:hAnsi="仿宋" w:cs="仿宋"/>
          <w:szCs w:val="32"/>
        </w:rPr>
      </w:pPr>
      <w:r>
        <w:rPr>
          <w:rFonts w:hint="eastAsia" w:ascii="仿宋" w:hAnsi="仿宋" w:cs="仿宋"/>
          <w:szCs w:val="32"/>
        </w:rPr>
        <w:t>第四条 车辆一律使用加油卡加油。每次由行政办公室派专人会同司机到加油站刷卡加油，留存加油小票，并做好加油记录，记录中要包含车牌、车辆里程、加油量、燃油单价、加油员及司机签字。加油卡由行政办公室统一管理，由财政金融审计局定期审核后给加油卡充值。  </w:t>
      </w:r>
    </w:p>
    <w:p>
      <w:pPr>
        <w:jc w:val="center"/>
        <w:rPr>
          <w:rFonts w:ascii="黑体" w:eastAsia="黑体"/>
          <w:szCs w:val="32"/>
        </w:rPr>
      </w:pPr>
      <w:r>
        <w:rPr>
          <w:rFonts w:hint="eastAsia" w:ascii="黑体" w:eastAsia="黑体"/>
          <w:szCs w:val="32"/>
        </w:rPr>
        <w:t>第五章 司机的职责</w:t>
      </w:r>
    </w:p>
    <w:p>
      <w:pPr>
        <w:ind w:firstLine="640" w:firstLineChars="200"/>
        <w:jc w:val="left"/>
        <w:rPr>
          <w:rFonts w:ascii="仿宋" w:hAnsi="仿宋" w:cs="仿宋"/>
          <w:szCs w:val="32"/>
        </w:rPr>
      </w:pPr>
      <w:r>
        <w:rPr>
          <w:rFonts w:hint="eastAsia" w:ascii="仿宋" w:hAnsi="仿宋" w:cs="仿宋"/>
          <w:szCs w:val="32"/>
        </w:rPr>
        <w:t>第一条 司机要爱护车辆，加强保养，保持车辆清洁，车况良好。要自觉遵守有关规章制度，服从管理，做到有呼必应，随叫随到。</w:t>
      </w:r>
    </w:p>
    <w:p>
      <w:pPr>
        <w:ind w:firstLine="645"/>
        <w:rPr>
          <w:rFonts w:ascii="仿宋" w:hAnsi="仿宋" w:cs="仿宋"/>
          <w:szCs w:val="32"/>
        </w:rPr>
      </w:pPr>
      <w:r>
        <w:rPr>
          <w:rFonts w:hint="eastAsia" w:ascii="仿宋" w:hAnsi="仿宋" w:cs="仿宋"/>
          <w:szCs w:val="32"/>
        </w:rPr>
        <w:t>第二条 下班后，车辆要及时入库，如未入库而造成损坏或丢失的，由司机承担全部经济损失。</w:t>
      </w:r>
    </w:p>
    <w:p>
      <w:pPr>
        <w:ind w:firstLine="645"/>
        <w:rPr>
          <w:rFonts w:ascii="仿宋" w:hAnsi="仿宋" w:cs="仿宋"/>
          <w:szCs w:val="32"/>
        </w:rPr>
      </w:pPr>
      <w:r>
        <w:rPr>
          <w:rFonts w:hint="eastAsia" w:ascii="仿宋" w:hAnsi="仿宋" w:cs="仿宋"/>
          <w:szCs w:val="32"/>
        </w:rPr>
        <w:t>第三条 司机不得无故外出，不得擅自动用车辆办私事，发现一次，给予警告处分，发现两次，解除劳动关系。</w:t>
      </w:r>
    </w:p>
    <w:p>
      <w:pPr>
        <w:ind w:firstLine="645"/>
        <w:rPr>
          <w:rFonts w:ascii="仿宋" w:hAnsi="仿宋" w:cs="仿宋"/>
          <w:szCs w:val="32"/>
        </w:rPr>
      </w:pPr>
      <w:r>
        <w:rPr>
          <w:rFonts w:hint="eastAsia" w:ascii="仿宋" w:hAnsi="仿宋" w:cs="仿宋"/>
          <w:szCs w:val="32"/>
        </w:rPr>
        <w:t>第四条 未经行政办公室主任同意司机将车辆交给他人驾驶，一经发现，取消司机驾驶本车资格，按违纪论处。司机在驾驶车辆过程中因违反交通法规所产生的罚款和扣分由司机本人承担，并在发生违章后一周内处理完毕，保持车辆无违章运行。</w:t>
      </w:r>
    </w:p>
    <w:p>
      <w:pPr>
        <w:ind w:firstLine="645"/>
        <w:rPr>
          <w:rFonts w:ascii="仿宋_GB2312" w:hAnsi="仿宋" w:eastAsia="仿宋_GB2312"/>
          <w:szCs w:val="32"/>
        </w:rPr>
      </w:pPr>
      <w:r>
        <w:rPr>
          <w:rFonts w:hint="eastAsia" w:ascii="仿宋" w:hAnsi="仿宋" w:cs="仿宋"/>
          <w:szCs w:val="32"/>
        </w:rPr>
        <w:t>第五条 司机因公出车发生交通事故造成经济损失的，按保险部门的有关规定办理。如属于司机负主要责任的，其经济损失在5000元以内的，由个人承担损失额的50%；超过5000元的，除承担50%的经济损失责任外，取消驾驶公车资格；事故严重造成人员伤亡的，予以辞退。司机未经批准私自出车，发生交通事故造成经济损失的，由司机承担全部责任，并予以辞退。</w:t>
      </w:r>
      <w:r>
        <w:rPr>
          <w:rFonts w:hint="eastAsia" w:ascii="仿宋_GB2312" w:eastAsia="仿宋_GB2312"/>
          <w:szCs w:val="32"/>
        </w:rPr>
        <w:t> </w:t>
      </w:r>
    </w:p>
    <w:p>
      <w:pPr>
        <w:jc w:val="center"/>
        <w:rPr>
          <w:rFonts w:ascii="黑体" w:eastAsia="黑体"/>
          <w:szCs w:val="32"/>
        </w:rPr>
      </w:pPr>
      <w:r>
        <w:rPr>
          <w:rFonts w:hint="eastAsia" w:ascii="黑体" w:eastAsia="黑体"/>
          <w:szCs w:val="32"/>
        </w:rPr>
        <w:t>第六章 附则</w:t>
      </w:r>
    </w:p>
    <w:p>
      <w:pPr>
        <w:ind w:firstLine="640" w:firstLineChars="200"/>
        <w:jc w:val="left"/>
        <w:rPr>
          <w:rFonts w:ascii="仿宋" w:hAnsi="仿宋" w:cs="仿宋"/>
          <w:szCs w:val="32"/>
        </w:rPr>
      </w:pPr>
      <w:r>
        <w:rPr>
          <w:rFonts w:hint="eastAsia" w:ascii="仿宋" w:hAnsi="仿宋" w:cs="仿宋"/>
          <w:szCs w:val="32"/>
        </w:rPr>
        <w:t>第一条 本制度由行政办公室修订并负责解释。</w:t>
      </w:r>
    </w:p>
    <w:p>
      <w:pPr>
        <w:ind w:firstLine="640" w:firstLineChars="200"/>
        <w:jc w:val="left"/>
        <w:rPr>
          <w:rFonts w:ascii="仿宋" w:hAnsi="仿宋" w:cs="仿宋"/>
          <w:szCs w:val="32"/>
        </w:rPr>
      </w:pPr>
      <w:r>
        <w:rPr>
          <w:rFonts w:hint="eastAsia" w:ascii="仿宋" w:hAnsi="仿宋" w:cs="仿宋"/>
          <w:szCs w:val="32"/>
        </w:rPr>
        <w:t>第二条 本制度自发布日起实施。</w:t>
      </w:r>
    </w:p>
    <w:p>
      <w:pPr>
        <w:ind w:firstLine="640" w:firstLineChars="200"/>
        <w:jc w:val="left"/>
        <w:rPr>
          <w:rFonts w:ascii="仿宋" w:hAnsi="仿宋" w:cs="仿宋"/>
          <w:szCs w:val="32"/>
        </w:rPr>
      </w:pPr>
      <w:r>
        <w:rPr>
          <w:rFonts w:hint="eastAsia" w:ascii="仿宋" w:hAnsi="仿宋" w:cs="仿宋"/>
          <w:szCs w:val="32"/>
        </w:rPr>
        <w:t>附件：《白城市生态新区公务用车维修审批单》</w:t>
      </w:r>
    </w:p>
    <w:p>
      <w:pPr>
        <w:ind w:firstLine="640" w:firstLineChars="200"/>
        <w:jc w:val="left"/>
        <w:rPr>
          <w:rFonts w:ascii="仿宋" w:hAnsi="仿宋" w:cs="仿宋"/>
          <w:szCs w:val="32"/>
        </w:rPr>
      </w:pPr>
    </w:p>
    <w:p>
      <w:pPr>
        <w:rPr>
          <w:rFonts w:ascii="仿宋" w:hAnsi="仿宋" w:cs="仿宋"/>
          <w:szCs w:val="32"/>
        </w:rPr>
      </w:pPr>
    </w:p>
    <w:p>
      <w:pPr>
        <w:rPr>
          <w:rFonts w:ascii="仿宋_GB2312" w:eastAsia="仿宋_GB2312"/>
          <w:szCs w:val="32"/>
        </w:rPr>
      </w:pPr>
    </w:p>
    <w:p>
      <w:pPr>
        <w:rPr>
          <w:rFonts w:ascii="仿宋_GB2312" w:eastAsia="仿宋_GB2312"/>
          <w:szCs w:val="32"/>
        </w:rPr>
      </w:pPr>
    </w:p>
    <w:p>
      <w:pPr>
        <w:rPr>
          <w:rFonts w:ascii="仿宋_GB2312" w:eastAsia="仿宋_GB2312"/>
          <w:szCs w:val="32"/>
        </w:rPr>
      </w:pPr>
    </w:p>
    <w:p>
      <w:pPr>
        <w:rPr>
          <w:rFonts w:ascii="仿宋_GB2312" w:eastAsia="仿宋_GB2312"/>
          <w:szCs w:val="32"/>
        </w:rPr>
      </w:pPr>
    </w:p>
    <w:p>
      <w:pPr>
        <w:rPr>
          <w:rFonts w:ascii="仿宋_GB2312" w:eastAsia="仿宋_GB2312"/>
          <w:szCs w:val="32"/>
        </w:rPr>
      </w:pPr>
    </w:p>
    <w:p>
      <w:pPr>
        <w:rPr>
          <w:rFonts w:ascii="仿宋_GB2312" w:eastAsia="仿宋_GB2312"/>
          <w:szCs w:val="32"/>
        </w:rPr>
      </w:pPr>
    </w:p>
    <w:p>
      <w:pPr>
        <w:rPr>
          <w:rFonts w:ascii="仿宋_GB2312" w:eastAsia="仿宋_GB2312"/>
          <w:szCs w:val="32"/>
        </w:rPr>
      </w:pPr>
    </w:p>
    <w:p>
      <w:pPr>
        <w:rPr>
          <w:rFonts w:ascii="仿宋_GB2312" w:eastAsia="仿宋_GB2312"/>
          <w:szCs w:val="32"/>
        </w:rPr>
      </w:pPr>
    </w:p>
    <w:p>
      <w:pPr>
        <w:rPr>
          <w:rFonts w:ascii="仿宋_GB2312" w:eastAsia="仿宋_GB2312"/>
          <w:szCs w:val="32"/>
        </w:rPr>
      </w:pPr>
    </w:p>
    <w:p>
      <w:pPr>
        <w:rPr>
          <w:rFonts w:ascii="仿宋_GB2312" w:eastAsia="仿宋_GB2312"/>
          <w:szCs w:val="32"/>
        </w:rPr>
      </w:pPr>
    </w:p>
    <w:p>
      <w:pPr>
        <w:rPr>
          <w:rFonts w:ascii="仿宋_GB2312" w:eastAsia="仿宋_GB2312"/>
          <w:szCs w:val="32"/>
        </w:rPr>
      </w:pPr>
    </w:p>
    <w:p>
      <w:pPr>
        <w:rPr>
          <w:rFonts w:ascii="仿宋_GB2312" w:eastAsia="仿宋_GB2312"/>
          <w:szCs w:val="32"/>
        </w:rPr>
      </w:pPr>
    </w:p>
    <w:p>
      <w:pPr>
        <w:rPr>
          <w:rFonts w:ascii="仿宋_GB2312" w:eastAsia="仿宋_GB2312"/>
          <w:szCs w:val="32"/>
        </w:rPr>
      </w:pPr>
    </w:p>
    <w:p>
      <w:pPr>
        <w:rPr>
          <w:rFonts w:ascii="仿宋_GB2312" w:eastAsia="仿宋_GB2312"/>
          <w:szCs w:val="32"/>
        </w:rPr>
      </w:pPr>
    </w:p>
    <w:p>
      <w:pPr>
        <w:rPr>
          <w:rFonts w:ascii="仿宋_GB2312" w:eastAsia="仿宋_GB2312"/>
          <w:szCs w:val="32"/>
        </w:rPr>
      </w:pPr>
      <w:r>
        <w:rPr>
          <w:rFonts w:hint="eastAsia" w:ascii="仿宋_GB2312" w:eastAsia="仿宋_GB2312"/>
          <w:szCs w:val="32"/>
        </w:rPr>
        <w:drawing>
          <wp:inline distT="0" distB="0" distL="114300" distR="114300">
            <wp:extent cx="5517515" cy="6471920"/>
            <wp:effectExtent l="0" t="0" r="6985" b="5080"/>
            <wp:docPr id="114" name="图片 114" descr="公务用车管理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公务用车管理流程"/>
                    <pic:cNvPicPr>
                      <a:picLocks noChangeAspect="1"/>
                    </pic:cNvPicPr>
                  </pic:nvPicPr>
                  <pic:blipFill>
                    <a:blip r:embed="rId19"/>
                    <a:stretch>
                      <a:fillRect/>
                    </a:stretch>
                  </pic:blipFill>
                  <pic:spPr>
                    <a:xfrm>
                      <a:off x="0" y="0"/>
                      <a:ext cx="5517515" cy="6471920"/>
                    </a:xfrm>
                    <a:prstGeom prst="rect">
                      <a:avLst/>
                    </a:prstGeom>
                  </pic:spPr>
                </pic:pic>
              </a:graphicData>
            </a:graphic>
          </wp:inline>
        </w:drawing>
      </w:r>
    </w:p>
    <w:p>
      <w:pPr>
        <w:rPr>
          <w:rFonts w:ascii="仿宋_GB2312" w:eastAsia="仿宋_GB2312"/>
          <w:szCs w:val="32"/>
        </w:rPr>
      </w:pPr>
    </w:p>
    <w:p>
      <w:pPr>
        <w:rPr>
          <w:rFonts w:ascii="仿宋_GB2312" w:eastAsia="仿宋_GB2312"/>
          <w:szCs w:val="32"/>
        </w:rPr>
      </w:pPr>
    </w:p>
    <w:p>
      <w:pPr>
        <w:rPr>
          <w:rFonts w:ascii="仿宋_GB2312" w:eastAsia="仿宋_GB2312"/>
          <w:szCs w:val="32"/>
        </w:rPr>
      </w:pPr>
    </w:p>
    <w:p>
      <w:pPr>
        <w:rPr>
          <w:rFonts w:ascii="仿宋_GB2312" w:eastAsia="仿宋_GB2312"/>
          <w:szCs w:val="32"/>
        </w:rPr>
      </w:pPr>
    </w:p>
    <w:p>
      <w:pPr>
        <w:rPr>
          <w:rFonts w:ascii="仿宋_GB2312" w:eastAsia="仿宋_GB2312"/>
          <w:szCs w:val="32"/>
        </w:rPr>
      </w:pPr>
    </w:p>
    <w:p>
      <w:pPr>
        <w:rPr>
          <w:rFonts w:ascii="仿宋_GB2312" w:eastAsia="仿宋_GB2312"/>
          <w:szCs w:val="32"/>
        </w:rPr>
      </w:pPr>
    </w:p>
    <w:p>
      <w:pPr>
        <w:rPr>
          <w:rFonts w:ascii="仿宋_GB2312" w:eastAsia="仿宋_GB2312"/>
          <w:szCs w:val="32"/>
        </w:rPr>
      </w:pPr>
      <w:r>
        <w:rPr>
          <w:rFonts w:hint="eastAsia" w:ascii="仿宋_GB2312" w:eastAsia="仿宋_GB2312"/>
          <w:szCs w:val="32"/>
        </w:rPr>
        <w:t>附件</w:t>
      </w:r>
    </w:p>
    <w:tbl>
      <w:tblPr>
        <w:tblStyle w:val="10"/>
        <w:tblW w:w="8360" w:type="dxa"/>
        <w:tblInd w:w="0" w:type="dxa"/>
        <w:tblLayout w:type="autofit"/>
        <w:tblCellMar>
          <w:top w:w="0" w:type="dxa"/>
          <w:left w:w="0" w:type="dxa"/>
          <w:bottom w:w="0" w:type="dxa"/>
          <w:right w:w="0" w:type="dxa"/>
        </w:tblCellMar>
      </w:tblPr>
      <w:tblGrid>
        <w:gridCol w:w="1632"/>
        <w:gridCol w:w="841"/>
        <w:gridCol w:w="841"/>
        <w:gridCol w:w="841"/>
        <w:gridCol w:w="841"/>
        <w:gridCol w:w="841"/>
        <w:gridCol w:w="841"/>
        <w:gridCol w:w="841"/>
        <w:gridCol w:w="841"/>
      </w:tblGrid>
      <w:tr>
        <w:tblPrEx>
          <w:tblCellMar>
            <w:top w:w="0" w:type="dxa"/>
            <w:left w:w="0" w:type="dxa"/>
            <w:bottom w:w="0" w:type="dxa"/>
            <w:right w:w="0" w:type="dxa"/>
          </w:tblCellMar>
        </w:tblPrEx>
        <w:trPr>
          <w:trHeight w:val="838" w:hRule="atLeast"/>
        </w:trPr>
        <w:tc>
          <w:tcPr>
            <w:tcW w:w="8360" w:type="dxa"/>
            <w:gridSpan w:val="9"/>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sz w:val="44"/>
                <w:szCs w:val="44"/>
              </w:rPr>
            </w:pPr>
            <w:r>
              <w:rPr>
                <w:rFonts w:hint="eastAsia" w:ascii="宋体" w:hAnsi="宋体" w:eastAsia="宋体" w:cs="宋体"/>
                <w:b/>
                <w:kern w:val="0"/>
                <w:sz w:val="44"/>
                <w:szCs w:val="44"/>
                <w:lang w:bidi="ar"/>
              </w:rPr>
              <w:t>白城市生态新区公务用车维修审批单</w:t>
            </w:r>
          </w:p>
        </w:tc>
      </w:tr>
      <w:tr>
        <w:tblPrEx>
          <w:tblCellMar>
            <w:top w:w="0" w:type="dxa"/>
            <w:left w:w="0" w:type="dxa"/>
            <w:bottom w:w="0" w:type="dxa"/>
            <w:right w:w="0" w:type="dxa"/>
          </w:tblCellMar>
        </w:tblPrEx>
        <w:trPr>
          <w:trHeight w:val="838"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sz w:val="22"/>
                <w:szCs w:val="22"/>
              </w:rPr>
            </w:pPr>
            <w:r>
              <w:rPr>
                <w:rFonts w:hint="eastAsia" w:ascii="宋体" w:hAnsi="宋体" w:eastAsia="宋体" w:cs="宋体"/>
                <w:b/>
                <w:kern w:val="0"/>
                <w:sz w:val="22"/>
                <w:szCs w:val="22"/>
                <w:lang w:bidi="ar"/>
              </w:rPr>
              <w:t>部门：</w:t>
            </w:r>
          </w:p>
        </w:tc>
        <w:tc>
          <w:tcPr>
            <w:tcW w:w="0" w:type="auto"/>
            <w:tcBorders>
              <w:top w:val="nil"/>
              <w:left w:val="nil"/>
              <w:bottom w:val="nil"/>
              <w:right w:val="nil"/>
            </w:tcBorders>
            <w:shd w:val="clear" w:color="auto" w:fill="auto"/>
            <w:noWrap/>
            <w:tcMar>
              <w:top w:w="15" w:type="dxa"/>
              <w:left w:w="15" w:type="dxa"/>
              <w:right w:w="15" w:type="dxa"/>
            </w:tcMar>
            <w:vAlign w:val="center"/>
          </w:tcPr>
          <w:p>
            <w:pPr>
              <w:jc w:val="left"/>
              <w:rPr>
                <w:rFonts w:ascii="宋体" w:hAnsi="宋体" w:eastAsia="宋体" w:cs="宋体"/>
                <w:sz w:val="28"/>
                <w:szCs w:val="28"/>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left"/>
              <w:rPr>
                <w:rFonts w:ascii="宋体" w:hAnsi="宋体" w:eastAsia="宋体" w:cs="宋体"/>
                <w:sz w:val="28"/>
                <w:szCs w:val="28"/>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left"/>
              <w:rPr>
                <w:rFonts w:ascii="宋体" w:hAnsi="宋体" w:eastAsia="宋体" w:cs="宋体"/>
                <w:sz w:val="28"/>
                <w:szCs w:val="28"/>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left"/>
              <w:rPr>
                <w:rFonts w:ascii="宋体" w:hAnsi="宋体" w:eastAsia="宋体" w:cs="宋体"/>
                <w:sz w:val="28"/>
                <w:szCs w:val="28"/>
              </w:rPr>
            </w:pPr>
          </w:p>
        </w:tc>
        <w:tc>
          <w:tcPr>
            <w:tcW w:w="0" w:type="auto"/>
            <w:tcBorders>
              <w:top w:val="nil"/>
              <w:left w:val="nil"/>
              <w:bottom w:val="nil"/>
              <w:right w:val="nil"/>
            </w:tcBorders>
            <w:shd w:val="clear" w:color="auto" w:fill="auto"/>
            <w:noWrap/>
            <w:tcMar>
              <w:top w:w="15" w:type="dxa"/>
              <w:left w:w="15" w:type="dxa"/>
              <w:right w:w="15" w:type="dxa"/>
            </w:tcMar>
            <w:vAlign w:val="center"/>
          </w:tcPr>
          <w:p>
            <w:pPr>
              <w:jc w:val="left"/>
              <w:rPr>
                <w:rFonts w:ascii="宋体" w:hAnsi="宋体" w:eastAsia="宋体" w:cs="宋体"/>
                <w:sz w:val="28"/>
                <w:szCs w:val="28"/>
              </w:rPr>
            </w:pPr>
          </w:p>
        </w:tc>
        <w:tc>
          <w:tcPr>
            <w:tcW w:w="0" w:type="auto"/>
            <w:gridSpan w:val="3"/>
            <w:tcBorders>
              <w:top w:val="nil"/>
              <w:left w:val="nil"/>
              <w:bottom w:val="nil"/>
              <w:right w:val="nil"/>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b/>
                <w:sz w:val="22"/>
                <w:szCs w:val="22"/>
              </w:rPr>
            </w:pPr>
            <w:r>
              <w:rPr>
                <w:rFonts w:hint="eastAsia" w:ascii="宋体" w:hAnsi="宋体" w:eastAsia="宋体" w:cs="宋体"/>
                <w:b/>
                <w:kern w:val="0"/>
                <w:sz w:val="22"/>
                <w:szCs w:val="22"/>
                <w:lang w:bidi="ar"/>
              </w:rPr>
              <w:t>年    月    日</w:t>
            </w:r>
          </w:p>
        </w:tc>
      </w:tr>
      <w:tr>
        <w:tblPrEx>
          <w:tblCellMar>
            <w:top w:w="0" w:type="dxa"/>
            <w:left w:w="0" w:type="dxa"/>
            <w:bottom w:w="0" w:type="dxa"/>
            <w:right w:w="0"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sz w:val="24"/>
              </w:rPr>
            </w:pPr>
            <w:r>
              <w:rPr>
                <w:rFonts w:hint="eastAsia" w:ascii="宋体" w:hAnsi="宋体" w:eastAsia="宋体" w:cs="宋体"/>
                <w:kern w:val="0"/>
                <w:sz w:val="24"/>
                <w:lang w:bidi="ar"/>
              </w:rPr>
              <w:t>车牌号</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sz w:val="24"/>
              </w:rPr>
            </w:pPr>
            <w:r>
              <w:rPr>
                <w:rFonts w:hint="eastAsia" w:ascii="宋体" w:hAnsi="宋体" w:eastAsia="宋体" w:cs="宋体"/>
                <w:kern w:val="0"/>
                <w:sz w:val="24"/>
                <w:lang w:bidi="ar"/>
              </w:rPr>
              <w:t>车型</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sz w:val="24"/>
              </w:rPr>
            </w:pPr>
            <w:r>
              <w:rPr>
                <w:rFonts w:hint="eastAsia" w:ascii="宋体" w:hAnsi="宋体" w:eastAsia="宋体" w:cs="宋体"/>
                <w:kern w:val="0"/>
                <w:sz w:val="24"/>
                <w:lang w:bidi="ar"/>
              </w:rPr>
              <w:t>司机</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sz w:val="24"/>
              </w:rPr>
            </w:pPr>
          </w:p>
        </w:tc>
      </w:tr>
      <w:tr>
        <w:tblPrEx>
          <w:tblCellMar>
            <w:top w:w="0" w:type="dxa"/>
            <w:left w:w="0" w:type="dxa"/>
            <w:bottom w:w="0" w:type="dxa"/>
            <w:right w:w="0" w:type="dxa"/>
          </w:tblCellMar>
        </w:tblPrEx>
        <w:trPr>
          <w:trHeight w:val="460" w:hRule="atLeast"/>
        </w:trPr>
        <w:tc>
          <w:tcPr>
            <w:tcW w:w="0" w:type="auto"/>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top"/>
              <w:rPr>
                <w:rFonts w:ascii="宋体" w:hAnsi="宋体" w:eastAsia="宋体" w:cs="宋体"/>
                <w:sz w:val="24"/>
              </w:rPr>
            </w:pPr>
            <w:r>
              <w:rPr>
                <w:rFonts w:hint="eastAsia" w:ascii="宋体" w:hAnsi="宋体" w:eastAsia="宋体" w:cs="宋体"/>
                <w:kern w:val="0"/>
                <w:sz w:val="24"/>
                <w:lang w:bidi="ar"/>
              </w:rPr>
              <w:t>司机主诉：</w:t>
            </w:r>
          </w:p>
        </w:tc>
      </w:tr>
      <w:tr>
        <w:tblPrEx>
          <w:tblCellMar>
            <w:top w:w="0" w:type="dxa"/>
            <w:left w:w="0" w:type="dxa"/>
            <w:bottom w:w="0" w:type="dxa"/>
            <w:right w:w="0" w:type="dxa"/>
          </w:tblCellMar>
        </w:tblPrEx>
        <w:trPr>
          <w:trHeight w:val="460" w:hRule="atLeast"/>
        </w:trPr>
        <w:tc>
          <w:tcPr>
            <w:tcW w:w="0" w:type="auto"/>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jc w:val="left"/>
              <w:textAlignment w:val="top"/>
              <w:rPr>
                <w:rFonts w:ascii="宋体" w:hAnsi="宋体" w:eastAsia="宋体" w:cs="宋体"/>
                <w:sz w:val="24"/>
              </w:rPr>
            </w:pPr>
            <w:r>
              <w:rPr>
                <w:rFonts w:hint="eastAsia" w:ascii="宋体" w:hAnsi="宋体" w:eastAsia="宋体" w:cs="宋体"/>
                <w:kern w:val="0"/>
                <w:sz w:val="24"/>
                <w:lang w:bidi="ar"/>
              </w:rPr>
              <w:t>修理厂检定情况：</w:t>
            </w:r>
          </w:p>
        </w:tc>
      </w:tr>
      <w:tr>
        <w:tblPrEx>
          <w:tblCellMar>
            <w:top w:w="0" w:type="dxa"/>
            <w:left w:w="0" w:type="dxa"/>
            <w:bottom w:w="0" w:type="dxa"/>
            <w:right w:w="0" w:type="dxa"/>
          </w:tblCellMar>
        </w:tblPrEx>
        <w:trPr>
          <w:trHeight w:val="46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sz w:val="24"/>
              </w:rPr>
            </w:pPr>
            <w:r>
              <w:rPr>
                <w:rFonts w:hint="eastAsia" w:ascii="宋体" w:hAnsi="宋体" w:eastAsia="宋体" w:cs="宋体"/>
                <w:kern w:val="0"/>
                <w:sz w:val="24"/>
                <w:lang w:bidi="ar"/>
              </w:rPr>
              <w:t>维修部位</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sz w:val="24"/>
              </w:rPr>
            </w:pPr>
            <w:r>
              <w:rPr>
                <w:rFonts w:hint="eastAsia" w:ascii="宋体" w:hAnsi="宋体" w:eastAsia="宋体" w:cs="宋体"/>
                <w:kern w:val="0"/>
                <w:sz w:val="24"/>
                <w:lang w:bidi="ar"/>
              </w:rPr>
              <w:t>所用配件</w:t>
            </w:r>
          </w:p>
        </w:tc>
      </w:tr>
      <w:tr>
        <w:tblPrEx>
          <w:tblCellMar>
            <w:top w:w="0" w:type="dxa"/>
            <w:left w:w="0" w:type="dxa"/>
            <w:bottom w:w="0" w:type="dxa"/>
            <w:right w:w="0" w:type="dxa"/>
          </w:tblCellMar>
        </w:tblPrEx>
        <w:trPr>
          <w:trHeight w:val="4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sz w:val="24"/>
              </w:rPr>
            </w:pPr>
            <w:r>
              <w:rPr>
                <w:rFonts w:hint="eastAsia" w:ascii="宋体" w:hAnsi="宋体" w:eastAsia="宋体" w:cs="宋体"/>
                <w:kern w:val="0"/>
                <w:sz w:val="24"/>
                <w:lang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sz w:val="24"/>
              </w:rPr>
            </w:pPr>
            <w:r>
              <w:rPr>
                <w:rFonts w:hint="eastAsia" w:ascii="宋体" w:hAnsi="宋体" w:eastAsia="宋体" w:cs="宋体"/>
                <w:kern w:val="0"/>
                <w:sz w:val="24"/>
                <w:lang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sz w:val="24"/>
              </w:rPr>
            </w:pPr>
            <w:r>
              <w:rPr>
                <w:rFonts w:hint="eastAsia" w:ascii="宋体" w:hAnsi="宋体" w:eastAsia="宋体" w:cs="宋体"/>
                <w:kern w:val="0"/>
                <w:sz w:val="24"/>
                <w:lang w:bidi="ar"/>
              </w:rPr>
              <w:t>单价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sz w:val="24"/>
              </w:rPr>
            </w:pPr>
            <w:r>
              <w:rPr>
                <w:rFonts w:hint="eastAsia" w:ascii="宋体" w:hAnsi="宋体" w:eastAsia="宋体" w:cs="宋体"/>
                <w:kern w:val="0"/>
                <w:sz w:val="24"/>
                <w:lang w:bidi="ar"/>
              </w:rPr>
              <w:t>金额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sz w:val="24"/>
              </w:rPr>
            </w:pPr>
            <w:r>
              <w:rPr>
                <w:rFonts w:hint="eastAsia" w:ascii="宋体" w:hAnsi="宋体" w:eastAsia="宋体" w:cs="宋体"/>
                <w:kern w:val="0"/>
                <w:sz w:val="24"/>
                <w:lang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sz w:val="24"/>
              </w:rPr>
            </w:pPr>
            <w:r>
              <w:rPr>
                <w:rFonts w:hint="eastAsia" w:ascii="宋体" w:hAnsi="宋体" w:eastAsia="宋体" w:cs="宋体"/>
                <w:kern w:val="0"/>
                <w:sz w:val="24"/>
                <w:lang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sz w:val="24"/>
              </w:rPr>
            </w:pPr>
            <w:r>
              <w:rPr>
                <w:rFonts w:hint="eastAsia" w:ascii="宋体" w:hAnsi="宋体" w:eastAsia="宋体" w:cs="宋体"/>
                <w:kern w:val="0"/>
                <w:sz w:val="24"/>
                <w:lang w:bidi="ar"/>
              </w:rPr>
              <w:t>单价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sz w:val="24"/>
              </w:rPr>
            </w:pPr>
            <w:r>
              <w:rPr>
                <w:rFonts w:hint="eastAsia" w:ascii="宋体" w:hAnsi="宋体" w:eastAsia="宋体" w:cs="宋体"/>
                <w:kern w:val="0"/>
                <w:sz w:val="24"/>
                <w:lang w:bidi="ar"/>
              </w:rPr>
              <w:t>金额</w:t>
            </w:r>
          </w:p>
        </w:tc>
      </w:tr>
      <w:tr>
        <w:tblPrEx>
          <w:tblCellMar>
            <w:top w:w="0" w:type="dxa"/>
            <w:left w:w="0" w:type="dxa"/>
            <w:bottom w:w="0" w:type="dxa"/>
            <w:right w:w="0"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r>
      <w:tr>
        <w:tblPrEx>
          <w:tblCellMar>
            <w:top w:w="0" w:type="dxa"/>
            <w:left w:w="0" w:type="dxa"/>
            <w:bottom w:w="0" w:type="dxa"/>
            <w:right w:w="0"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r>
      <w:tr>
        <w:tblPrEx>
          <w:tblCellMar>
            <w:top w:w="0" w:type="dxa"/>
            <w:left w:w="0" w:type="dxa"/>
            <w:bottom w:w="0" w:type="dxa"/>
            <w:right w:w="0"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r>
      <w:tr>
        <w:tblPrEx>
          <w:tblCellMar>
            <w:top w:w="0" w:type="dxa"/>
            <w:left w:w="0" w:type="dxa"/>
            <w:bottom w:w="0" w:type="dxa"/>
            <w:right w:w="0"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r>
      <w:tr>
        <w:tblPrEx>
          <w:tblCellMar>
            <w:top w:w="0" w:type="dxa"/>
            <w:left w:w="0" w:type="dxa"/>
            <w:bottom w:w="0" w:type="dxa"/>
            <w:right w:w="0"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r>
      <w:tr>
        <w:tblPrEx>
          <w:tblCellMar>
            <w:top w:w="0" w:type="dxa"/>
            <w:left w:w="0" w:type="dxa"/>
            <w:bottom w:w="0" w:type="dxa"/>
            <w:right w:w="0"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r>
      <w:tr>
        <w:tblPrEx>
          <w:tblCellMar>
            <w:top w:w="0" w:type="dxa"/>
            <w:left w:w="0" w:type="dxa"/>
            <w:bottom w:w="0" w:type="dxa"/>
            <w:right w:w="0"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r>
      <w:tr>
        <w:tblPrEx>
          <w:tblCellMar>
            <w:top w:w="0" w:type="dxa"/>
            <w:left w:w="0" w:type="dxa"/>
            <w:bottom w:w="0" w:type="dxa"/>
            <w:right w:w="0"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r>
      <w:tr>
        <w:tblPrEx>
          <w:tblCellMar>
            <w:top w:w="0" w:type="dxa"/>
            <w:left w:w="0" w:type="dxa"/>
            <w:bottom w:w="0" w:type="dxa"/>
            <w:right w:w="0"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r>
      <w:tr>
        <w:tblPrEx>
          <w:tblCellMar>
            <w:top w:w="0" w:type="dxa"/>
            <w:left w:w="0" w:type="dxa"/>
            <w:bottom w:w="0" w:type="dxa"/>
            <w:right w:w="0"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r>
      <w:tr>
        <w:tblPrEx>
          <w:tblCellMar>
            <w:top w:w="0" w:type="dxa"/>
            <w:left w:w="0" w:type="dxa"/>
            <w:bottom w:w="0" w:type="dxa"/>
            <w:right w:w="0"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r>
      <w:tr>
        <w:tblPrEx>
          <w:tblCellMar>
            <w:top w:w="0" w:type="dxa"/>
            <w:left w:w="0" w:type="dxa"/>
            <w:bottom w:w="0" w:type="dxa"/>
            <w:right w:w="0"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r>
      <w:tr>
        <w:tblPrEx>
          <w:tblCellMar>
            <w:top w:w="0" w:type="dxa"/>
            <w:left w:w="0" w:type="dxa"/>
            <w:bottom w:w="0" w:type="dxa"/>
            <w:right w:w="0"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r>
      <w:tr>
        <w:tblPrEx>
          <w:tblCellMar>
            <w:top w:w="0" w:type="dxa"/>
            <w:left w:w="0" w:type="dxa"/>
            <w:bottom w:w="0" w:type="dxa"/>
            <w:right w:w="0" w:type="dxa"/>
          </w:tblCellMar>
        </w:tblPrEx>
        <w:trPr>
          <w:trHeight w:val="4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sz w:val="24"/>
              </w:rPr>
            </w:pPr>
          </w:p>
        </w:tc>
      </w:tr>
      <w:tr>
        <w:tblPrEx>
          <w:tblCellMar>
            <w:top w:w="0" w:type="dxa"/>
            <w:left w:w="0" w:type="dxa"/>
            <w:bottom w:w="0" w:type="dxa"/>
            <w:right w:w="0" w:type="dxa"/>
          </w:tblCellMar>
        </w:tblPrEx>
        <w:trPr>
          <w:trHeight w:val="460" w:hRule="atLeast"/>
        </w:trPr>
        <w:tc>
          <w:tcPr>
            <w:tcW w:w="0" w:type="auto"/>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sz w:val="24"/>
              </w:rPr>
            </w:pPr>
            <w:r>
              <w:rPr>
                <w:rFonts w:hint="eastAsia" w:ascii="宋体" w:hAnsi="宋体" w:eastAsia="宋体" w:cs="宋体"/>
                <w:kern w:val="0"/>
                <w:sz w:val="24"/>
                <w:lang w:bidi="ar"/>
              </w:rPr>
              <w:t>配件费用合计：           工时费：            费用合计：</w:t>
            </w:r>
          </w:p>
        </w:tc>
      </w:tr>
      <w:tr>
        <w:tblPrEx>
          <w:tblCellMar>
            <w:top w:w="0" w:type="dxa"/>
            <w:left w:w="0" w:type="dxa"/>
            <w:bottom w:w="0" w:type="dxa"/>
            <w:right w:w="0" w:type="dxa"/>
          </w:tblCellMar>
        </w:tblPrEx>
        <w:trPr>
          <w:trHeight w:val="460" w:hRule="atLeast"/>
        </w:trPr>
        <w:tc>
          <w:tcPr>
            <w:tcW w:w="0" w:type="auto"/>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sz w:val="24"/>
              </w:rPr>
            </w:pPr>
            <w:r>
              <w:rPr>
                <w:rFonts w:hint="eastAsia" w:ascii="宋体" w:hAnsi="宋体" w:eastAsia="宋体" w:cs="宋体"/>
                <w:kern w:val="0"/>
                <w:sz w:val="24"/>
                <w:lang w:bidi="ar"/>
              </w:rPr>
              <w:t xml:space="preserve">主管领导：        </w:t>
            </w:r>
          </w:p>
        </w:tc>
      </w:tr>
      <w:tr>
        <w:tblPrEx>
          <w:tblCellMar>
            <w:top w:w="0" w:type="dxa"/>
            <w:left w:w="0" w:type="dxa"/>
            <w:bottom w:w="0" w:type="dxa"/>
            <w:right w:w="0" w:type="dxa"/>
          </w:tblCellMar>
        </w:tblPrEx>
        <w:trPr>
          <w:trHeight w:val="483" w:hRule="atLeast"/>
        </w:trPr>
        <w:tc>
          <w:tcPr>
            <w:tcW w:w="0" w:type="auto"/>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sz w:val="24"/>
              </w:rPr>
            </w:pPr>
            <w:r>
              <w:rPr>
                <w:rFonts w:hint="eastAsia" w:ascii="宋体" w:hAnsi="宋体" w:eastAsia="宋体" w:cs="宋体"/>
                <w:kern w:val="0"/>
                <w:sz w:val="24"/>
                <w:lang w:bidi="ar"/>
              </w:rPr>
              <w:t xml:space="preserve">综合办负责人：                               金融财审监管：  </w:t>
            </w:r>
          </w:p>
        </w:tc>
      </w:tr>
    </w:tbl>
    <w:p/>
    <w:p>
      <w:pPr>
        <w:pStyle w:val="2"/>
        <w:numPr>
          <w:ilvl w:val="0"/>
          <w:numId w:val="5"/>
        </w:numPr>
      </w:pPr>
      <w:r>
        <w:rPr>
          <w:rFonts w:hint="eastAsia"/>
        </w:rPr>
        <w:t>生态新区各部门办公用品</w:t>
      </w:r>
    </w:p>
    <w:p>
      <w:pPr>
        <w:pStyle w:val="2"/>
        <w:rPr>
          <w:rFonts w:ascii="宋体" w:hAnsi="宋体"/>
          <w:bCs/>
          <w:szCs w:val="44"/>
        </w:rPr>
      </w:pPr>
      <w:r>
        <w:rPr>
          <w:rFonts w:hint="eastAsia"/>
        </w:rPr>
        <w:t>统一采购管理制度</w:t>
      </w:r>
    </w:p>
    <w:p>
      <w:pPr>
        <w:ind w:firstLine="640" w:firstLineChars="200"/>
        <w:rPr>
          <w:rFonts w:ascii="仿宋_GB2312" w:hAnsi="仿宋_GB2312" w:eastAsia="仿宋_GB2312" w:cs="仿宋_GB2312"/>
          <w:szCs w:val="32"/>
        </w:rPr>
      </w:pPr>
      <w:r>
        <w:rPr>
          <w:rFonts w:hint="eastAsia" w:ascii="仿宋_GB2312" w:hAnsi="仿宋_GB2312" w:eastAsia="仿宋_GB2312" w:cs="仿宋_GB2312"/>
          <w:color w:val="000000"/>
          <w:kern w:val="0"/>
          <w:szCs w:val="32"/>
        </w:rPr>
        <w:t>为</w:t>
      </w:r>
      <w:r>
        <w:rPr>
          <w:rFonts w:hint="eastAsia" w:ascii="仿宋_GB2312" w:hAnsi="仿宋_GB2312" w:eastAsia="仿宋_GB2312" w:cs="仿宋_GB2312"/>
          <w:szCs w:val="32"/>
        </w:rPr>
        <w:t>规范新区各部门办公用品的统一采购流程</w:t>
      </w:r>
      <w:r>
        <w:rPr>
          <w:rFonts w:hint="eastAsia" w:ascii="仿宋_GB2312" w:hAnsi="仿宋_GB2312" w:eastAsia="仿宋_GB2312" w:cs="仿宋_GB2312"/>
          <w:color w:val="000000"/>
          <w:kern w:val="0"/>
          <w:szCs w:val="32"/>
        </w:rPr>
        <w:t>，加强办公用品的使用管理，保证日常办公需求，控制费用支出，</w:t>
      </w:r>
      <w:r>
        <w:rPr>
          <w:rFonts w:hint="eastAsia" w:ascii="仿宋_GB2312" w:hAnsi="仿宋_GB2312" w:eastAsia="仿宋_GB2312" w:cs="仿宋_GB2312"/>
          <w:szCs w:val="32"/>
        </w:rPr>
        <w:t>现制定本制度。</w:t>
      </w:r>
    </w:p>
    <w:p>
      <w:pPr>
        <w:ind w:firstLine="640" w:firstLineChars="200"/>
        <w:rPr>
          <w:rFonts w:ascii="黑体" w:hAnsi="黑体" w:eastAsia="黑体" w:cs="黑体"/>
          <w:szCs w:val="32"/>
        </w:rPr>
      </w:pPr>
      <w:r>
        <w:rPr>
          <w:rFonts w:hint="eastAsia" w:ascii="黑体" w:hAnsi="黑体" w:eastAsia="黑体" w:cs="黑体"/>
          <w:szCs w:val="32"/>
        </w:rPr>
        <w:t>一、统一采购和管理的原则</w:t>
      </w:r>
    </w:p>
    <w:p>
      <w:pPr>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1. 财政金融审计局是新区办公用品和低值易耗品采购的主管部门，新区行政办公室是新区办公用品和低值易耗品的管理部门，凡涉及办公用品事宜均由财政金融审计局和新区行政办公室负责。</w:t>
      </w:r>
    </w:p>
    <w:p>
      <w:pPr>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2. 财政金融审计局设专人负责采购的相关职责，加强管理，为新区各部门提供质价相符的物品保证办公需要。</w:t>
      </w:r>
    </w:p>
    <w:p>
      <w:pPr>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3. 新区行政办公室负责整理各部门提报的采购计划、后续审批、物品领用和保管工作。</w:t>
      </w:r>
    </w:p>
    <w:p>
      <w:pPr>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3. 新区所属各部门办公用品以部门为单位设专人管理，并按照本办法的要求，配合新区行政办公室做好计划编制、物品领用和保管工作，每月计划由各部门报送新区行政办公室统计整理，并报送领导审批后方可采购。</w:t>
      </w:r>
    </w:p>
    <w:p>
      <w:pPr>
        <w:ind w:firstLine="640" w:firstLineChars="200"/>
        <w:rPr>
          <w:rFonts w:ascii="黑体" w:hAnsi="黑体" w:eastAsia="黑体" w:cs="黑体"/>
          <w:szCs w:val="32"/>
        </w:rPr>
      </w:pPr>
      <w:r>
        <w:rPr>
          <w:rFonts w:hint="eastAsia" w:ascii="黑体" w:hAnsi="黑体" w:eastAsia="黑体" w:cs="黑体"/>
          <w:szCs w:val="32"/>
        </w:rPr>
        <w:t>二、审批权限</w:t>
      </w:r>
    </w:p>
    <w:p>
      <w:pPr>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购置办公用品、低值易耗品等需经过行政办公室提报计划，征得主管领导同意进行购置。</w:t>
      </w:r>
    </w:p>
    <w:p>
      <w:pPr>
        <w:ind w:firstLine="640" w:firstLineChars="200"/>
        <w:rPr>
          <w:rFonts w:ascii="黑体" w:hAnsi="黑体" w:eastAsia="黑体" w:cs="黑体"/>
          <w:szCs w:val="32"/>
        </w:rPr>
      </w:pPr>
      <w:r>
        <w:rPr>
          <w:rFonts w:hint="eastAsia" w:ascii="黑体" w:hAnsi="黑体" w:eastAsia="黑体" w:cs="黑体"/>
          <w:szCs w:val="32"/>
        </w:rPr>
        <w:t>三、办公用品集中采购的范围</w:t>
      </w:r>
    </w:p>
    <w:p>
      <w:pPr>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办公所需低值易耗品、办公用品、电脑、电脑耗材、电脑零部件、邮品、印刷品及新区范围内组织各项活动所需物品等均属集中采购范围。</w:t>
      </w:r>
    </w:p>
    <w:p>
      <w:pPr>
        <w:ind w:firstLine="640" w:firstLineChars="200"/>
        <w:rPr>
          <w:rFonts w:ascii="黑体" w:hAnsi="黑体" w:eastAsia="黑体" w:cs="黑体"/>
          <w:szCs w:val="32"/>
        </w:rPr>
      </w:pPr>
      <w:r>
        <w:rPr>
          <w:rFonts w:hint="eastAsia" w:ascii="黑体" w:hAnsi="黑体" w:eastAsia="黑体" w:cs="黑体"/>
          <w:szCs w:val="32"/>
        </w:rPr>
        <w:t>四、集中采购程序</w:t>
      </w:r>
    </w:p>
    <w:p>
      <w:pPr>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1.各部门根据本部门的实际需要，使用统一表格《采购计划表》编制次月物品申请计划，经主管领导审核批准后，于每月1日送达新区行政办公室。</w:t>
      </w:r>
    </w:p>
    <w:p>
      <w:pPr>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2.财政金融审计局根据新区行政办公室核准的申请计划，经主管领导同意后与行政办公室共同进行采购。</w:t>
      </w:r>
    </w:p>
    <w:p>
      <w:pPr>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3..财政金融审计局根据领导批准的内容，对价值在50万元以上（含50万元）的成批大宗物品委托代理机构实施采购，其他零星物品采取货比三家的形式实施集中采购。</w:t>
      </w:r>
    </w:p>
    <w:p>
      <w:pPr>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4.办公用品采购后，由各部门到新区行政办公室一次性登记领用。</w:t>
      </w:r>
    </w:p>
    <w:p>
      <w:pPr>
        <w:ind w:firstLine="640" w:firstLineChars="200"/>
        <w:rPr>
          <w:rFonts w:ascii="黑体" w:hAnsi="黑体" w:eastAsia="黑体" w:cs="黑体"/>
          <w:szCs w:val="32"/>
        </w:rPr>
      </w:pPr>
      <w:r>
        <w:rPr>
          <w:rFonts w:hint="eastAsia" w:ascii="黑体" w:hAnsi="黑体" w:eastAsia="黑体" w:cs="黑体"/>
          <w:szCs w:val="32"/>
        </w:rPr>
        <w:t>五、具体要求</w:t>
      </w:r>
    </w:p>
    <w:p>
      <w:pPr>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1.各部门的计划要依据实际需求，不得虚做冒估超预算。</w:t>
      </w:r>
    </w:p>
    <w:p>
      <w:pPr>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 xml:space="preserve">2.按照先审批后购置的原则，未经审批购置的将不予报销。 </w:t>
      </w:r>
    </w:p>
    <w:p>
      <w:pPr>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3.当月计划当月有效。本月未购置须次月重做计划。</w:t>
      </w:r>
    </w:p>
    <w:p>
      <w:pPr>
        <w:ind w:firstLine="640" w:firstLineChars="200"/>
        <w:rPr>
          <w:rFonts w:ascii="仿宋_GB2312" w:hAnsi="仿宋_GB2312" w:eastAsia="仿宋_GB2312" w:cs="仿宋_GB2312"/>
          <w:szCs w:val="32"/>
        </w:rPr>
      </w:pPr>
      <w:r>
        <w:rPr>
          <w:rFonts w:hint="eastAsia" w:ascii="仿宋_GB2312" w:hAnsi="仿宋_GB2312" w:eastAsia="仿宋_GB2312" w:cs="仿宋_GB2312"/>
          <w:szCs w:val="32"/>
        </w:rPr>
        <w:t>4.各部门和个人对管理的物品不得挪做私用、避免浪费、损坏和丢失。</w:t>
      </w:r>
    </w:p>
    <w:p>
      <w:pPr>
        <w:ind w:firstLine="640" w:firstLineChars="200"/>
      </w:pPr>
      <w:r>
        <w:rPr>
          <w:rFonts w:hint="eastAsia" w:ascii="仿宋_GB2312" w:hAnsi="仿宋_GB2312" w:eastAsia="仿宋_GB2312" w:cs="仿宋_GB2312"/>
          <w:szCs w:val="32"/>
        </w:rPr>
        <w:t>5.在采购所需用品时，须本着质优价廉的原则。</w:t>
      </w:r>
    </w:p>
    <w:p>
      <w:pPr>
        <w:pStyle w:val="2"/>
      </w:pPr>
      <w:bookmarkStart w:id="290" w:name="_Toc11863"/>
    </w:p>
    <w:p/>
    <w:p/>
    <w:p/>
    <w:p/>
    <w:p/>
    <w:p/>
    <w:p/>
    <w:p/>
    <w:p/>
    <w:p/>
    <w:p/>
    <w:p/>
    <w:p/>
    <w:p/>
    <w:p/>
    <w:bookmarkEnd w:id="290"/>
    <w:p/>
    <w:p/>
    <w:p/>
    <w:p>
      <w:pPr>
        <w:pStyle w:val="2"/>
        <w:rPr>
          <w:rStyle w:val="13"/>
          <w:rFonts w:ascii="仿宋_GB2312" w:hAnsi="仿宋" w:eastAsia="仿宋_GB2312"/>
          <w:b w:val="0"/>
          <w:sz w:val="32"/>
          <w:szCs w:val="32"/>
        </w:rPr>
      </w:pPr>
      <w:bookmarkStart w:id="291" w:name="_Toc27744"/>
      <w:r>
        <w:rPr>
          <w:rFonts w:hint="eastAsia"/>
        </w:rPr>
        <w:t>14、固定资产管理办法（暂行）</w:t>
      </w:r>
      <w:bookmarkEnd w:id="291"/>
    </w:p>
    <w:p>
      <w:pPr>
        <w:pStyle w:val="8"/>
        <w:spacing w:before="0" w:beforeAutospacing="0" w:after="0" w:afterAutospacing="0" w:line="360" w:lineRule="auto"/>
        <w:ind w:left="640" w:leftChars="200"/>
        <w:jc w:val="center"/>
        <w:rPr>
          <w:rFonts w:ascii="仿宋" w:hAnsi="仿宋" w:eastAsia="仿宋"/>
          <w:sz w:val="32"/>
          <w:szCs w:val="32"/>
        </w:rPr>
      </w:pPr>
      <w:r>
        <w:rPr>
          <w:rFonts w:hint="eastAsia" w:ascii="黑体" w:hAnsi="黑体" w:eastAsia="黑体" w:cs="黑体"/>
          <w:color w:val="000000"/>
          <w:sz w:val="32"/>
          <w:szCs w:val="32"/>
        </w:rPr>
        <w:t>第一章  总　则</w:t>
      </w:r>
    </w:p>
    <w:p>
      <w:pPr>
        <w:widowControl/>
        <w:adjustRightInd w:val="0"/>
        <w:ind w:firstLine="643" w:firstLineChars="200"/>
        <w:jc w:val="left"/>
        <w:textAlignment w:val="baseline"/>
        <w:rPr>
          <w:rFonts w:ascii="仿宋" w:hAnsi="仿宋"/>
          <w:szCs w:val="32"/>
        </w:rPr>
      </w:pPr>
      <w:r>
        <w:rPr>
          <w:rStyle w:val="13"/>
          <w:rFonts w:hint="eastAsia" w:ascii="仿宋" w:hAnsi="仿宋"/>
          <w:szCs w:val="32"/>
        </w:rPr>
        <w:t>第一条</w:t>
      </w:r>
      <w:r>
        <w:rPr>
          <w:rFonts w:hint="eastAsia" w:ascii="仿宋" w:hAnsi="仿宋"/>
          <w:szCs w:val="32"/>
        </w:rPr>
        <w:t xml:space="preserve"> 为了规范和加强新区固定资产管理，维护固定资产的安全完整，合理配置和有效利用固定资产，保障和促进各项事业发展，建立适应社会主义市场经济和公共财政要求的事业单位固定资产管理体制，根据国务院有关规定，结合新区实际情况，制定本办法。</w:t>
      </w:r>
    </w:p>
    <w:p>
      <w:pPr>
        <w:widowControl/>
        <w:adjustRightInd w:val="0"/>
        <w:ind w:firstLine="643" w:firstLineChars="200"/>
        <w:jc w:val="left"/>
        <w:textAlignment w:val="baseline"/>
        <w:rPr>
          <w:rFonts w:ascii="仿宋" w:hAnsi="仿宋"/>
          <w:szCs w:val="32"/>
        </w:rPr>
      </w:pPr>
      <w:r>
        <w:rPr>
          <w:rFonts w:hint="eastAsia" w:ascii="仿宋" w:hAnsi="仿宋"/>
          <w:b/>
          <w:bCs/>
          <w:szCs w:val="32"/>
        </w:rPr>
        <w:t xml:space="preserve">第二条 </w:t>
      </w:r>
      <w:r>
        <w:rPr>
          <w:rFonts w:hint="eastAsia" w:ascii="仿宋" w:hAnsi="仿宋"/>
          <w:szCs w:val="32"/>
        </w:rPr>
        <w:t>本办法适用于生态新区固定资产管理活动。</w:t>
      </w:r>
    </w:p>
    <w:p>
      <w:pPr>
        <w:widowControl/>
        <w:adjustRightInd w:val="0"/>
        <w:ind w:firstLine="643" w:firstLineChars="200"/>
        <w:jc w:val="left"/>
        <w:textAlignment w:val="baseline"/>
        <w:rPr>
          <w:rFonts w:ascii="仿宋" w:hAnsi="仿宋"/>
          <w:szCs w:val="32"/>
        </w:rPr>
      </w:pPr>
      <w:r>
        <w:rPr>
          <w:rFonts w:hint="eastAsia" w:ascii="仿宋" w:hAnsi="仿宋"/>
          <w:b/>
          <w:bCs/>
          <w:szCs w:val="32"/>
        </w:rPr>
        <w:t xml:space="preserve">第三条 </w:t>
      </w:r>
      <w:r>
        <w:rPr>
          <w:rFonts w:hint="eastAsia" w:ascii="仿宋" w:hAnsi="仿宋"/>
          <w:szCs w:val="32"/>
        </w:rPr>
        <w:t>本办法所称的固定资产，是指本区占有、使用的，依法确认为国家所有，能以货币计量的各种经济资源的总称，即国有（公共）财产。 固定资产包括国家拨给事业单位的资产，事业单位按照国家规定运用固定资产组织收入形成的资产，以及接受捐赠和其他经法律确认为国家所有的资产，其表现形式为流动资产、固定资产、无形资产和对外投资等。</w:t>
      </w:r>
    </w:p>
    <w:p>
      <w:pPr>
        <w:widowControl/>
        <w:adjustRightInd w:val="0"/>
        <w:ind w:firstLine="643" w:firstLineChars="200"/>
        <w:jc w:val="left"/>
        <w:textAlignment w:val="baseline"/>
        <w:rPr>
          <w:rFonts w:ascii="仿宋" w:hAnsi="仿宋"/>
          <w:szCs w:val="32"/>
        </w:rPr>
      </w:pPr>
      <w:r>
        <w:rPr>
          <w:rFonts w:hint="eastAsia" w:ascii="仿宋" w:hAnsi="仿宋"/>
          <w:b/>
          <w:bCs/>
          <w:szCs w:val="32"/>
        </w:rPr>
        <w:t xml:space="preserve">第四条 </w:t>
      </w:r>
      <w:r>
        <w:rPr>
          <w:rFonts w:hint="eastAsia" w:ascii="仿宋" w:hAnsi="仿宋"/>
          <w:szCs w:val="32"/>
        </w:rPr>
        <w:t>固定资产管理活动，应当坚持资产管理与预算管理相结合的原则，推行实物费用定额制度，促进资产整合与共享共用，实现资产管理和预算管理的紧密统一；应当坚持所有权和使用权相分离的原则；应当坚持资产管理与财务管理、实物管理与价值管理相结合的原则。</w:t>
      </w:r>
    </w:p>
    <w:p>
      <w:pPr>
        <w:widowControl/>
        <w:adjustRightInd w:val="0"/>
        <w:ind w:firstLine="643" w:firstLineChars="200"/>
        <w:jc w:val="left"/>
        <w:textAlignment w:val="baseline"/>
        <w:rPr>
          <w:rFonts w:ascii="仿宋" w:hAnsi="仿宋"/>
          <w:szCs w:val="32"/>
        </w:rPr>
      </w:pPr>
      <w:r>
        <w:rPr>
          <w:rFonts w:hint="eastAsia" w:ascii="仿宋" w:hAnsi="仿宋"/>
          <w:b/>
          <w:bCs/>
          <w:szCs w:val="32"/>
        </w:rPr>
        <w:t xml:space="preserve">第五条 </w:t>
      </w:r>
      <w:r>
        <w:rPr>
          <w:rFonts w:hint="eastAsia" w:ascii="仿宋" w:hAnsi="仿宋"/>
          <w:szCs w:val="32"/>
        </w:rPr>
        <w:t>固定资产实行国家统一所有，分级监管，单位占有、使用的管理体制。</w:t>
      </w:r>
    </w:p>
    <w:p>
      <w:pPr>
        <w:widowControl/>
        <w:tabs>
          <w:tab w:val="left" w:pos="567"/>
        </w:tabs>
        <w:jc w:val="center"/>
        <w:rPr>
          <w:rFonts w:ascii="黑体" w:hAnsi="黑体" w:eastAsia="黑体" w:cs="黑体"/>
          <w:color w:val="000000"/>
          <w:kern w:val="0"/>
          <w:szCs w:val="32"/>
        </w:rPr>
      </w:pPr>
      <w:r>
        <w:rPr>
          <w:rFonts w:hint="eastAsia" w:ascii="黑体" w:hAnsi="黑体" w:eastAsia="黑体" w:cs="黑体"/>
          <w:color w:val="000000"/>
          <w:kern w:val="0"/>
          <w:szCs w:val="32"/>
        </w:rPr>
        <w:t>第二章　管理及其职责</w:t>
      </w:r>
    </w:p>
    <w:p>
      <w:pPr>
        <w:ind w:firstLine="643" w:firstLineChars="200"/>
        <w:rPr>
          <w:rFonts w:ascii="仿宋" w:hAnsi="仿宋"/>
          <w:szCs w:val="32"/>
        </w:rPr>
      </w:pPr>
      <w:r>
        <w:rPr>
          <w:rStyle w:val="13"/>
          <w:rFonts w:hint="eastAsia" w:ascii="仿宋" w:hAnsi="仿宋"/>
          <w:szCs w:val="32"/>
        </w:rPr>
        <w:t xml:space="preserve">第六条 </w:t>
      </w:r>
      <w:r>
        <w:rPr>
          <w:rFonts w:hint="eastAsia" w:ascii="仿宋" w:hAnsi="仿宋"/>
          <w:szCs w:val="32"/>
        </w:rPr>
        <w:t>资产配置标准是科学合理编制资产配置预算的重要依据，“先易后难、分类实施、逐步推进”的原则，分类制定资产配置标准。明确各类资产的配置数量、价格上限和最低使用年限等，并根据物价水平和财力状况等因素变化适时调整，为预算编制提供科学依据。对已制定资产配置标准的，应当结合财力情况严格按照标准配置；对没有规定资产配置标准的，应当坚持厉行节约、从严控制的原则，并结合单位履职需要、存量资产状况和财力情况等，在充分论证的基础上，采取调剂、租赁、购置等方式进行配置。加大对资产的调控力度，有效盘活存量资产，优化资源配置。建立行政事业单位超标准配置、低效运转或者长期闲置资产调剂机制。</w:t>
      </w:r>
    </w:p>
    <w:p>
      <w:pPr>
        <w:ind w:firstLine="643" w:firstLineChars="200"/>
        <w:rPr>
          <w:rFonts w:ascii="仿宋" w:hAnsi="仿宋"/>
          <w:szCs w:val="32"/>
        </w:rPr>
      </w:pPr>
      <w:r>
        <w:rPr>
          <w:rStyle w:val="13"/>
          <w:rFonts w:hint="eastAsia" w:ascii="仿宋" w:hAnsi="仿宋"/>
          <w:szCs w:val="32"/>
        </w:rPr>
        <w:t xml:space="preserve">第七条 </w:t>
      </w:r>
      <w:r>
        <w:rPr>
          <w:rFonts w:hint="eastAsia" w:ascii="仿宋" w:hAnsi="仿宋"/>
          <w:szCs w:val="32"/>
        </w:rPr>
        <w:t>加强新区资产使用管理，提高固定资产使用效率。各局办和企业应当加强资产使用管理，进一步落实资产管理主体责任制和各项资产使用管理的规章制度，明确资产使用管理的内部流程、岗位职责和内控制度，充分依托资产管理信息系统的动态管理优势，做到账实相符、账账相符、账卡相符。加强资产出租出借行为的监管，严格控制出租出借固定资产行为，确需出租出借资产的，应当按照规定程序履行报批手续，原则上实行公开竞价招租，必要时可以采取评审或者资产评估等方式确定出租价格，确保出租出借过程的公正透明。</w:t>
      </w:r>
    </w:p>
    <w:p>
      <w:pPr>
        <w:ind w:firstLine="643" w:firstLineChars="200"/>
        <w:rPr>
          <w:rFonts w:ascii="仿宋" w:hAnsi="仿宋"/>
          <w:szCs w:val="32"/>
        </w:rPr>
      </w:pPr>
      <w:r>
        <w:rPr>
          <w:rStyle w:val="13"/>
          <w:rFonts w:hint="eastAsia" w:ascii="仿宋" w:hAnsi="仿宋"/>
          <w:szCs w:val="32"/>
        </w:rPr>
        <w:t xml:space="preserve">第八条 </w:t>
      </w:r>
      <w:r>
        <w:rPr>
          <w:rFonts w:hint="eastAsia" w:ascii="仿宋" w:hAnsi="仿宋"/>
          <w:szCs w:val="32"/>
        </w:rPr>
        <w:t>加强新区资产处置管理，进一步规范资产处置行为。资产处置应当遵循公开、公平、公正的原则，严格执行固定资产处置制度，履行审批手续，规范处置行为，防止固定资产流失。未按规定履行相关程序的，任何人不得擅自处置固定资产。处置固定资产原则上应当按照规定程序进行资产评估，并通过拍卖、招投标等公开进场交易方式处置，杜绝暗箱操作。资产处置完成后，应当及时办理产权变动并进行账务处理。</w:t>
      </w:r>
    </w:p>
    <w:p>
      <w:pPr>
        <w:ind w:firstLine="643" w:firstLineChars="200"/>
        <w:rPr>
          <w:rFonts w:ascii="仿宋" w:hAnsi="仿宋"/>
          <w:szCs w:val="32"/>
        </w:rPr>
      </w:pPr>
      <w:r>
        <w:rPr>
          <w:rStyle w:val="13"/>
          <w:rFonts w:hint="eastAsia" w:ascii="仿宋" w:hAnsi="仿宋"/>
          <w:szCs w:val="32"/>
        </w:rPr>
        <w:t xml:space="preserve">第九条 </w:t>
      </w:r>
      <w:r>
        <w:rPr>
          <w:rFonts w:hint="eastAsia" w:ascii="仿宋" w:hAnsi="仿宋"/>
          <w:szCs w:val="32"/>
        </w:rPr>
        <w:t>加强单位资产收益管理，确保应收尽收和规范使用。固定资产收益是政府非税收入的重要组成部分，各部门、下属公司应当进一步加强对固定资产收益的监督管理，建立健全资产收入收缴和使用等方面的规章制度，规范收支行为。新区固定资产处置收入和出租、出借收入，应当在扣除相关税费后及时、足额上缴国库，严禁隐瞒、截留、坐支和挪用。严格按照有关规定进一步规范事业单位固定资产处置收入管理。</w:t>
      </w:r>
    </w:p>
    <w:p>
      <w:pPr>
        <w:jc w:val="center"/>
        <w:rPr>
          <w:rFonts w:ascii="仿宋" w:hAnsi="仿宋"/>
          <w:b/>
          <w:bCs/>
          <w:szCs w:val="32"/>
        </w:rPr>
      </w:pPr>
      <w:r>
        <w:rPr>
          <w:rFonts w:hint="eastAsia" w:ascii="黑体" w:hAnsi="黑体" w:eastAsia="黑体" w:cs="黑体"/>
          <w:color w:val="000000"/>
          <w:kern w:val="0"/>
          <w:szCs w:val="32"/>
        </w:rPr>
        <w:t>第三章 固定资产监督管理</w:t>
      </w:r>
    </w:p>
    <w:p>
      <w:pPr>
        <w:ind w:firstLine="643" w:firstLineChars="200"/>
        <w:rPr>
          <w:rFonts w:ascii="仿宋" w:hAnsi="仿宋"/>
          <w:szCs w:val="32"/>
        </w:rPr>
      </w:pPr>
      <w:r>
        <w:rPr>
          <w:rStyle w:val="13"/>
          <w:rFonts w:hint="eastAsia" w:ascii="仿宋" w:hAnsi="仿宋"/>
          <w:szCs w:val="32"/>
        </w:rPr>
        <w:t xml:space="preserve">第十条 </w:t>
      </w:r>
      <w:r>
        <w:rPr>
          <w:rFonts w:hint="eastAsia" w:ascii="仿宋" w:hAnsi="仿宋"/>
          <w:szCs w:val="32"/>
        </w:rPr>
        <w:t>以管资产为主，加强新区所属企业管理。按照深化国有企业改革的总体部署，以管资产为主，鼓励将行政事业单位所属企业的固定资产纳入经营性固定资产集中统一监管体系。具备条件的进入固定资产投资、运营公司，暂时不具备条件的，要按照“政企分开、事企分开”的原则，建立以资产为纽带的产权关系，加强和规范监管，确保固定资产保值增值。</w:t>
      </w:r>
    </w:p>
    <w:p>
      <w:pPr>
        <w:ind w:firstLine="640" w:firstLineChars="200"/>
        <w:rPr>
          <w:rFonts w:ascii="仿宋" w:hAnsi="仿宋"/>
          <w:szCs w:val="32"/>
        </w:rPr>
      </w:pPr>
      <w:r>
        <w:rPr>
          <w:rFonts w:hint="eastAsia" w:ascii="仿宋" w:hAnsi="仿宋"/>
          <w:szCs w:val="32"/>
        </w:rPr>
        <w:t>各部门、企业应当强化资产运作模式、经营状况、收益分配等的监督管理，推动完善企业法人治理结构，逐步完善“产权清晰、权责明确、政企分开、管理科学”的现代企业制度，完善所属企业固定资产监管体制，防止固定资产流失，实现固定资产保值增值。</w:t>
      </w:r>
    </w:p>
    <w:p>
      <w:pPr>
        <w:jc w:val="center"/>
        <w:rPr>
          <w:rFonts w:ascii="黑体" w:hAnsi="黑体" w:eastAsia="黑体" w:cs="黑体"/>
          <w:color w:val="000000"/>
          <w:kern w:val="0"/>
          <w:szCs w:val="32"/>
        </w:rPr>
      </w:pPr>
      <w:r>
        <w:rPr>
          <w:rFonts w:hint="eastAsia" w:ascii="黑体" w:hAnsi="黑体" w:eastAsia="黑体" w:cs="黑体"/>
          <w:color w:val="000000"/>
          <w:kern w:val="0"/>
          <w:szCs w:val="32"/>
        </w:rPr>
        <w:t>第四章加强组织队伍建设，不断提高资产管理工作水平</w:t>
      </w:r>
    </w:p>
    <w:p>
      <w:pPr>
        <w:ind w:firstLine="643" w:firstLineChars="200"/>
        <w:rPr>
          <w:rFonts w:ascii="仿宋" w:hAnsi="仿宋"/>
          <w:szCs w:val="32"/>
        </w:rPr>
      </w:pPr>
      <w:r>
        <w:rPr>
          <w:rFonts w:hint="eastAsia" w:ascii="仿宋" w:hAnsi="仿宋"/>
          <w:b/>
          <w:bCs/>
          <w:szCs w:val="32"/>
        </w:rPr>
        <w:t xml:space="preserve">第十一条 </w:t>
      </w:r>
      <w:r>
        <w:rPr>
          <w:rFonts w:hint="eastAsia" w:ascii="仿宋" w:hAnsi="仿宋"/>
          <w:szCs w:val="32"/>
        </w:rPr>
        <w:t>各部门、企业应当进一步高度重视资产管理工作，切实加强组织领导。各部门、企业应当建立健全行政事业资产管理机构，配备专职人员，充实工作队伍；各部门和企业应当明确内部资产管理机构和人员，强化职责分工，落实管理责任，避免多头管理、相互推诿扯皮现象，为开展新区资产管理工作提供有力的组织保障。</w:t>
      </w:r>
    </w:p>
    <w:p>
      <w:pPr>
        <w:ind w:firstLine="643" w:firstLineChars="200"/>
        <w:rPr>
          <w:rFonts w:ascii="仿宋" w:hAnsi="仿宋"/>
          <w:b/>
          <w:bCs/>
          <w:szCs w:val="32"/>
        </w:rPr>
      </w:pPr>
      <w:r>
        <w:rPr>
          <w:rFonts w:hint="eastAsia" w:ascii="仿宋" w:hAnsi="仿宋"/>
          <w:b/>
          <w:bCs/>
          <w:szCs w:val="32"/>
        </w:rPr>
        <w:t xml:space="preserve"> </w:t>
      </w:r>
      <w:r>
        <w:rPr>
          <w:rFonts w:hint="eastAsia" w:ascii="仿宋" w:hAnsi="仿宋"/>
          <w:szCs w:val="32"/>
        </w:rPr>
        <w:t>各部门、企业应当通过政策宣传、组织培训等多种方式，搭建学习和交流平台，提高新区资产管理干部队伍的素质和能力，有效推动行新区资产管理工作。</w:t>
      </w:r>
    </w:p>
    <w:p>
      <w:pPr>
        <w:jc w:val="center"/>
        <w:rPr>
          <w:rFonts w:ascii="黑体" w:hAnsi="黑体" w:eastAsia="黑体" w:cs="黑体"/>
          <w:color w:val="000000"/>
          <w:kern w:val="0"/>
          <w:szCs w:val="32"/>
        </w:rPr>
      </w:pPr>
      <w:r>
        <w:rPr>
          <w:rFonts w:hint="eastAsia" w:ascii="黑体" w:hAnsi="黑体" w:eastAsia="黑体" w:cs="黑体"/>
          <w:color w:val="000000"/>
          <w:kern w:val="0"/>
          <w:szCs w:val="32"/>
        </w:rPr>
        <w:t>第五章　附　则</w:t>
      </w:r>
    </w:p>
    <w:p>
      <w:pPr>
        <w:pStyle w:val="8"/>
        <w:spacing w:before="0" w:beforeAutospacing="0" w:after="0" w:afterAutospacing="0" w:line="360" w:lineRule="auto"/>
        <w:ind w:firstLine="630" w:firstLineChars="196"/>
        <w:jc w:val="both"/>
        <w:rPr>
          <w:rFonts w:ascii="仿宋" w:hAnsi="仿宋" w:eastAsia="仿宋"/>
          <w:sz w:val="32"/>
          <w:szCs w:val="32"/>
        </w:rPr>
      </w:pPr>
      <w:r>
        <w:rPr>
          <w:rStyle w:val="13"/>
          <w:rFonts w:hint="eastAsia" w:ascii="仿宋" w:hAnsi="仿宋" w:eastAsia="仿宋"/>
          <w:sz w:val="32"/>
          <w:szCs w:val="32"/>
        </w:rPr>
        <w:t xml:space="preserve">第十二条  </w:t>
      </w:r>
      <w:r>
        <w:rPr>
          <w:rFonts w:hint="eastAsia" w:ascii="仿宋" w:hAnsi="仿宋" w:eastAsia="仿宋"/>
          <w:sz w:val="32"/>
          <w:szCs w:val="32"/>
        </w:rPr>
        <w:t>本办法实施过程中，结合生态新区经营性质的不同，因业务拓展、扩大经营、转型升级等工作衍生的重大事项，按照“一事一议”的原则，专题研究。</w:t>
      </w:r>
    </w:p>
    <w:p>
      <w:pPr>
        <w:pStyle w:val="8"/>
        <w:spacing w:before="0" w:beforeAutospacing="0" w:after="0" w:afterAutospacing="0" w:line="360" w:lineRule="auto"/>
        <w:ind w:firstLine="630" w:firstLineChars="196"/>
        <w:jc w:val="both"/>
        <w:rPr>
          <w:rFonts w:ascii="仿宋" w:hAnsi="仿宋" w:eastAsia="仿宋"/>
          <w:sz w:val="32"/>
          <w:szCs w:val="32"/>
        </w:rPr>
      </w:pPr>
      <w:r>
        <w:rPr>
          <w:rStyle w:val="13"/>
          <w:rFonts w:hint="eastAsia" w:ascii="仿宋" w:hAnsi="仿宋" w:eastAsia="仿宋"/>
          <w:sz w:val="32"/>
          <w:szCs w:val="32"/>
        </w:rPr>
        <w:t>第十三条</w:t>
      </w:r>
      <w:r>
        <w:rPr>
          <w:rFonts w:hint="eastAsia" w:ascii="仿宋" w:hAnsi="仿宋" w:eastAsia="仿宋"/>
          <w:sz w:val="32"/>
          <w:szCs w:val="32"/>
        </w:rPr>
        <w:t>　</w:t>
      </w:r>
      <w:r>
        <w:rPr>
          <w:rStyle w:val="13"/>
          <w:rFonts w:hint="eastAsia" w:ascii="仿宋" w:hAnsi="仿宋" w:eastAsia="仿宋"/>
          <w:b w:val="0"/>
          <w:sz w:val="32"/>
          <w:szCs w:val="32"/>
        </w:rPr>
        <w:t>新区急需解决、且需新区做出决策的事项，由资产办同企业形成意见，报请新区上会审议。</w:t>
      </w:r>
    </w:p>
    <w:p>
      <w:pPr>
        <w:pStyle w:val="8"/>
        <w:spacing w:before="0" w:beforeAutospacing="0" w:after="0" w:afterAutospacing="0" w:line="360" w:lineRule="auto"/>
        <w:ind w:firstLine="841" w:firstLineChars="196"/>
        <w:jc w:val="both"/>
        <w:rPr>
          <w:rStyle w:val="13"/>
          <w:rFonts w:ascii="仿宋" w:hAnsi="仿宋" w:eastAsia="仿宋"/>
          <w:b w:val="0"/>
          <w:sz w:val="32"/>
          <w:szCs w:val="32"/>
        </w:rPr>
      </w:pPr>
      <w:r>
        <w:rPr>
          <w:rStyle w:val="13"/>
          <w:rFonts w:hint="eastAsia" w:ascii="仿宋" w:hAnsi="仿宋" w:eastAsia="仿宋"/>
          <w:spacing w:val="54"/>
          <w:kern w:val="0"/>
          <w:sz w:val="32"/>
          <w:szCs w:val="32"/>
          <w:fitText w:val="1605" w:id="259091390"/>
        </w:rPr>
        <w:t>第十四</w:t>
      </w:r>
      <w:r>
        <w:rPr>
          <w:rStyle w:val="13"/>
          <w:rFonts w:hint="eastAsia" w:ascii="仿宋" w:hAnsi="仿宋" w:eastAsia="仿宋"/>
          <w:spacing w:val="0"/>
          <w:kern w:val="0"/>
          <w:sz w:val="32"/>
          <w:szCs w:val="32"/>
          <w:fitText w:val="1605" w:id="259091390"/>
        </w:rPr>
        <w:t>条</w:t>
      </w:r>
      <w:r>
        <w:rPr>
          <w:rStyle w:val="13"/>
          <w:rFonts w:hint="eastAsia" w:ascii="仿宋" w:hAnsi="仿宋" w:eastAsia="仿宋"/>
          <w:sz w:val="32"/>
          <w:szCs w:val="32"/>
        </w:rPr>
        <w:t xml:space="preserve">  </w:t>
      </w:r>
      <w:r>
        <w:rPr>
          <w:rStyle w:val="13"/>
          <w:rFonts w:hint="eastAsia" w:ascii="仿宋" w:hAnsi="仿宋" w:eastAsia="仿宋"/>
          <w:b w:val="0"/>
          <w:sz w:val="32"/>
          <w:szCs w:val="32"/>
        </w:rPr>
        <w:t>新区所属各局（办）应在企业正常的生产经营活动中给予支持。</w:t>
      </w:r>
    </w:p>
    <w:p>
      <w:pPr>
        <w:pStyle w:val="8"/>
        <w:spacing w:before="0" w:beforeAutospacing="0" w:after="0" w:afterAutospacing="0" w:line="360" w:lineRule="auto"/>
        <w:ind w:firstLine="841" w:firstLineChars="196"/>
        <w:jc w:val="both"/>
        <w:rPr>
          <w:rFonts w:ascii="仿宋" w:hAnsi="仿宋" w:eastAsia="仿宋"/>
          <w:bCs/>
          <w:sz w:val="32"/>
          <w:szCs w:val="32"/>
        </w:rPr>
      </w:pPr>
      <w:r>
        <w:rPr>
          <w:rStyle w:val="13"/>
          <w:rFonts w:hint="eastAsia" w:ascii="仿宋" w:hAnsi="仿宋" w:eastAsia="仿宋"/>
          <w:spacing w:val="54"/>
          <w:w w:val="100"/>
          <w:kern w:val="0"/>
          <w:sz w:val="32"/>
          <w:szCs w:val="32"/>
          <w:fitText w:val="1605" w:id="1"/>
        </w:rPr>
        <w:t>第十五</w:t>
      </w:r>
      <w:r>
        <w:rPr>
          <w:rStyle w:val="13"/>
          <w:rFonts w:hint="eastAsia" w:ascii="仿宋" w:hAnsi="仿宋" w:eastAsia="仿宋"/>
          <w:spacing w:val="0"/>
          <w:w w:val="100"/>
          <w:kern w:val="0"/>
          <w:sz w:val="32"/>
          <w:szCs w:val="32"/>
          <w:fitText w:val="1605" w:id="1"/>
        </w:rPr>
        <w:t>条</w:t>
      </w:r>
      <w:r>
        <w:rPr>
          <w:rStyle w:val="13"/>
          <w:rFonts w:hint="eastAsia" w:ascii="仿宋" w:hAnsi="仿宋" w:eastAsia="仿宋"/>
          <w:sz w:val="32"/>
          <w:szCs w:val="32"/>
        </w:rPr>
        <w:t xml:space="preserve">  </w:t>
      </w:r>
      <w:r>
        <w:rPr>
          <w:rFonts w:hint="eastAsia" w:ascii="仿宋" w:hAnsi="仿宋" w:eastAsia="仿宋"/>
          <w:sz w:val="32"/>
          <w:szCs w:val="32"/>
        </w:rPr>
        <w:t>本暂行办法由资产负责解释。</w:t>
      </w:r>
    </w:p>
    <w:p>
      <w:pPr>
        <w:pStyle w:val="8"/>
        <w:spacing w:before="0" w:beforeAutospacing="0" w:after="0" w:afterAutospacing="0" w:line="360" w:lineRule="auto"/>
        <w:ind w:firstLine="841" w:firstLineChars="196"/>
        <w:jc w:val="both"/>
        <w:rPr>
          <w:rFonts w:ascii="仿宋" w:hAnsi="仿宋" w:eastAsia="仿宋"/>
          <w:sz w:val="32"/>
          <w:szCs w:val="32"/>
        </w:rPr>
      </w:pPr>
      <w:r>
        <w:rPr>
          <w:rStyle w:val="13"/>
          <w:rFonts w:hint="eastAsia" w:ascii="仿宋" w:hAnsi="仿宋" w:eastAsia="仿宋"/>
          <w:spacing w:val="54"/>
          <w:w w:val="100"/>
          <w:kern w:val="0"/>
          <w:sz w:val="32"/>
          <w:szCs w:val="32"/>
          <w:fitText w:val="1605" w:id="2"/>
        </w:rPr>
        <w:t>第十六</w:t>
      </w:r>
      <w:r>
        <w:rPr>
          <w:rStyle w:val="13"/>
          <w:rFonts w:hint="eastAsia" w:ascii="仿宋" w:hAnsi="仿宋" w:eastAsia="仿宋"/>
          <w:spacing w:val="0"/>
          <w:w w:val="100"/>
          <w:kern w:val="0"/>
          <w:sz w:val="32"/>
          <w:szCs w:val="32"/>
          <w:fitText w:val="1605" w:id="2"/>
        </w:rPr>
        <w:t>条</w:t>
      </w:r>
      <w:r>
        <w:rPr>
          <w:rStyle w:val="13"/>
          <w:rFonts w:hint="eastAsia" w:ascii="仿宋" w:hAnsi="仿宋" w:eastAsia="仿宋"/>
          <w:sz w:val="32"/>
          <w:szCs w:val="32"/>
        </w:rPr>
        <w:t xml:space="preserve">  </w:t>
      </w:r>
      <w:r>
        <w:rPr>
          <w:rFonts w:hint="eastAsia" w:ascii="仿宋" w:hAnsi="仿宋" w:eastAsia="仿宋"/>
          <w:sz w:val="32"/>
          <w:szCs w:val="32"/>
        </w:rPr>
        <w:t>本办法自发布之日起施行。</w:t>
      </w:r>
    </w:p>
    <w:p>
      <w:pPr>
        <w:rPr>
          <w:rFonts w:eastAsia="宋体"/>
        </w:rPr>
      </w:pPr>
    </w:p>
    <w:p/>
    <w:p/>
    <w:p/>
    <w:p/>
    <w:p/>
    <w:p/>
    <w:p/>
    <w:p/>
    <w:p/>
    <w:p/>
    <w:p>
      <w:pPr>
        <w:pStyle w:val="2"/>
        <w:rPr>
          <w:rFonts w:ascii="宋体" w:hAnsi="宋体" w:cs="宋体"/>
          <w:szCs w:val="44"/>
        </w:rPr>
      </w:pPr>
      <w:bookmarkStart w:id="292" w:name="_Toc32643"/>
      <w:r>
        <w:rPr>
          <w:rFonts w:hint="eastAsia"/>
        </w:rPr>
        <w:t>15、集中采购管理制度</w:t>
      </w:r>
    </w:p>
    <w:p>
      <w:pPr>
        <w:spacing w:line="0" w:lineRule="atLeast"/>
        <w:ind w:firstLine="640" w:firstLineChars="200"/>
        <w:rPr>
          <w:rFonts w:ascii="仿宋_GB2312" w:hAnsi="仿宋_GB2312" w:eastAsia="仿宋_GB2312" w:cs="仿宋_GB2312"/>
          <w:szCs w:val="32"/>
        </w:rPr>
      </w:pPr>
    </w:p>
    <w:p>
      <w:pPr>
        <w:spacing w:line="240" w:lineRule="atLeast"/>
        <w:ind w:firstLine="640" w:firstLineChars="200"/>
        <w:rPr>
          <w:rFonts w:ascii="仿宋" w:hAnsi="仿宋" w:cs="仿宋"/>
          <w:szCs w:val="32"/>
        </w:rPr>
      </w:pPr>
      <w:r>
        <w:rPr>
          <w:rFonts w:hint="eastAsia" w:ascii="仿宋" w:hAnsi="仿宋" w:cs="仿宋"/>
          <w:szCs w:val="32"/>
        </w:rPr>
        <w:t>为规范集中采购行为，提高采购工作效率，贯彻新区办“统购统发”工作要求，按照《中华人民共和国政府采购法》和《白城市财政局关于印发白城市政府采购集中采购目录、政府采购限额标准和公开招标数额标准的通知》（白财采购〔2018〕200号）的有关规定，结合新区工作实际，特制定本制度。</w:t>
      </w:r>
    </w:p>
    <w:p>
      <w:pPr>
        <w:spacing w:line="240" w:lineRule="atLeast"/>
        <w:ind w:firstLine="643" w:firstLineChars="200"/>
        <w:rPr>
          <w:rFonts w:ascii="黑体" w:hAnsi="黑体" w:eastAsia="黑体" w:cs="黑体"/>
          <w:b/>
          <w:szCs w:val="32"/>
        </w:rPr>
      </w:pPr>
      <w:r>
        <w:rPr>
          <w:rFonts w:hint="eastAsia" w:ascii="黑体" w:hAnsi="黑体" w:eastAsia="黑体" w:cs="黑体"/>
          <w:b/>
          <w:szCs w:val="32"/>
        </w:rPr>
        <w:t>第一条 采购原则</w:t>
      </w:r>
    </w:p>
    <w:p>
      <w:pPr>
        <w:spacing w:line="240" w:lineRule="atLeast"/>
        <w:ind w:firstLine="640" w:firstLineChars="200"/>
        <w:rPr>
          <w:rFonts w:ascii="仿宋_GB2312" w:hAnsi="仿宋_GB2312" w:eastAsia="仿宋_GB2312" w:cs="仿宋_GB2312"/>
          <w:szCs w:val="32"/>
        </w:rPr>
      </w:pPr>
      <w:r>
        <w:rPr>
          <w:rFonts w:hint="eastAsia" w:ascii="仿宋" w:hAnsi="仿宋" w:cs="仿宋"/>
          <w:szCs w:val="32"/>
        </w:rPr>
        <w:t>就近采购，同质低价，预算管理，公开透明。</w:t>
      </w:r>
    </w:p>
    <w:p>
      <w:pPr>
        <w:spacing w:line="240" w:lineRule="atLeast"/>
        <w:ind w:firstLine="643" w:firstLineChars="200"/>
        <w:rPr>
          <w:rFonts w:ascii="黑体" w:hAnsi="黑体" w:eastAsia="黑体" w:cs="黑体"/>
          <w:b/>
          <w:szCs w:val="32"/>
        </w:rPr>
      </w:pPr>
      <w:r>
        <w:rPr>
          <w:rFonts w:hint="eastAsia" w:ascii="黑体" w:hAnsi="黑体" w:eastAsia="黑体" w:cs="黑体"/>
          <w:b/>
          <w:szCs w:val="32"/>
        </w:rPr>
        <w:t>第二条 采购范围</w:t>
      </w:r>
    </w:p>
    <w:p>
      <w:pPr>
        <w:spacing w:line="240" w:lineRule="atLeast"/>
        <w:ind w:firstLine="640" w:firstLineChars="200"/>
        <w:rPr>
          <w:rFonts w:ascii="仿宋" w:hAnsi="仿宋" w:cs="仿宋"/>
          <w:szCs w:val="32"/>
        </w:rPr>
      </w:pPr>
      <w:r>
        <w:rPr>
          <w:rFonts w:hint="eastAsia" w:ascii="仿宋" w:hAnsi="仿宋" w:cs="仿宋"/>
          <w:szCs w:val="32"/>
        </w:rPr>
        <w:t>生态新区各部门使用财政性资金（含国债资金）和配套的单位自筹资金，采购政府集中采购目录内的货物、工程和服务的行为。</w:t>
      </w:r>
    </w:p>
    <w:p>
      <w:pPr>
        <w:spacing w:line="240" w:lineRule="atLeast"/>
        <w:ind w:firstLine="570"/>
        <w:rPr>
          <w:rFonts w:ascii="黑体" w:hAnsi="黑体" w:eastAsia="黑体" w:cs="黑体"/>
          <w:szCs w:val="32"/>
        </w:rPr>
      </w:pPr>
      <w:r>
        <w:rPr>
          <w:rFonts w:hint="eastAsia" w:ascii="黑体" w:hAnsi="黑体" w:eastAsia="黑体" w:cs="黑体"/>
          <w:b/>
          <w:szCs w:val="32"/>
        </w:rPr>
        <w:t>第三条 实施主体</w:t>
      </w:r>
    </w:p>
    <w:p>
      <w:pPr>
        <w:spacing w:line="240" w:lineRule="atLeast"/>
        <w:ind w:firstLine="640" w:firstLineChars="200"/>
        <w:rPr>
          <w:rFonts w:ascii="仿宋" w:hAnsi="仿宋" w:cs="仿宋"/>
          <w:szCs w:val="32"/>
        </w:rPr>
      </w:pPr>
      <w:r>
        <w:rPr>
          <w:rFonts w:hint="eastAsia" w:ascii="仿宋" w:hAnsi="仿宋" w:cs="仿宋"/>
          <w:szCs w:val="32"/>
        </w:rPr>
        <w:t>新区财政局是组织实施政府集中采购目录内项目采购的执行机构，负责制定集中采购工作流程、组织实施集中采购目录内的项目采购等工作。</w:t>
      </w:r>
    </w:p>
    <w:p>
      <w:pPr>
        <w:spacing w:line="240" w:lineRule="atLeast"/>
        <w:ind w:firstLine="630" w:firstLineChars="196"/>
        <w:rPr>
          <w:rFonts w:ascii="黑体" w:hAnsi="黑体" w:eastAsia="黑体" w:cs="黑体"/>
          <w:szCs w:val="32"/>
        </w:rPr>
      </w:pPr>
      <w:r>
        <w:rPr>
          <w:rFonts w:hint="eastAsia" w:ascii="黑体" w:hAnsi="黑体" w:eastAsia="黑体" w:cs="黑体"/>
          <w:b/>
          <w:szCs w:val="32"/>
        </w:rPr>
        <w:t>第四条 采购申报流程</w:t>
      </w:r>
    </w:p>
    <w:p>
      <w:pPr>
        <w:spacing w:line="240" w:lineRule="atLeast"/>
        <w:ind w:firstLine="640" w:firstLineChars="200"/>
        <w:rPr>
          <w:rFonts w:ascii="仿宋" w:hAnsi="仿宋" w:cs="仿宋"/>
          <w:szCs w:val="32"/>
        </w:rPr>
      </w:pPr>
      <w:r>
        <w:rPr>
          <w:rFonts w:hint="eastAsia" w:ascii="仿宋" w:hAnsi="仿宋" w:cs="仿宋"/>
          <w:szCs w:val="32"/>
        </w:rPr>
        <w:t> 1、采购单位每年初按照市财政局印发的政府集中采购目录编制本年度集中采购实施计划，包括拟采购办公用品、货物、工程及服务的名称、采购预算、数量、资金来源、交货时间、技术指标和服务要求等。计划制定完成后报送新区办，经新区办会议研究确定后，由财政局列入年度采购计划。年度采购计划参数不可随意更改，如需调整应及时报新区办重新审议。</w:t>
      </w:r>
    </w:p>
    <w:p>
      <w:pPr>
        <w:spacing w:line="240" w:lineRule="atLeast"/>
        <w:ind w:firstLine="640" w:firstLineChars="200"/>
        <w:rPr>
          <w:rFonts w:ascii="仿宋" w:hAnsi="仿宋" w:cs="仿宋"/>
          <w:szCs w:val="32"/>
        </w:rPr>
      </w:pPr>
      <w:r>
        <w:rPr>
          <w:rFonts w:hint="eastAsia" w:ascii="仿宋" w:hAnsi="仿宋" w:cs="仿宋"/>
          <w:szCs w:val="32"/>
        </w:rPr>
        <w:t>2、临时增加的预算外采购项目，采购单位须向新区办提出申请，经新区办会议审议通过后，依据会议纪要或新区文件填报《政府采购申请表》，填报内容包括拟采购办公用品、货物、工程及服务的名称、采购预算价格、数量、资金来源、交货时间、技术指标和服务要求，财政局将根据采购项目的实际情况增加采购预算，确定采购方式。</w:t>
      </w:r>
    </w:p>
    <w:p>
      <w:pPr>
        <w:spacing w:line="240" w:lineRule="atLeast"/>
        <w:ind w:firstLine="640" w:firstLineChars="200"/>
        <w:rPr>
          <w:rFonts w:ascii="仿宋" w:hAnsi="仿宋" w:cs="仿宋"/>
          <w:szCs w:val="32"/>
        </w:rPr>
      </w:pPr>
      <w:r>
        <w:rPr>
          <w:rFonts w:hint="eastAsia" w:ascii="仿宋" w:hAnsi="仿宋" w:cs="仿宋"/>
          <w:szCs w:val="32"/>
        </w:rPr>
        <w:t>3、临时增加预算外的特急采购项目（指为完成紧急工作任务，来不及报新区会议审议的采购项目），采购单位报请分管领导批准后，可按流程进行采购，并在下一次新区会议予以说明情况。</w:t>
      </w:r>
    </w:p>
    <w:p>
      <w:pPr>
        <w:spacing w:line="240" w:lineRule="atLeast"/>
        <w:ind w:firstLine="645"/>
        <w:rPr>
          <w:rFonts w:ascii="黑体" w:hAnsi="黑体" w:eastAsia="黑体" w:cs="黑体"/>
          <w:b/>
          <w:szCs w:val="32"/>
        </w:rPr>
      </w:pPr>
      <w:r>
        <w:rPr>
          <w:rFonts w:hint="eastAsia" w:ascii="黑体" w:hAnsi="黑体" w:eastAsia="黑体" w:cs="黑体"/>
          <w:b/>
          <w:szCs w:val="32"/>
        </w:rPr>
        <w:t>第五条 采购方式</w:t>
      </w:r>
    </w:p>
    <w:p>
      <w:pPr>
        <w:spacing w:line="240" w:lineRule="atLeast"/>
        <w:ind w:firstLine="640" w:firstLineChars="200"/>
        <w:rPr>
          <w:rFonts w:ascii="仿宋" w:hAnsi="仿宋" w:cs="仿宋"/>
          <w:szCs w:val="32"/>
        </w:rPr>
      </w:pPr>
      <w:r>
        <w:rPr>
          <w:rFonts w:hint="eastAsia" w:ascii="仿宋" w:hAnsi="仿宋" w:cs="仿宋"/>
          <w:szCs w:val="32"/>
        </w:rPr>
        <w:t>1、货物采购</w:t>
      </w:r>
    </w:p>
    <w:p>
      <w:pPr>
        <w:spacing w:line="240" w:lineRule="atLeast"/>
        <w:ind w:firstLine="640" w:firstLineChars="200"/>
        <w:rPr>
          <w:rFonts w:ascii="仿宋" w:hAnsi="仿宋" w:cs="仿宋"/>
          <w:szCs w:val="32"/>
        </w:rPr>
      </w:pPr>
      <w:r>
        <w:rPr>
          <w:rFonts w:hint="eastAsia" w:ascii="仿宋" w:hAnsi="仿宋" w:cs="仿宋"/>
          <w:szCs w:val="32"/>
        </w:rPr>
        <w:t>⑴单项或批量采购预算金额达到200万元以上（含200万元），采用委托招标代理机构公开招标采购。</w:t>
      </w:r>
    </w:p>
    <w:p>
      <w:pPr>
        <w:spacing w:line="240" w:lineRule="atLeast"/>
        <w:ind w:firstLine="640" w:firstLineChars="200"/>
        <w:rPr>
          <w:rFonts w:ascii="仿宋" w:hAnsi="仿宋" w:cs="仿宋"/>
          <w:szCs w:val="32"/>
        </w:rPr>
      </w:pPr>
      <w:r>
        <w:rPr>
          <w:rFonts w:hint="eastAsia" w:ascii="仿宋" w:hAnsi="仿宋" w:cs="仿宋"/>
          <w:szCs w:val="32"/>
        </w:rPr>
        <w:t>⑵单项或批量采购预算金额达到50万元以上（含50万元），200万元以下由财政局委托代理机构按照“中华人民共和国财政部74号令”实施采购。</w:t>
      </w:r>
    </w:p>
    <w:p>
      <w:pPr>
        <w:spacing w:line="240" w:lineRule="atLeast"/>
        <w:ind w:firstLine="640" w:firstLineChars="200"/>
        <w:rPr>
          <w:rFonts w:ascii="仿宋" w:hAnsi="仿宋" w:cs="仿宋"/>
          <w:szCs w:val="32"/>
        </w:rPr>
      </w:pPr>
      <w:r>
        <w:rPr>
          <w:rFonts w:hint="eastAsia" w:ascii="仿宋" w:hAnsi="仿宋" w:cs="仿宋"/>
          <w:szCs w:val="32"/>
        </w:rPr>
        <w:t>⑶单项或批量采购预算金额50万元以下，由财政局组织采购单位按照采购流程共同询价采购。</w:t>
      </w:r>
    </w:p>
    <w:p>
      <w:pPr>
        <w:spacing w:line="240" w:lineRule="atLeast"/>
        <w:ind w:firstLine="640" w:firstLineChars="200"/>
        <w:rPr>
          <w:rFonts w:ascii="仿宋" w:hAnsi="仿宋" w:cs="仿宋"/>
          <w:szCs w:val="32"/>
        </w:rPr>
      </w:pPr>
      <w:r>
        <w:rPr>
          <w:rFonts w:hint="eastAsia" w:ascii="仿宋" w:hAnsi="仿宋" w:cs="仿宋"/>
          <w:szCs w:val="32"/>
        </w:rPr>
        <w:t>2、工程采购</w:t>
      </w:r>
    </w:p>
    <w:p>
      <w:pPr>
        <w:spacing w:line="240" w:lineRule="atLeast"/>
        <w:ind w:firstLine="640" w:firstLineChars="200"/>
        <w:rPr>
          <w:rFonts w:ascii="仿宋" w:hAnsi="仿宋" w:cs="仿宋"/>
          <w:szCs w:val="32"/>
        </w:rPr>
      </w:pPr>
      <w:r>
        <w:rPr>
          <w:rFonts w:hint="eastAsia" w:ascii="仿宋" w:hAnsi="仿宋" w:cs="仿宋"/>
          <w:szCs w:val="32"/>
        </w:rPr>
        <w:t>工程是指新建、扩建、装修、拆除、修缮，以及建设工程相关的勘察、设计、施工、监理等。</w:t>
      </w:r>
    </w:p>
    <w:p>
      <w:pPr>
        <w:spacing w:line="240" w:lineRule="atLeast"/>
        <w:ind w:firstLine="640" w:firstLineChars="200"/>
        <w:rPr>
          <w:rFonts w:ascii="仿宋" w:hAnsi="仿宋" w:cs="仿宋"/>
          <w:szCs w:val="32"/>
        </w:rPr>
      </w:pPr>
      <w:r>
        <w:rPr>
          <w:rFonts w:hint="eastAsia" w:ascii="仿宋" w:hAnsi="仿宋" w:cs="仿宋"/>
          <w:szCs w:val="32"/>
        </w:rPr>
        <w:t>勘察、设计等前期工作及工程施工，采购方式执行《2018-2019年政府采购限额标准和公开招标数额标准》。</w:t>
      </w:r>
    </w:p>
    <w:p>
      <w:pPr>
        <w:spacing w:line="240" w:lineRule="atLeast"/>
        <w:ind w:firstLine="640" w:firstLineChars="200"/>
        <w:rPr>
          <w:rFonts w:ascii="仿宋" w:hAnsi="仿宋" w:cs="仿宋"/>
          <w:szCs w:val="32"/>
        </w:rPr>
      </w:pPr>
      <w:r>
        <w:rPr>
          <w:rFonts w:hint="eastAsia" w:ascii="仿宋" w:hAnsi="仿宋" w:cs="仿宋"/>
          <w:szCs w:val="32"/>
        </w:rPr>
        <w:t>建设局负责与造价咨询单位对接招标控制价（财政局、建设局每年初共同招标确定一家造价编制单位负责新区本年度的工程造价工作），财政局审核本级财政投资项目的招标控制价及工程结算。使用市财政资金的项目，招标控制价和工程结算均由财政局负责上报市财政评审中心审核。</w:t>
      </w:r>
    </w:p>
    <w:p>
      <w:pPr>
        <w:spacing w:line="240" w:lineRule="atLeast"/>
        <w:ind w:firstLine="640" w:firstLineChars="200"/>
        <w:rPr>
          <w:rFonts w:ascii="仿宋" w:hAnsi="仿宋" w:cs="仿宋"/>
          <w:szCs w:val="32"/>
        </w:rPr>
      </w:pPr>
      <w:r>
        <w:rPr>
          <w:rFonts w:hint="eastAsia" w:ascii="仿宋" w:hAnsi="仿宋" w:cs="仿宋"/>
          <w:szCs w:val="32"/>
        </w:rPr>
        <w:t>勘察、设计、造价、监理等咨询服务，资费标准原则不得超过国家参考标准三折，特殊情况由建设局、财政局共同提出建议报新区办会议审议。</w:t>
      </w:r>
    </w:p>
    <w:p>
      <w:pPr>
        <w:spacing w:line="240" w:lineRule="atLeast"/>
        <w:ind w:firstLine="640" w:firstLineChars="200"/>
        <w:rPr>
          <w:rFonts w:ascii="仿宋" w:hAnsi="仿宋" w:cs="仿宋"/>
          <w:szCs w:val="32"/>
        </w:rPr>
      </w:pPr>
      <w:r>
        <w:rPr>
          <w:rFonts w:hint="eastAsia" w:ascii="仿宋" w:hAnsi="仿宋" w:cs="仿宋"/>
          <w:szCs w:val="32"/>
        </w:rPr>
        <w:t>3、服务采购</w:t>
      </w:r>
    </w:p>
    <w:p>
      <w:pPr>
        <w:spacing w:line="240" w:lineRule="atLeast"/>
        <w:ind w:firstLine="640" w:firstLineChars="200"/>
        <w:rPr>
          <w:rFonts w:ascii="仿宋" w:hAnsi="仿宋" w:cs="仿宋"/>
          <w:szCs w:val="32"/>
        </w:rPr>
      </w:pPr>
      <w:r>
        <w:rPr>
          <w:rFonts w:hint="eastAsia" w:ascii="仿宋" w:hAnsi="仿宋" w:cs="仿宋"/>
          <w:szCs w:val="32"/>
        </w:rPr>
        <w:t>服务是指除货物和工程以外的政府采购对象，包括各类专业服务、信息网络开发服务、金融保险服务、运输服务以及维修与维护服务等。</w:t>
      </w:r>
    </w:p>
    <w:p>
      <w:pPr>
        <w:spacing w:line="240" w:lineRule="atLeast"/>
        <w:ind w:firstLine="640" w:firstLineChars="200"/>
        <w:rPr>
          <w:rFonts w:ascii="仿宋" w:hAnsi="仿宋" w:cs="仿宋"/>
          <w:szCs w:val="32"/>
        </w:rPr>
      </w:pPr>
      <w:r>
        <w:rPr>
          <w:rFonts w:hint="eastAsia" w:ascii="仿宋" w:hAnsi="仿宋" w:cs="仿宋"/>
          <w:szCs w:val="32"/>
        </w:rPr>
        <w:t>由新区办年初制定费用包干标准或另行制定管理规定，财政局监督执行。</w:t>
      </w:r>
    </w:p>
    <w:p>
      <w:pPr>
        <w:spacing w:line="240" w:lineRule="atLeast"/>
        <w:ind w:firstLine="643" w:firstLineChars="200"/>
        <w:rPr>
          <w:rFonts w:ascii="黑体" w:hAnsi="黑体" w:eastAsia="黑体" w:cs="黑体"/>
          <w:b/>
          <w:szCs w:val="32"/>
        </w:rPr>
      </w:pPr>
      <w:r>
        <w:rPr>
          <w:rFonts w:hint="eastAsia" w:ascii="黑体" w:hAnsi="黑体" w:eastAsia="黑体" w:cs="黑体"/>
          <w:b/>
          <w:szCs w:val="32"/>
        </w:rPr>
        <w:t>第六条 合同管理</w:t>
      </w:r>
    </w:p>
    <w:p>
      <w:pPr>
        <w:spacing w:line="240" w:lineRule="atLeast"/>
        <w:ind w:firstLine="640" w:firstLineChars="200"/>
        <w:rPr>
          <w:rFonts w:ascii="仿宋" w:hAnsi="仿宋" w:cs="仿宋"/>
          <w:szCs w:val="32"/>
        </w:rPr>
      </w:pPr>
      <w:r>
        <w:rPr>
          <w:rFonts w:hint="eastAsia" w:ascii="仿宋" w:hAnsi="仿宋" w:cs="仿宋"/>
          <w:szCs w:val="32"/>
        </w:rPr>
        <w:t>凡使用新区财政资金签订的采购合同，签订前必须到财政局加盖合同会审专用章，按顺序经申请单位、法律顾问、财政局及分管财政领导审核签字后，报新区办公室签字盖章，合同签订后须报财政局备案。</w:t>
      </w:r>
    </w:p>
    <w:p>
      <w:pPr>
        <w:spacing w:line="240" w:lineRule="atLeast"/>
        <w:ind w:firstLine="640" w:firstLineChars="200"/>
        <w:rPr>
          <w:rFonts w:ascii="仿宋_GB2312" w:hAnsi="仿宋_GB2312" w:eastAsia="仿宋_GB2312" w:cs="仿宋_GB2312"/>
          <w:szCs w:val="32"/>
        </w:rPr>
      </w:pPr>
      <w:r>
        <w:rPr>
          <w:rFonts w:hint="eastAsia" w:ascii="仿宋" w:hAnsi="仿宋" w:cs="仿宋"/>
          <w:szCs w:val="32"/>
        </w:rPr>
        <w:t> 政府采购合同的必备条款包括：采购文件中规定的合同通用条款与专用条款、合同标的质量及数量、合同金额、交货（工）时间及地点、验收、资金支付、违约处理、合同附件、中标通知书等。</w:t>
      </w:r>
    </w:p>
    <w:p>
      <w:pPr>
        <w:spacing w:line="240" w:lineRule="atLeast"/>
        <w:ind w:firstLine="643" w:firstLineChars="200"/>
        <w:rPr>
          <w:rFonts w:ascii="黑体" w:hAnsi="黑体" w:eastAsia="黑体" w:cs="黑体"/>
          <w:b/>
          <w:szCs w:val="32"/>
        </w:rPr>
      </w:pPr>
      <w:r>
        <w:rPr>
          <w:rFonts w:hint="eastAsia" w:ascii="黑体" w:hAnsi="黑体" w:eastAsia="黑体" w:cs="黑体"/>
          <w:b/>
          <w:szCs w:val="32"/>
        </w:rPr>
        <w:t>第七条  验收及管理</w:t>
      </w:r>
    </w:p>
    <w:p>
      <w:pPr>
        <w:spacing w:line="240" w:lineRule="atLeast"/>
        <w:ind w:firstLine="640" w:firstLineChars="200"/>
        <w:rPr>
          <w:rFonts w:ascii="仿宋" w:hAnsi="仿宋" w:cs="仿宋"/>
          <w:szCs w:val="32"/>
        </w:rPr>
      </w:pPr>
      <w:r>
        <w:rPr>
          <w:rFonts w:hint="eastAsia" w:ascii="仿宋" w:hAnsi="仿宋" w:cs="仿宋"/>
          <w:szCs w:val="32"/>
        </w:rPr>
        <w:t>采购单位和财政局根据采购合同约定的时间、地点和方式，共同负责对供应商所提供的货物、工程和服务进行验收。如在验收过程中发现货物数量、规格等与合同要求不符或有表面瑕疵时，按合同约定办理。</w:t>
      </w:r>
    </w:p>
    <w:p>
      <w:pPr>
        <w:spacing w:line="240" w:lineRule="atLeast"/>
        <w:ind w:firstLine="640" w:firstLineChars="200"/>
        <w:rPr>
          <w:rFonts w:ascii="仿宋" w:hAnsi="仿宋" w:cs="仿宋"/>
          <w:szCs w:val="32"/>
        </w:rPr>
      </w:pPr>
      <w:r>
        <w:rPr>
          <w:rFonts w:hint="eastAsia" w:ascii="仿宋" w:hAnsi="仿宋" w:cs="仿宋"/>
          <w:szCs w:val="32"/>
        </w:rPr>
        <w:t>货物验收合格后，由采购单位负责收取发票，财政局负责按合同约定支付款项。验收合格的货物要按规定进行管理，做好出入库登记。</w:t>
      </w:r>
    </w:p>
    <w:p>
      <w:pPr>
        <w:spacing w:line="240" w:lineRule="atLeast"/>
        <w:ind w:firstLine="640" w:firstLineChars="200"/>
        <w:rPr>
          <w:rFonts w:ascii="仿宋" w:hAnsi="仿宋" w:cs="仿宋"/>
          <w:szCs w:val="32"/>
        </w:rPr>
      </w:pPr>
      <w:r>
        <w:rPr>
          <w:rFonts w:hint="eastAsia" w:ascii="仿宋" w:hAnsi="仿宋" w:cs="仿宋"/>
          <w:szCs w:val="32"/>
        </w:rPr>
        <w:t>附件1：白城市生态新区采购货物工作流程（50万元以下）</w:t>
      </w:r>
    </w:p>
    <w:p>
      <w:pPr>
        <w:spacing w:line="240" w:lineRule="atLeast"/>
        <w:ind w:firstLine="640" w:firstLineChars="200"/>
        <w:rPr>
          <w:rFonts w:ascii="仿宋" w:hAnsi="仿宋" w:cs="仿宋"/>
          <w:szCs w:val="32"/>
        </w:rPr>
      </w:pPr>
      <w:r>
        <w:rPr>
          <w:rFonts w:hint="eastAsia" w:ascii="仿宋" w:hAnsi="仿宋" w:cs="仿宋"/>
          <w:szCs w:val="32"/>
        </w:rPr>
        <w:t>附件2：白城市生态新区采购货物工作流程（50万元-200万元）</w:t>
      </w:r>
    </w:p>
    <w:p>
      <w:pPr>
        <w:spacing w:line="240" w:lineRule="atLeast"/>
        <w:ind w:firstLine="640" w:firstLineChars="200"/>
        <w:rPr>
          <w:rFonts w:ascii="仿宋" w:hAnsi="仿宋" w:cs="仿宋"/>
          <w:szCs w:val="32"/>
        </w:rPr>
      </w:pPr>
      <w:r>
        <w:rPr>
          <w:rFonts w:hint="eastAsia" w:ascii="仿宋" w:hAnsi="仿宋" w:cs="仿宋"/>
          <w:szCs w:val="32"/>
        </w:rPr>
        <w:t>附件3：白城市生态新区采购货物工作流程（200万元以上）</w:t>
      </w:r>
    </w:p>
    <w:p>
      <w:pPr>
        <w:jc w:val="left"/>
        <w:rPr>
          <w:rFonts w:ascii="仿宋_GB2312" w:hAnsi="仿宋_GB2312" w:eastAsia="仿宋_GB2312" w:cs="仿宋_GB2312"/>
          <w:szCs w:val="32"/>
        </w:rPr>
      </w:pPr>
    </w:p>
    <w:p>
      <w:pPr>
        <w:jc w:val="left"/>
        <w:rPr>
          <w:rFonts w:ascii="仿宋_GB2312" w:hAnsi="仿宋_GB2312" w:eastAsia="仿宋_GB2312" w:cs="仿宋_GB2312"/>
          <w:szCs w:val="32"/>
        </w:rPr>
      </w:pPr>
      <w:r>
        <w:rPr>
          <w:rFonts w:hint="eastAsia" w:ascii="仿宋_GB2312" w:hAnsi="仿宋_GB2312" w:eastAsia="仿宋_GB2312" w:cs="仿宋_GB2312"/>
          <w:szCs w:val="32"/>
        </w:rPr>
        <w:t>附件1：</w:t>
      </w:r>
    </w:p>
    <w:p>
      <w:pPr>
        <w:jc w:val="center"/>
        <w:rPr>
          <w:rFonts w:ascii="宋体" w:hAnsi="宋体" w:eastAsia="宋体" w:cs="宋体"/>
          <w:b/>
          <w:bCs/>
          <w:sz w:val="44"/>
          <w:szCs w:val="44"/>
        </w:rPr>
      </w:pPr>
      <w:r>
        <w:rPr>
          <w:rFonts w:hint="eastAsia" w:ascii="宋体" w:hAnsi="宋体" w:eastAsia="宋体" w:cs="宋体"/>
          <w:b/>
          <w:bCs/>
          <w:sz w:val="44"/>
          <w:szCs w:val="44"/>
        </w:rPr>
        <w:t>白城市生态新区采购货物工作流程</w:t>
      </w:r>
    </w:p>
    <w:p>
      <w:pPr>
        <w:jc w:val="center"/>
        <w:rPr>
          <w:rFonts w:ascii="仿宋_GB2312" w:hAnsi="仿宋_GB2312" w:eastAsia="仿宋_GB2312" w:cs="仿宋_GB2312"/>
          <w:szCs w:val="32"/>
        </w:rPr>
      </w:pPr>
      <w:r>
        <w:rPr>
          <w:rFonts w:hint="eastAsia" w:ascii="宋体" w:hAnsi="宋体" w:eastAsia="宋体" w:cs="宋体"/>
          <w:b/>
          <w:bCs/>
          <w:szCs w:val="32"/>
        </w:rPr>
        <w:t>（</w:t>
      </w:r>
      <w:r>
        <w:rPr>
          <w:rFonts w:hint="eastAsia" w:ascii="宋体" w:hAnsi="宋体" w:cs="宋体"/>
          <w:b/>
          <w:bCs/>
          <w:szCs w:val="32"/>
        </w:rPr>
        <w:t>50</w:t>
      </w:r>
      <w:r>
        <w:rPr>
          <w:rFonts w:hint="eastAsia" w:ascii="宋体" w:hAnsi="宋体" w:eastAsia="宋体" w:cs="宋体"/>
          <w:b/>
          <w:bCs/>
          <w:szCs w:val="32"/>
        </w:rPr>
        <w:t>万元以下）</w: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6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580" w:type="dxa"/>
            <w:tcBorders>
              <w:top w:val="nil"/>
              <w:left w:val="nil"/>
              <w:bottom w:val="nil"/>
              <w:right w:val="nil"/>
              <w:insideH w:val="nil"/>
              <w:insideV w:val="nil"/>
              <w:tl2br w:val="nil"/>
              <w:tr2bl w:val="nil"/>
            </w:tcBorders>
            <w:shd w:val="clear" w:color="auto" w:fill="auto"/>
          </w:tcPr>
          <w:p>
            <w:pPr>
              <w:jc w:val="center"/>
              <w:rPr>
                <w:rFonts w:ascii="仿宋_GB2312" w:hAnsi="仿宋_GB2312" w:eastAsia="仿宋_GB2312" w:cs="仿宋_GB2312"/>
                <w:color w:val="auto"/>
                <w:szCs w:val="32"/>
              </w:rPr>
            </w:pPr>
            <w:r>
              <w:rPr>
                <w:rFonts w:hint="eastAsia" w:ascii="仿宋_GB2312" w:hAnsi="仿宋_GB2312" w:eastAsia="仿宋_GB2312" w:cs="仿宋_GB2312"/>
                <w:color w:val="auto"/>
                <w:szCs w:val="32"/>
              </w:rPr>
              <w:t>新区办会议确定各单位年度采购计划及临时追加的政府采购项目</w:t>
            </w:r>
          </w:p>
        </w:tc>
      </w:tr>
    </w:tbl>
    <w:p>
      <w:pPr>
        <w:jc w:val="center"/>
        <w:rPr>
          <w:rFonts w:ascii="仿宋_GB2312" w:hAnsi="仿宋_GB2312" w:eastAsia="仿宋_GB2312" w:cs="仿宋_GB2312"/>
          <w:szCs w:val="32"/>
        </w:rPr>
      </w:pPr>
      <w:r>
        <w:rPr>
          <w:rFonts w:hint="eastAsia" w:ascii="仿宋_GB2312" w:hAnsi="仿宋_GB2312" w:eastAsia="仿宋_GB2312" w:cs="仿宋_GB2312"/>
          <w:szCs w:val="32"/>
        </w:rPr>
        <mc:AlternateContent>
          <mc:Choice Requires="wps">
            <w:drawing>
              <wp:anchor distT="0" distB="0" distL="114300" distR="114300" simplePos="0" relativeHeight="251753472" behindDoc="0" locked="0" layoutInCell="1" allowOverlap="1">
                <wp:simplePos x="0" y="0"/>
                <wp:positionH relativeFrom="column">
                  <wp:posOffset>2628900</wp:posOffset>
                </wp:positionH>
                <wp:positionV relativeFrom="paragraph">
                  <wp:posOffset>10160</wp:posOffset>
                </wp:positionV>
                <wp:extent cx="0" cy="396240"/>
                <wp:effectExtent l="63500" t="0" r="69850" b="3810"/>
                <wp:wrapNone/>
                <wp:docPr id="32" name="直接连接符 32"/>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wps:wsp>
                  </a:graphicData>
                </a:graphic>
              </wp:anchor>
            </w:drawing>
          </mc:Choice>
          <mc:Fallback>
            <w:pict>
              <v:line id="_x0000_s1026" o:spid="_x0000_s1026" o:spt="20" style="position:absolute;left:0pt;margin-left:207pt;margin-top:0.8pt;height:31.2pt;width:0pt;z-index:251753472;mso-width-relative:page;mso-height-relative:page;" filled="f" stroked="t" coordsize="21600,21600" o:gfxdata="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mVB620wAAAAgBAAAPAAAAAAAAAAEAIAAAACIAAABkcnMvZG93bnJldi54bWxQSwEC&#10;FAAUAAAACACHTuJA6pkPIvkBAADcAwAADgAAAAAAAAABACAAAAAiAQAAZHJzL2Uyb0RvYy54bWxQ&#10;SwUGAAAAAAYABgBZAQAAjQU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70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626" w:type="dxa"/>
            <w:tcBorders>
              <w:top w:val="nil"/>
              <w:left w:val="nil"/>
              <w:bottom w:val="nil"/>
              <w:right w:val="nil"/>
              <w:insideH w:val="nil"/>
              <w:insideV w:val="nil"/>
              <w:tl2br w:val="nil"/>
              <w:tr2bl w:val="nil"/>
            </w:tcBorders>
            <w:shd w:val="clear" w:color="auto" w:fill="auto"/>
          </w:tcPr>
          <w:p>
            <w:pPr>
              <w:jc w:val="center"/>
              <w:rPr>
                <w:rFonts w:ascii="仿宋_GB2312" w:hAnsi="仿宋_GB2312" w:eastAsia="仿宋_GB2312" w:cs="仿宋_GB2312"/>
                <w:color w:val="auto"/>
                <w:szCs w:val="32"/>
              </w:rPr>
            </w:pPr>
            <w:r>
              <w:rPr>
                <w:rFonts w:hint="eastAsia" w:ascii="仿宋_GB2312" w:hAnsi="仿宋_GB2312" w:eastAsia="仿宋_GB2312" w:cs="仿宋_GB2312"/>
                <w:color w:val="auto"/>
                <w:szCs w:val="32"/>
              </w:rPr>
              <w:t>采购单位填报《政府采购申请表》</w:t>
            </w:r>
          </w:p>
        </w:tc>
      </w:tr>
    </w:tbl>
    <w:p>
      <w:pPr>
        <w:jc w:val="center"/>
        <w:rPr>
          <w:rFonts w:ascii="仿宋_GB2312" w:hAnsi="仿宋_GB2312" w:eastAsia="仿宋_GB2312" w:cs="仿宋_GB2312"/>
          <w:szCs w:val="32"/>
        </w:rPr>
      </w:pPr>
      <w:r>
        <w:rPr>
          <w:rFonts w:hint="eastAsia" w:ascii="仿宋_GB2312" w:hAnsi="仿宋_GB2312" w:eastAsia="仿宋_GB2312" w:cs="仿宋_GB2312"/>
          <w:szCs w:val="32"/>
        </w:rPr>
        <mc:AlternateContent>
          <mc:Choice Requires="wps">
            <w:drawing>
              <wp:anchor distT="0" distB="0" distL="114300" distR="114300" simplePos="0" relativeHeight="251749376" behindDoc="0" locked="0" layoutInCell="1" allowOverlap="1">
                <wp:simplePos x="0" y="0"/>
                <wp:positionH relativeFrom="column">
                  <wp:posOffset>2628900</wp:posOffset>
                </wp:positionH>
                <wp:positionV relativeFrom="paragraph">
                  <wp:posOffset>10160</wp:posOffset>
                </wp:positionV>
                <wp:extent cx="0" cy="396240"/>
                <wp:effectExtent l="63500" t="0" r="69850" b="3810"/>
                <wp:wrapNone/>
                <wp:docPr id="118" name="直接连接符 118"/>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wps:wsp>
                  </a:graphicData>
                </a:graphic>
              </wp:anchor>
            </w:drawing>
          </mc:Choice>
          <mc:Fallback>
            <w:pict>
              <v:line id="_x0000_s1026" o:spid="_x0000_s1026" o:spt="20" style="position:absolute;left:0pt;margin-left:207pt;margin-top:0.8pt;height:31.2pt;width:0pt;z-index:251749376;mso-width-relative:page;mso-height-relative:page;" filled="f" stroked="t" coordsize="21600,21600" o:gfxdata="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mVB620wAAAAgBAAAPAAAAAAAAAAEAIAAAACIAAABkcnMvZG93bnJldi54bWxQSwEC&#10;FAAUAAAACACHTuJAqn+rwPkBAADeAwAADgAAAAAAAAABACAAAAAiAQAAZHJzL2Uyb0RvYy54bWxQ&#10;SwUGAAAAAAYABgBZAQAAjQU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72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644" w:type="dxa"/>
            <w:tcBorders>
              <w:top w:val="nil"/>
              <w:left w:val="nil"/>
              <w:bottom w:val="nil"/>
              <w:right w:val="nil"/>
              <w:insideH w:val="nil"/>
              <w:insideV w:val="nil"/>
              <w:tl2br w:val="nil"/>
              <w:tr2bl w:val="nil"/>
            </w:tcBorders>
            <w:shd w:val="clear" w:color="auto" w:fill="auto"/>
          </w:tcPr>
          <w:p>
            <w:pPr>
              <w:jc w:val="center"/>
              <w:rPr>
                <w:rFonts w:ascii="仿宋_GB2312" w:hAnsi="仿宋_GB2312" w:eastAsia="仿宋_GB2312" w:cs="仿宋_GB2312"/>
                <w:color w:val="auto"/>
                <w:szCs w:val="32"/>
              </w:rPr>
            </w:pPr>
            <w:r>
              <w:rPr>
                <w:rFonts w:hint="eastAsia" w:ascii="仿宋_GB2312" w:hAnsi="仿宋_GB2312" w:eastAsia="仿宋_GB2312" w:cs="仿宋_GB2312"/>
                <w:color w:val="auto"/>
                <w:szCs w:val="32"/>
              </w:rPr>
              <w:t>财政局协同采购单位共同询价确定供应商</w:t>
            </w:r>
          </w:p>
        </w:tc>
      </w:tr>
    </w:tbl>
    <w:p>
      <w:pPr>
        <w:jc w:val="center"/>
        <w:rPr>
          <w:rFonts w:ascii="仿宋_GB2312" w:hAnsi="仿宋_GB2312" w:eastAsia="仿宋_GB2312" w:cs="仿宋_GB2312"/>
          <w:szCs w:val="32"/>
        </w:rPr>
      </w:pPr>
      <w:r>
        <w:rPr>
          <w:rFonts w:hint="eastAsia" w:ascii="仿宋_GB2312" w:hAnsi="仿宋_GB2312" w:eastAsia="仿宋_GB2312" w:cs="仿宋_GB2312"/>
          <w:szCs w:val="32"/>
        </w:rPr>
        <mc:AlternateContent>
          <mc:Choice Requires="wps">
            <w:drawing>
              <wp:anchor distT="0" distB="0" distL="114300" distR="114300" simplePos="0" relativeHeight="251750400" behindDoc="0" locked="0" layoutInCell="1" allowOverlap="1">
                <wp:simplePos x="0" y="0"/>
                <wp:positionH relativeFrom="column">
                  <wp:posOffset>2628900</wp:posOffset>
                </wp:positionH>
                <wp:positionV relativeFrom="paragraph">
                  <wp:posOffset>20320</wp:posOffset>
                </wp:positionV>
                <wp:extent cx="0" cy="396240"/>
                <wp:effectExtent l="63500" t="0" r="69850" b="3810"/>
                <wp:wrapNone/>
                <wp:docPr id="116" name="直接连接符 116"/>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wps:wsp>
                  </a:graphicData>
                </a:graphic>
              </wp:anchor>
            </w:drawing>
          </mc:Choice>
          <mc:Fallback>
            <w:pict>
              <v:line id="_x0000_s1026" o:spid="_x0000_s1026" o:spt="20" style="position:absolute;left:0pt;margin-left:207pt;margin-top:1.6pt;height:31.2pt;width:0pt;z-index:251750400;mso-width-relative:page;mso-height-relative:page;" filled="f" stroked="t" coordsize="21600,21600" o:gfxdata="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xRkrNQAAAAIAQAADwAAAAAAAAABACAAAAAiAAAAZHJzL2Rvd25yZXYueG1sUEsB&#10;AhQAFAAAAAgAh07iQNV0RBX5AQAA3gMAAA4AAAAAAAAAAQAgAAAAIwEAAGRycy9lMm9Eb2MueG1s&#10;UEsFBgAAAAAGAAYAWQEAAI4FA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740" w:type="dxa"/>
            <w:tcBorders>
              <w:top w:val="nil"/>
              <w:left w:val="nil"/>
              <w:bottom w:val="nil"/>
              <w:right w:val="nil"/>
              <w:insideH w:val="nil"/>
              <w:insideV w:val="nil"/>
              <w:tl2br w:val="nil"/>
              <w:tr2bl w:val="nil"/>
            </w:tcBorders>
            <w:shd w:val="clear" w:color="auto" w:fill="auto"/>
          </w:tcPr>
          <w:p>
            <w:pPr>
              <w:jc w:val="center"/>
              <w:rPr>
                <w:rFonts w:ascii="仿宋_GB2312" w:hAnsi="仿宋_GB2312" w:eastAsia="仿宋_GB2312" w:cs="仿宋_GB2312"/>
                <w:color w:val="auto"/>
                <w:szCs w:val="32"/>
              </w:rPr>
            </w:pPr>
            <w:r>
              <w:rPr>
                <w:rFonts w:hint="eastAsia" w:ascii="仿宋_GB2312" w:hAnsi="仿宋_GB2312" w:eastAsia="仿宋_GB2312" w:cs="仿宋_GB2312"/>
                <w:color w:val="auto"/>
                <w:szCs w:val="32"/>
              </w:rPr>
              <w:t>采购单位组织会签《供货合同》</w:t>
            </w:r>
          </w:p>
        </w:tc>
      </w:tr>
    </w:tbl>
    <w:p>
      <w:pPr>
        <w:jc w:val="center"/>
        <w:rPr>
          <w:rFonts w:ascii="仿宋_GB2312" w:hAnsi="仿宋_GB2312" w:eastAsia="仿宋_GB2312" w:cs="仿宋_GB2312"/>
          <w:szCs w:val="32"/>
        </w:rPr>
      </w:pPr>
      <w:r>
        <w:rPr>
          <w:rFonts w:hint="eastAsia" w:ascii="仿宋_GB2312" w:hAnsi="仿宋_GB2312" w:eastAsia="仿宋_GB2312" w:cs="仿宋_GB2312"/>
          <w:szCs w:val="32"/>
        </w:rPr>
        <mc:AlternateContent>
          <mc:Choice Requires="wps">
            <w:drawing>
              <wp:anchor distT="0" distB="0" distL="114300" distR="114300" simplePos="0" relativeHeight="251751424" behindDoc="0" locked="0" layoutInCell="1" allowOverlap="1">
                <wp:simplePos x="0" y="0"/>
                <wp:positionH relativeFrom="column">
                  <wp:posOffset>2628900</wp:posOffset>
                </wp:positionH>
                <wp:positionV relativeFrom="paragraph">
                  <wp:posOffset>30480</wp:posOffset>
                </wp:positionV>
                <wp:extent cx="0" cy="396240"/>
                <wp:effectExtent l="63500" t="0" r="69850" b="3810"/>
                <wp:wrapNone/>
                <wp:docPr id="107" name="直接连接符 107"/>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wps:wsp>
                  </a:graphicData>
                </a:graphic>
              </wp:anchor>
            </w:drawing>
          </mc:Choice>
          <mc:Fallback>
            <w:pict>
              <v:line id="_x0000_s1026" o:spid="_x0000_s1026" o:spt="20" style="position:absolute;left:0pt;margin-left:207pt;margin-top:2.4pt;height:31.2pt;width:0pt;z-index:251751424;mso-width-relative:page;mso-height-relative:page;" filled="f" stroked="t" coordsize="21600,21600" o:gfxdata="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xjAOtQAAAAIAQAADwAAAAAAAAABACAAAAAiAAAAZHJzL2Rvd25yZXYueG1sUEsB&#10;AhQAFAAAAAgAh07iQIyAZ/v5AQAA3gMAAA4AAAAAAAAAAQAgAAAAIwEAAGRycy9lMm9Eb2MueG1s&#10;UEsFBgAAAAAGAAYAWQEAAI4FA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9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842" w:type="dxa"/>
            <w:tcBorders>
              <w:top w:val="nil"/>
              <w:left w:val="nil"/>
              <w:bottom w:val="nil"/>
              <w:right w:val="nil"/>
              <w:insideH w:val="nil"/>
              <w:insideV w:val="nil"/>
              <w:tl2br w:val="nil"/>
              <w:tr2bl w:val="nil"/>
            </w:tcBorders>
            <w:shd w:val="clear" w:color="auto" w:fill="auto"/>
          </w:tcPr>
          <w:p>
            <w:pPr>
              <w:jc w:val="center"/>
              <w:rPr>
                <w:rFonts w:ascii="仿宋_GB2312" w:hAnsi="仿宋_GB2312" w:eastAsia="仿宋_GB2312" w:cs="仿宋_GB2312"/>
                <w:color w:val="auto"/>
                <w:szCs w:val="32"/>
              </w:rPr>
            </w:pPr>
            <w:r>
              <w:rPr>
                <w:rFonts w:hint="eastAsia" w:ascii="仿宋_GB2312" w:hAnsi="仿宋_GB2312" w:eastAsia="仿宋_GB2312" w:cs="仿宋_GB2312"/>
                <w:color w:val="auto"/>
                <w:szCs w:val="32"/>
              </w:rPr>
              <w:t>采购单位组织验收货物、收取发票、入库登记</w:t>
            </w:r>
          </w:p>
        </w:tc>
      </w:tr>
    </w:tbl>
    <w:p>
      <w:pPr>
        <w:jc w:val="center"/>
        <w:rPr>
          <w:rFonts w:ascii="仿宋_GB2312" w:hAnsi="仿宋_GB2312" w:eastAsia="仿宋_GB2312" w:cs="仿宋_GB2312"/>
          <w:szCs w:val="32"/>
        </w:rPr>
      </w:pPr>
      <w:r>
        <w:rPr>
          <w:rFonts w:hint="eastAsia" w:ascii="仿宋_GB2312" w:hAnsi="仿宋_GB2312" w:eastAsia="仿宋_GB2312" w:cs="仿宋_GB2312"/>
          <w:szCs w:val="32"/>
        </w:rPr>
        <mc:AlternateContent>
          <mc:Choice Requires="wps">
            <w:drawing>
              <wp:anchor distT="0" distB="0" distL="114300" distR="114300" simplePos="0" relativeHeight="251752448" behindDoc="0" locked="0" layoutInCell="1" allowOverlap="1">
                <wp:simplePos x="0" y="0"/>
                <wp:positionH relativeFrom="column">
                  <wp:posOffset>2628900</wp:posOffset>
                </wp:positionH>
                <wp:positionV relativeFrom="paragraph">
                  <wp:posOffset>40640</wp:posOffset>
                </wp:positionV>
                <wp:extent cx="0" cy="396240"/>
                <wp:effectExtent l="63500" t="0" r="69850" b="3810"/>
                <wp:wrapNone/>
                <wp:docPr id="120" name="直接连接符 120"/>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wps:wsp>
                  </a:graphicData>
                </a:graphic>
              </wp:anchor>
            </w:drawing>
          </mc:Choice>
          <mc:Fallback>
            <w:pict>
              <v:line id="_x0000_s1026" o:spid="_x0000_s1026" o:spt="20" style="position:absolute;left:0pt;margin-left:207pt;margin-top:3.2pt;height:31.2pt;width:0pt;z-index:251752448;mso-width-relative:page;mso-height-relative:page;" filled="f" stroked="t" coordsize="21600,21600" o:gfxdata="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8siup0wAAAAgBAAAPAAAAAAAAAAEAIAAAACIAAABkcnMvZG93bnJldi54bWxQSwEC&#10;FAAUAAAACACHTuJAMrGaFPkBAADeAwAADgAAAAAAAAABACAAAAAiAQAAZHJzL2Uyb0RvYy54bWxQ&#10;SwUGAAAAAAYABgBZAQAAjQU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703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950" w:type="dxa"/>
            <w:tcBorders>
              <w:top w:val="nil"/>
              <w:left w:val="nil"/>
              <w:bottom w:val="nil"/>
              <w:right w:val="nil"/>
              <w:insideH w:val="nil"/>
              <w:insideV w:val="nil"/>
              <w:tl2br w:val="nil"/>
              <w:tr2bl w:val="nil"/>
            </w:tcBorders>
            <w:shd w:val="clear" w:color="auto" w:fill="auto"/>
          </w:tcPr>
          <w:p>
            <w:pPr>
              <w:jc w:val="center"/>
              <w:rPr>
                <w:rFonts w:ascii="仿宋_GB2312" w:hAnsi="仿宋_GB2312" w:eastAsia="仿宋_GB2312" w:cs="仿宋_GB2312"/>
                <w:color w:val="auto"/>
                <w:szCs w:val="32"/>
              </w:rPr>
            </w:pPr>
            <w:r>
              <w:rPr>
                <w:rFonts w:hint="eastAsia" w:ascii="仿宋_GB2312" w:hAnsi="仿宋_GB2312" w:eastAsia="仿宋_GB2312" w:cs="仿宋_GB2312"/>
                <w:color w:val="auto"/>
                <w:szCs w:val="32"/>
              </w:rPr>
              <w:t>财政局按合同支付款项、发票入账</w:t>
            </w:r>
          </w:p>
        </w:tc>
      </w:tr>
    </w:tbl>
    <w:p>
      <w:pPr>
        <w:jc w:val="center"/>
        <w:rPr>
          <w:rFonts w:ascii="仿宋_GB2312" w:hAnsi="仿宋_GB2312" w:eastAsia="仿宋_GB2312" w:cs="仿宋_GB2312"/>
          <w:szCs w:val="32"/>
        </w:rPr>
      </w:pPr>
    </w:p>
    <w:p>
      <w:pPr>
        <w:jc w:val="center"/>
        <w:rPr>
          <w:rFonts w:ascii="仿宋_GB2312" w:hAnsi="仿宋_GB2312" w:eastAsia="仿宋_GB2312" w:cs="仿宋_GB2312"/>
          <w:szCs w:val="32"/>
        </w:rPr>
      </w:pPr>
    </w:p>
    <w:p>
      <w:pPr>
        <w:jc w:val="center"/>
        <w:rPr>
          <w:rFonts w:ascii="仿宋_GB2312" w:hAnsi="仿宋_GB2312" w:eastAsia="仿宋_GB2312" w:cs="仿宋_GB2312"/>
          <w:szCs w:val="32"/>
        </w:rPr>
      </w:pPr>
    </w:p>
    <w:p>
      <w:pPr>
        <w:rPr>
          <w:rFonts w:ascii="仿宋_GB2312" w:hAnsi="仿宋_GB2312" w:eastAsia="仿宋_GB2312" w:cs="仿宋_GB2312"/>
          <w:szCs w:val="32"/>
        </w:rPr>
      </w:pPr>
    </w:p>
    <w:p>
      <w:pPr>
        <w:rPr>
          <w:rFonts w:ascii="仿宋_GB2312" w:hAnsi="仿宋_GB2312" w:eastAsia="仿宋_GB2312" w:cs="仿宋_GB2312"/>
          <w:szCs w:val="32"/>
        </w:rPr>
      </w:pPr>
    </w:p>
    <w:p>
      <w:pPr>
        <w:rPr>
          <w:rFonts w:ascii="仿宋_GB2312" w:hAnsi="仿宋_GB2312" w:eastAsia="仿宋_GB2312" w:cs="仿宋_GB2312"/>
          <w:szCs w:val="32"/>
        </w:rPr>
      </w:pPr>
    </w:p>
    <w:p>
      <w:pPr>
        <w:jc w:val="left"/>
        <w:rPr>
          <w:rFonts w:ascii="仿宋_GB2312" w:hAnsi="仿宋_GB2312" w:eastAsia="仿宋_GB2312" w:cs="仿宋_GB2312"/>
          <w:szCs w:val="32"/>
        </w:rPr>
      </w:pPr>
      <w:r>
        <w:rPr>
          <w:rFonts w:hint="eastAsia" w:ascii="仿宋_GB2312" w:hAnsi="仿宋_GB2312" w:eastAsia="仿宋_GB2312" w:cs="仿宋_GB2312"/>
          <w:szCs w:val="32"/>
        </w:rPr>
        <w:t>附件2：</w:t>
      </w:r>
    </w:p>
    <w:p>
      <w:pPr>
        <w:jc w:val="center"/>
        <w:rPr>
          <w:rFonts w:ascii="宋体" w:hAnsi="宋体" w:eastAsia="宋体" w:cs="宋体"/>
          <w:b/>
          <w:bCs/>
          <w:sz w:val="44"/>
          <w:szCs w:val="44"/>
        </w:rPr>
      </w:pPr>
      <w:r>
        <w:rPr>
          <w:rFonts w:hint="eastAsia" w:ascii="宋体" w:hAnsi="宋体" w:eastAsia="宋体" w:cs="宋体"/>
          <w:b/>
          <w:bCs/>
          <w:sz w:val="44"/>
          <w:szCs w:val="44"/>
        </w:rPr>
        <w:t>白城市生态新区采购货物工作流程</w:t>
      </w:r>
    </w:p>
    <w:p>
      <w:pPr>
        <w:jc w:val="center"/>
        <w:rPr>
          <w:rFonts w:ascii="仿宋_GB2312" w:hAnsi="仿宋_GB2312" w:eastAsia="仿宋_GB2312" w:cs="仿宋_GB2312"/>
          <w:szCs w:val="32"/>
        </w:rPr>
      </w:pPr>
      <w:r>
        <w:rPr>
          <w:rFonts w:hint="eastAsia" w:ascii="宋体" w:hAnsi="宋体" w:eastAsia="宋体" w:cs="宋体"/>
          <w:b/>
          <w:bCs/>
          <w:szCs w:val="32"/>
        </w:rPr>
        <w:t>（</w:t>
      </w:r>
      <w:r>
        <w:rPr>
          <w:rFonts w:hint="eastAsia" w:ascii="宋体" w:hAnsi="宋体" w:cs="宋体"/>
          <w:b/>
          <w:bCs/>
          <w:szCs w:val="32"/>
        </w:rPr>
        <w:t>50</w:t>
      </w:r>
      <w:r>
        <w:rPr>
          <w:rFonts w:hint="eastAsia" w:ascii="宋体" w:hAnsi="宋体" w:eastAsia="宋体" w:cs="宋体"/>
          <w:b/>
          <w:bCs/>
          <w:szCs w:val="32"/>
        </w:rPr>
        <w:t>万元-20</w:t>
      </w:r>
      <w:r>
        <w:rPr>
          <w:rFonts w:hint="eastAsia" w:ascii="宋体" w:hAnsi="宋体" w:cs="宋体"/>
          <w:b/>
          <w:bCs/>
          <w:szCs w:val="32"/>
        </w:rPr>
        <w:t>0</w:t>
      </w:r>
      <w:r>
        <w:rPr>
          <w:rFonts w:hint="eastAsia" w:ascii="宋体" w:hAnsi="宋体" w:eastAsia="宋体" w:cs="宋体"/>
          <w:b/>
          <w:bCs/>
          <w:szCs w:val="32"/>
        </w:rPr>
        <w:t>万元）</w: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6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580" w:type="dxa"/>
            <w:tcBorders>
              <w:top w:val="nil"/>
              <w:left w:val="nil"/>
              <w:bottom w:val="nil"/>
              <w:right w:val="nil"/>
              <w:insideH w:val="nil"/>
              <w:insideV w:val="nil"/>
              <w:tl2br w:val="nil"/>
              <w:tr2bl w:val="nil"/>
            </w:tcBorders>
            <w:shd w:val="clear" w:color="auto" w:fill="auto"/>
          </w:tcPr>
          <w:p>
            <w:pPr>
              <w:jc w:val="center"/>
              <w:rPr>
                <w:rFonts w:ascii="仿宋_GB2312" w:hAnsi="仿宋_GB2312" w:eastAsia="仿宋_GB2312" w:cs="仿宋_GB2312"/>
                <w:color w:val="auto"/>
                <w:szCs w:val="32"/>
              </w:rPr>
            </w:pPr>
            <w:r>
              <w:rPr>
                <w:rFonts w:hint="eastAsia" w:ascii="仿宋_GB2312" w:hAnsi="仿宋_GB2312" w:eastAsia="仿宋_GB2312" w:cs="仿宋_GB2312"/>
                <w:color w:val="auto"/>
                <w:szCs w:val="32"/>
              </w:rPr>
              <w:t>新区办会议确定各单位年度采购计划及临时追加的政府采购项目</w:t>
            </w:r>
          </w:p>
        </w:tc>
      </w:tr>
    </w:tbl>
    <w:p>
      <w:pPr>
        <w:jc w:val="center"/>
        <w:rPr>
          <w:rFonts w:ascii="仿宋_GB2312" w:hAnsi="仿宋_GB2312" w:eastAsia="仿宋_GB2312" w:cs="仿宋_GB2312"/>
          <w:szCs w:val="32"/>
        </w:rPr>
      </w:pPr>
      <w:r>
        <w:rPr>
          <w:rFonts w:hint="eastAsia" w:ascii="仿宋_GB2312" w:hAnsi="仿宋_GB2312" w:eastAsia="仿宋_GB2312" w:cs="仿宋_GB2312"/>
          <w:szCs w:val="32"/>
        </w:rPr>
        <mc:AlternateContent>
          <mc:Choice Requires="wps">
            <w:drawing>
              <wp:anchor distT="0" distB="0" distL="114300" distR="114300" simplePos="0" relativeHeight="251759616" behindDoc="0" locked="0" layoutInCell="1" allowOverlap="1">
                <wp:simplePos x="0" y="0"/>
                <wp:positionH relativeFrom="column">
                  <wp:posOffset>2628900</wp:posOffset>
                </wp:positionH>
                <wp:positionV relativeFrom="paragraph">
                  <wp:posOffset>10160</wp:posOffset>
                </wp:positionV>
                <wp:extent cx="0" cy="396240"/>
                <wp:effectExtent l="63500" t="0" r="69850" b="3810"/>
                <wp:wrapNone/>
                <wp:docPr id="35" name="直接连接符 35"/>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wps:wsp>
                  </a:graphicData>
                </a:graphic>
              </wp:anchor>
            </w:drawing>
          </mc:Choice>
          <mc:Fallback>
            <w:pict>
              <v:line id="_x0000_s1026" o:spid="_x0000_s1026" o:spt="20" style="position:absolute;left:0pt;margin-left:207pt;margin-top:0.8pt;height:31.2pt;width:0pt;z-index:251759616;mso-width-relative:page;mso-height-relative:page;" filled="f" stroked="t" coordsize="21600,21600" o:gfxdata="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ZUHrbTAAAACAEAAA8AAAAAAAAAAQAgAAAAIgAAAGRycy9kb3ducmV2LnhtbFBLAQIU&#10;ABQAAAAIAIdO4kCnCw4e+AEAANwDAAAOAAAAAAAAAAEAIAAAACIBAABkcnMvZTJvRG9jLnhtbFBL&#10;BQYAAAAABgAGAFkBAACMBQ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70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626" w:type="dxa"/>
            <w:tcBorders>
              <w:top w:val="nil"/>
              <w:left w:val="nil"/>
              <w:bottom w:val="nil"/>
              <w:right w:val="nil"/>
              <w:insideH w:val="nil"/>
              <w:insideV w:val="nil"/>
              <w:tl2br w:val="nil"/>
              <w:tr2bl w:val="nil"/>
            </w:tcBorders>
            <w:shd w:val="clear" w:color="auto" w:fill="auto"/>
          </w:tcPr>
          <w:p>
            <w:pPr>
              <w:jc w:val="center"/>
              <w:rPr>
                <w:rFonts w:ascii="仿宋_GB2312" w:hAnsi="仿宋_GB2312" w:eastAsia="仿宋_GB2312" w:cs="仿宋_GB2312"/>
                <w:color w:val="auto"/>
                <w:szCs w:val="32"/>
              </w:rPr>
            </w:pPr>
            <w:r>
              <w:rPr>
                <w:rFonts w:hint="eastAsia" w:ascii="仿宋_GB2312" w:hAnsi="仿宋_GB2312" w:eastAsia="仿宋_GB2312" w:cs="仿宋_GB2312"/>
                <w:color w:val="auto"/>
                <w:szCs w:val="32"/>
              </w:rPr>
              <w:t>财政局协同采购单位共同询价确定采购预算</w:t>
            </w:r>
          </w:p>
        </w:tc>
      </w:tr>
    </w:tbl>
    <w:p>
      <w:pPr>
        <w:jc w:val="center"/>
        <w:rPr>
          <w:rFonts w:ascii="仿宋_GB2312" w:hAnsi="仿宋_GB2312" w:eastAsia="仿宋_GB2312" w:cs="仿宋_GB2312"/>
          <w:szCs w:val="32"/>
        </w:rPr>
      </w:pPr>
      <w:r>
        <w:rPr>
          <w:rFonts w:hint="eastAsia" w:ascii="仿宋_GB2312" w:hAnsi="仿宋_GB2312" w:eastAsia="仿宋_GB2312" w:cs="仿宋_GB2312"/>
          <w:szCs w:val="32"/>
        </w:rPr>
        <mc:AlternateContent>
          <mc:Choice Requires="wps">
            <w:drawing>
              <wp:anchor distT="0" distB="0" distL="114300" distR="114300" simplePos="0" relativeHeight="251754496" behindDoc="0" locked="0" layoutInCell="1" allowOverlap="1">
                <wp:simplePos x="0" y="0"/>
                <wp:positionH relativeFrom="column">
                  <wp:posOffset>2628900</wp:posOffset>
                </wp:positionH>
                <wp:positionV relativeFrom="paragraph">
                  <wp:posOffset>10160</wp:posOffset>
                </wp:positionV>
                <wp:extent cx="0" cy="396240"/>
                <wp:effectExtent l="63500" t="0" r="69850" b="3810"/>
                <wp:wrapNone/>
                <wp:docPr id="121" name="直接连接符 121"/>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wps:wsp>
                  </a:graphicData>
                </a:graphic>
              </wp:anchor>
            </w:drawing>
          </mc:Choice>
          <mc:Fallback>
            <w:pict>
              <v:line id="_x0000_s1026" o:spid="_x0000_s1026" o:spt="20" style="position:absolute;left:0pt;margin-left:207pt;margin-top:0.8pt;height:31.2pt;width:0pt;z-index:251754496;mso-width-relative:page;mso-height-relative:page;" filled="f" stroked="t" coordsize="21600,21600" o:gfxdata="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mVB620wAAAAgBAAAPAAAAAAAAAAEAIAAAACIAAABkcnMvZG93bnJldi54bWxQSwEC&#10;FAAUAAAACACHTuJA291YI/kBAADeAwAADgAAAAAAAAABACAAAAAiAQAAZHJzL2Uyb0RvYy54bWxQ&#10;SwUGAAAAAAYABgBZAQAAjQU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72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644" w:type="dxa"/>
            <w:tcBorders>
              <w:top w:val="nil"/>
              <w:left w:val="nil"/>
              <w:bottom w:val="nil"/>
              <w:right w:val="nil"/>
              <w:insideH w:val="nil"/>
              <w:insideV w:val="nil"/>
              <w:tl2br w:val="nil"/>
              <w:tr2bl w:val="nil"/>
            </w:tcBorders>
            <w:shd w:val="clear" w:color="auto" w:fill="auto"/>
          </w:tcPr>
          <w:p>
            <w:pPr>
              <w:jc w:val="center"/>
              <w:rPr>
                <w:rFonts w:ascii="仿宋_GB2312" w:hAnsi="仿宋_GB2312" w:eastAsia="仿宋_GB2312" w:cs="仿宋_GB2312"/>
                <w:color w:val="auto"/>
                <w:szCs w:val="32"/>
              </w:rPr>
            </w:pPr>
            <w:r>
              <w:rPr>
                <w:rFonts w:hint="eastAsia" w:ascii="仿宋_GB2312" w:hAnsi="仿宋_GB2312" w:eastAsia="仿宋_GB2312" w:cs="仿宋_GB2312"/>
                <w:color w:val="auto"/>
                <w:szCs w:val="32"/>
              </w:rPr>
              <w:t>采购单位填报《政府采购申请表》</w:t>
            </w:r>
          </w:p>
        </w:tc>
      </w:tr>
    </w:tbl>
    <w:p>
      <w:pPr>
        <w:jc w:val="center"/>
        <w:rPr>
          <w:rFonts w:ascii="仿宋_GB2312" w:hAnsi="仿宋_GB2312" w:eastAsia="仿宋_GB2312" w:cs="仿宋_GB2312"/>
          <w:szCs w:val="32"/>
        </w:rPr>
      </w:pPr>
      <w:r>
        <w:rPr>
          <w:rFonts w:hint="eastAsia" w:ascii="仿宋_GB2312" w:hAnsi="仿宋_GB2312" w:eastAsia="仿宋_GB2312" w:cs="仿宋_GB2312"/>
          <w:szCs w:val="32"/>
        </w:rPr>
        <mc:AlternateContent>
          <mc:Choice Requires="wps">
            <w:drawing>
              <wp:anchor distT="0" distB="0" distL="114300" distR="114300" simplePos="0" relativeHeight="251755520" behindDoc="0" locked="0" layoutInCell="1" allowOverlap="1">
                <wp:simplePos x="0" y="0"/>
                <wp:positionH relativeFrom="column">
                  <wp:posOffset>2628900</wp:posOffset>
                </wp:positionH>
                <wp:positionV relativeFrom="paragraph">
                  <wp:posOffset>20320</wp:posOffset>
                </wp:positionV>
                <wp:extent cx="0" cy="396240"/>
                <wp:effectExtent l="63500" t="0" r="69850" b="3810"/>
                <wp:wrapNone/>
                <wp:docPr id="122" name="直接连接符 122"/>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wps:wsp>
                  </a:graphicData>
                </a:graphic>
              </wp:anchor>
            </w:drawing>
          </mc:Choice>
          <mc:Fallback>
            <w:pict>
              <v:line id="_x0000_s1026" o:spid="_x0000_s1026" o:spt="20" style="position:absolute;left:0pt;margin-left:207pt;margin-top:1.6pt;height:31.2pt;width:0pt;z-index:251755520;mso-width-relative:page;mso-height-relative:page;" filled="f" stroked="t" coordsize="21600,21600" o:gfxdata="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xRkrNQAAAAIAQAADwAAAAAAAAABACAAAAAiAAAAZHJzL2Rvd25yZXYueG1sUEsB&#10;AhQAFAAAAAgAh07iQOBoHnv5AQAA3gMAAA4AAAAAAAAAAQAgAAAAIwEAAGRycy9lMm9Eb2MueG1s&#10;UEsFBgAAAAAGAAYAWQEAAI4FA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740" w:type="dxa"/>
            <w:tcBorders>
              <w:top w:val="nil"/>
              <w:left w:val="nil"/>
              <w:bottom w:val="nil"/>
              <w:right w:val="nil"/>
              <w:insideH w:val="nil"/>
              <w:insideV w:val="nil"/>
              <w:tl2br w:val="nil"/>
              <w:tr2bl w:val="nil"/>
            </w:tcBorders>
            <w:shd w:val="clear" w:color="auto" w:fill="auto"/>
          </w:tcPr>
          <w:p>
            <w:pPr>
              <w:jc w:val="center"/>
              <w:rPr>
                <w:rFonts w:ascii="仿宋_GB2312" w:hAnsi="仿宋_GB2312" w:eastAsia="仿宋_GB2312" w:cs="仿宋_GB2312"/>
                <w:color w:val="auto"/>
                <w:szCs w:val="32"/>
              </w:rPr>
            </w:pPr>
            <w:r>
              <w:rPr>
                <w:rFonts w:hint="eastAsia" w:ascii="仿宋_GB2312" w:hAnsi="仿宋_GB2312" w:eastAsia="仿宋_GB2312" w:cs="仿宋_GB2312"/>
                <w:color w:val="auto"/>
                <w:szCs w:val="32"/>
              </w:rPr>
              <w:t>财政局委托代理机构</w:t>
            </w:r>
          </w:p>
        </w:tc>
      </w:tr>
    </w:tbl>
    <w:p>
      <w:pPr>
        <w:jc w:val="center"/>
        <w:rPr>
          <w:rFonts w:ascii="仿宋_GB2312" w:hAnsi="仿宋_GB2312" w:eastAsia="仿宋_GB2312" w:cs="仿宋_GB2312"/>
          <w:szCs w:val="32"/>
        </w:rPr>
      </w:pPr>
      <w:r>
        <w:rPr>
          <w:rFonts w:hint="eastAsia" w:ascii="仿宋_GB2312" w:hAnsi="仿宋_GB2312" w:eastAsia="仿宋_GB2312" w:cs="仿宋_GB2312"/>
          <w:szCs w:val="32"/>
        </w:rPr>
        <mc:AlternateContent>
          <mc:Choice Requires="wps">
            <w:drawing>
              <wp:anchor distT="0" distB="0" distL="114300" distR="114300" simplePos="0" relativeHeight="251756544" behindDoc="0" locked="0" layoutInCell="1" allowOverlap="1">
                <wp:simplePos x="0" y="0"/>
                <wp:positionH relativeFrom="column">
                  <wp:posOffset>2628900</wp:posOffset>
                </wp:positionH>
                <wp:positionV relativeFrom="paragraph">
                  <wp:posOffset>30480</wp:posOffset>
                </wp:positionV>
                <wp:extent cx="0" cy="396240"/>
                <wp:effectExtent l="63500" t="0" r="69850" b="3810"/>
                <wp:wrapNone/>
                <wp:docPr id="123" name="直接连接符 123"/>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wps:wsp>
                  </a:graphicData>
                </a:graphic>
              </wp:anchor>
            </w:drawing>
          </mc:Choice>
          <mc:Fallback>
            <w:pict>
              <v:line id="_x0000_s1026" o:spid="_x0000_s1026" o:spt="20" style="position:absolute;left:0pt;margin-left:207pt;margin-top:2.4pt;height:31.2pt;width:0pt;z-index:251756544;mso-width-relative:page;mso-height-relative:page;" filled="f" stroked="t" coordsize="21600,21600" o:gfxdata="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xjAOtQAAAAIAQAADwAAAAAAAAABACAAAAAiAAAAZHJzL2Rvd25yZXYueG1sUEsB&#10;AhQAFAAAAAgAh07iQAkE3Ez5AQAA3gMAAA4AAAAAAAAAAQAgAAAAIwEAAGRycy9lMm9Eb2MueG1s&#10;UEsFBgAAAAAGAAYAWQEAAI4FA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9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842" w:type="dxa"/>
            <w:tcBorders>
              <w:top w:val="nil"/>
              <w:left w:val="nil"/>
              <w:bottom w:val="nil"/>
              <w:right w:val="nil"/>
              <w:insideH w:val="nil"/>
              <w:insideV w:val="nil"/>
              <w:tl2br w:val="nil"/>
              <w:tr2bl w:val="nil"/>
            </w:tcBorders>
            <w:shd w:val="clear" w:color="auto" w:fill="auto"/>
          </w:tcPr>
          <w:p>
            <w:pPr>
              <w:jc w:val="center"/>
              <w:rPr>
                <w:rFonts w:ascii="仿宋_GB2312" w:hAnsi="仿宋_GB2312" w:eastAsia="仿宋_GB2312" w:cs="仿宋_GB2312"/>
                <w:color w:val="auto"/>
                <w:szCs w:val="32"/>
              </w:rPr>
            </w:pPr>
            <w:r>
              <w:rPr>
                <w:rFonts w:hint="eastAsia" w:ascii="仿宋_GB2312" w:hAnsi="仿宋_GB2312" w:eastAsia="仿宋_GB2312" w:cs="仿宋_GB2312"/>
                <w:color w:val="auto"/>
                <w:szCs w:val="32"/>
              </w:rPr>
              <w:t>代理机构按“财政部74号令”实施采购程序</w:t>
            </w:r>
          </w:p>
        </w:tc>
      </w:tr>
    </w:tbl>
    <w:p>
      <w:pPr>
        <w:jc w:val="center"/>
        <w:rPr>
          <w:rFonts w:ascii="仿宋_GB2312" w:hAnsi="仿宋_GB2312" w:eastAsia="仿宋_GB2312" w:cs="仿宋_GB2312"/>
          <w:szCs w:val="32"/>
        </w:rPr>
      </w:pPr>
      <w:r>
        <w:rPr>
          <w:rFonts w:hint="eastAsia" w:ascii="仿宋_GB2312" w:hAnsi="仿宋_GB2312" w:eastAsia="仿宋_GB2312" w:cs="仿宋_GB2312"/>
          <w:szCs w:val="32"/>
        </w:rPr>
        <mc:AlternateContent>
          <mc:Choice Requires="wps">
            <w:drawing>
              <wp:anchor distT="0" distB="0" distL="114300" distR="114300" simplePos="0" relativeHeight="251766784" behindDoc="0" locked="0" layoutInCell="1" allowOverlap="1">
                <wp:simplePos x="0" y="0"/>
                <wp:positionH relativeFrom="column">
                  <wp:posOffset>2628900</wp:posOffset>
                </wp:positionH>
                <wp:positionV relativeFrom="paragraph">
                  <wp:posOffset>20320</wp:posOffset>
                </wp:positionV>
                <wp:extent cx="0" cy="396240"/>
                <wp:effectExtent l="63500" t="0" r="69850" b="3810"/>
                <wp:wrapNone/>
                <wp:docPr id="124" name="直接连接符 124"/>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wps:wsp>
                  </a:graphicData>
                </a:graphic>
              </wp:anchor>
            </w:drawing>
          </mc:Choice>
          <mc:Fallback>
            <w:pict>
              <v:line id="_x0000_s1026" o:spid="_x0000_s1026" o:spt="20" style="position:absolute;left:0pt;margin-left:207pt;margin-top:1.6pt;height:31.2pt;width:0pt;z-index:251766784;mso-width-relative:page;mso-height-relative:page;" filled="f" stroked="t" coordsize="21600,21600" o:gfxdata="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xRkrNQAAAAIAQAADwAAAAAAAAABACAAAAAiAAAAZHJzL2Rvd25yZXYueG1sUEsB&#10;AhQAFAAAAAgAh07iQJYCk8v5AQAA3gMAAA4AAAAAAAAAAQAgAAAAIwEAAGRycy9lMm9Eb2MueG1s&#10;UEsFBgAAAAAGAAYAWQEAAI4FA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740" w:type="dxa"/>
            <w:tcBorders>
              <w:top w:val="nil"/>
              <w:left w:val="nil"/>
              <w:bottom w:val="nil"/>
              <w:right w:val="nil"/>
              <w:insideH w:val="nil"/>
              <w:insideV w:val="nil"/>
              <w:tl2br w:val="nil"/>
              <w:tr2bl w:val="nil"/>
            </w:tcBorders>
            <w:shd w:val="clear" w:color="auto" w:fill="auto"/>
          </w:tcPr>
          <w:p>
            <w:pPr>
              <w:jc w:val="center"/>
              <w:rPr>
                <w:rFonts w:ascii="仿宋_GB2312" w:hAnsi="仿宋_GB2312" w:eastAsia="仿宋_GB2312" w:cs="仿宋_GB2312"/>
                <w:color w:val="auto"/>
                <w:szCs w:val="32"/>
              </w:rPr>
            </w:pPr>
            <w:r>
              <w:rPr>
                <w:rFonts w:hint="eastAsia" w:ascii="仿宋_GB2312" w:hAnsi="仿宋_GB2312" w:eastAsia="仿宋_GB2312" w:cs="仿宋_GB2312"/>
                <w:color w:val="auto"/>
                <w:szCs w:val="32"/>
              </w:rPr>
              <w:t>采购单位组织会签《供货合同》</w:t>
            </w:r>
          </w:p>
        </w:tc>
      </w:tr>
    </w:tbl>
    <w:p>
      <w:pPr>
        <w:jc w:val="center"/>
        <w:rPr>
          <w:rFonts w:ascii="仿宋_GB2312" w:hAnsi="仿宋_GB2312" w:eastAsia="仿宋_GB2312" w:cs="仿宋_GB2312"/>
          <w:szCs w:val="32"/>
        </w:rPr>
      </w:pPr>
      <w:r>
        <w:rPr>
          <w:rFonts w:hint="eastAsia" w:ascii="仿宋_GB2312" w:hAnsi="仿宋_GB2312" w:eastAsia="仿宋_GB2312" w:cs="仿宋_GB2312"/>
          <w:szCs w:val="32"/>
        </w:rPr>
        <mc:AlternateContent>
          <mc:Choice Requires="wps">
            <w:drawing>
              <wp:anchor distT="0" distB="0" distL="114300" distR="114300" simplePos="0" relativeHeight="251757568" behindDoc="0" locked="0" layoutInCell="1" allowOverlap="1">
                <wp:simplePos x="0" y="0"/>
                <wp:positionH relativeFrom="column">
                  <wp:posOffset>2628900</wp:posOffset>
                </wp:positionH>
                <wp:positionV relativeFrom="paragraph">
                  <wp:posOffset>40640</wp:posOffset>
                </wp:positionV>
                <wp:extent cx="0" cy="396240"/>
                <wp:effectExtent l="63500" t="0" r="69850" b="3810"/>
                <wp:wrapNone/>
                <wp:docPr id="125" name="直接连接符 125"/>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wps:wsp>
                  </a:graphicData>
                </a:graphic>
              </wp:anchor>
            </w:drawing>
          </mc:Choice>
          <mc:Fallback>
            <w:pict>
              <v:line id="_x0000_s1026" o:spid="_x0000_s1026" o:spt="20" style="position:absolute;left:0pt;margin-left:207pt;margin-top:3.2pt;height:31.2pt;width:0pt;z-index:251757568;mso-width-relative:page;mso-height-relative:page;" filled="f" stroked="t" coordsize="21600,21600" o:gfxdata="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8siup0wAAAAgBAAAPAAAAAAAAAAEAIAAAACIAAABkcnMvZG93bnJldi54bWxQSwEC&#10;FAAUAAAACACHTuJAf25R/PkBAADeAwAADgAAAAAAAAABACAAAAAiAQAAZHJzL2Uyb0RvYy54bWxQ&#10;SwUGAAAAAAYABgBZAQAAjQU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703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950" w:type="dxa"/>
            <w:tcBorders>
              <w:top w:val="nil"/>
              <w:left w:val="nil"/>
              <w:bottom w:val="nil"/>
              <w:right w:val="nil"/>
              <w:insideH w:val="nil"/>
              <w:insideV w:val="nil"/>
              <w:tl2br w:val="nil"/>
              <w:tr2bl w:val="nil"/>
            </w:tcBorders>
            <w:shd w:val="clear" w:color="auto" w:fill="auto"/>
          </w:tcPr>
          <w:p>
            <w:pPr>
              <w:jc w:val="center"/>
              <w:rPr>
                <w:rFonts w:ascii="仿宋_GB2312" w:hAnsi="仿宋_GB2312" w:eastAsia="仿宋_GB2312" w:cs="仿宋_GB2312"/>
                <w:color w:val="auto"/>
                <w:szCs w:val="32"/>
              </w:rPr>
            </w:pPr>
            <w:r>
              <w:rPr>
                <w:rFonts w:hint="eastAsia" w:ascii="仿宋_GB2312" w:hAnsi="仿宋_GB2312" w:eastAsia="仿宋_GB2312" w:cs="仿宋_GB2312"/>
                <w:color w:val="auto"/>
                <w:szCs w:val="32"/>
              </w:rPr>
              <w:t>采购单位组织验收货物、收取发票、入库登记</w:t>
            </w:r>
          </w:p>
        </w:tc>
      </w:tr>
    </w:tbl>
    <w:p>
      <w:pPr>
        <w:jc w:val="center"/>
        <w:rPr>
          <w:rFonts w:ascii="仿宋_GB2312" w:hAnsi="仿宋_GB2312" w:eastAsia="仿宋_GB2312" w:cs="仿宋_GB2312"/>
          <w:szCs w:val="32"/>
        </w:rPr>
      </w:pPr>
      <w:r>
        <w:rPr>
          <w:rFonts w:hint="eastAsia" w:ascii="仿宋_GB2312" w:hAnsi="仿宋_GB2312" w:eastAsia="仿宋_GB2312" w:cs="仿宋_GB2312"/>
          <w:szCs w:val="32"/>
        </w:rPr>
        <mc:AlternateContent>
          <mc:Choice Requires="wps">
            <w:drawing>
              <wp:anchor distT="0" distB="0" distL="114300" distR="114300" simplePos="0" relativeHeight="251758592" behindDoc="0" locked="0" layoutInCell="1" allowOverlap="1">
                <wp:simplePos x="0" y="0"/>
                <wp:positionH relativeFrom="column">
                  <wp:posOffset>2628900</wp:posOffset>
                </wp:positionH>
                <wp:positionV relativeFrom="paragraph">
                  <wp:posOffset>50800</wp:posOffset>
                </wp:positionV>
                <wp:extent cx="0" cy="396240"/>
                <wp:effectExtent l="63500" t="0" r="69850" b="3810"/>
                <wp:wrapNone/>
                <wp:docPr id="126" name="直接连接符 126"/>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wps:wsp>
                  </a:graphicData>
                </a:graphic>
              </wp:anchor>
            </w:drawing>
          </mc:Choice>
          <mc:Fallback>
            <w:pict>
              <v:line id="_x0000_s1026" o:spid="_x0000_s1026" o:spt="20" style="position:absolute;left:0pt;margin-left:207pt;margin-top:4pt;height:31.2pt;width:0pt;z-index:251758592;mso-width-relative:page;mso-height-relative:page;" filled="f" stroked="t" coordsize="21600,21600" o:gfxdata="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nzXG9QAAAAIAQAADwAAAAAAAAABACAAAAAiAAAAZHJzL2Rvd25yZXYueG1sUEsB&#10;AhQAFAAAAAgAh07iQETbF6T5AQAA3gMAAA4AAAAAAAAAAQAgAAAAIwEAAGRycy9lMm9Eb2MueG1s&#10;UEsFBgAAAAAGAAYAWQEAAI4FA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82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749" w:type="dxa"/>
            <w:tcBorders>
              <w:top w:val="nil"/>
              <w:left w:val="nil"/>
              <w:bottom w:val="nil"/>
              <w:right w:val="nil"/>
              <w:insideH w:val="nil"/>
              <w:insideV w:val="nil"/>
              <w:tl2br w:val="nil"/>
              <w:tr2bl w:val="nil"/>
            </w:tcBorders>
            <w:shd w:val="clear" w:color="auto" w:fill="auto"/>
          </w:tcPr>
          <w:p>
            <w:pPr>
              <w:ind w:firstLine="800" w:firstLineChars="250"/>
              <w:rPr>
                <w:rFonts w:ascii="仿宋_GB2312" w:hAnsi="仿宋_GB2312" w:eastAsia="仿宋_GB2312" w:cs="仿宋_GB2312"/>
                <w:color w:val="auto"/>
                <w:szCs w:val="32"/>
              </w:rPr>
            </w:pPr>
            <w:r>
              <w:rPr>
                <w:rFonts w:hint="eastAsia" w:ascii="仿宋_GB2312" w:hAnsi="仿宋_GB2312" w:eastAsia="仿宋_GB2312" w:cs="仿宋_GB2312"/>
                <w:color w:val="auto"/>
                <w:szCs w:val="32"/>
              </w:rPr>
              <w:t>财政局按合同支付款项、发票入账</w:t>
            </w:r>
          </w:p>
        </w:tc>
      </w:tr>
    </w:tbl>
    <w:p>
      <w:pPr>
        <w:jc w:val="left"/>
        <w:rPr>
          <w:rFonts w:ascii="仿宋_GB2312" w:hAnsi="仿宋_GB2312" w:eastAsia="仿宋_GB2312" w:cs="仿宋_GB2312"/>
          <w:szCs w:val="32"/>
        </w:rPr>
      </w:pPr>
    </w:p>
    <w:p>
      <w:pPr>
        <w:jc w:val="left"/>
        <w:rPr>
          <w:rFonts w:ascii="仿宋_GB2312" w:hAnsi="仿宋_GB2312" w:eastAsia="仿宋_GB2312" w:cs="仿宋_GB2312"/>
          <w:szCs w:val="32"/>
        </w:rPr>
      </w:pPr>
      <w:r>
        <w:rPr>
          <w:rFonts w:hint="eastAsia" w:ascii="仿宋_GB2312" w:hAnsi="仿宋_GB2312" w:eastAsia="仿宋_GB2312" w:cs="仿宋_GB2312"/>
          <w:szCs w:val="32"/>
        </w:rPr>
        <w:t>附件3：</w:t>
      </w:r>
    </w:p>
    <w:p>
      <w:pPr>
        <w:jc w:val="center"/>
        <w:rPr>
          <w:rFonts w:ascii="宋体" w:hAnsi="宋体" w:eastAsia="宋体" w:cs="宋体"/>
          <w:b/>
          <w:bCs/>
          <w:sz w:val="44"/>
          <w:szCs w:val="44"/>
        </w:rPr>
      </w:pPr>
      <w:r>
        <w:rPr>
          <w:rFonts w:hint="eastAsia" w:ascii="宋体" w:hAnsi="宋体" w:eastAsia="宋体" w:cs="宋体"/>
          <w:b/>
          <w:bCs/>
          <w:sz w:val="44"/>
          <w:szCs w:val="44"/>
        </w:rPr>
        <w:t>白城市生态新区采购货物工作流程</w:t>
      </w:r>
    </w:p>
    <w:p>
      <w:pPr>
        <w:jc w:val="center"/>
        <w:rPr>
          <w:rFonts w:ascii="宋体" w:hAnsi="宋体" w:eastAsia="宋体" w:cs="宋体"/>
          <w:b/>
          <w:bCs/>
          <w:szCs w:val="32"/>
        </w:rPr>
      </w:pPr>
      <w:r>
        <w:rPr>
          <w:rFonts w:hint="eastAsia" w:ascii="宋体" w:hAnsi="宋体" w:eastAsia="宋体" w:cs="宋体"/>
          <w:b/>
          <w:bCs/>
          <w:szCs w:val="32"/>
        </w:rPr>
        <w:t>（20</w:t>
      </w:r>
      <w:r>
        <w:rPr>
          <w:rFonts w:hint="eastAsia" w:ascii="宋体" w:hAnsi="宋体" w:cs="宋体"/>
          <w:b/>
          <w:bCs/>
          <w:szCs w:val="32"/>
        </w:rPr>
        <w:t>0</w:t>
      </w:r>
      <w:r>
        <w:rPr>
          <w:rFonts w:hint="eastAsia" w:ascii="宋体" w:hAnsi="宋体" w:eastAsia="宋体" w:cs="宋体"/>
          <w:b/>
          <w:bCs/>
          <w:szCs w:val="32"/>
        </w:rPr>
        <w:t>万元以上）</w: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6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rHeight w:val="1158" w:hRule="atLeast"/>
          <w:tblCellSpacing w:w="20" w:type="dxa"/>
          <w:jc w:val="center"/>
        </w:trPr>
        <w:tc>
          <w:tcPr>
            <w:tcW w:w="6580" w:type="dxa"/>
            <w:tcBorders>
              <w:top w:val="nil"/>
              <w:left w:val="nil"/>
              <w:bottom w:val="nil"/>
              <w:right w:val="nil"/>
              <w:insideH w:val="nil"/>
              <w:insideV w:val="nil"/>
              <w:tl2br w:val="nil"/>
              <w:tr2bl w:val="nil"/>
            </w:tcBorders>
            <w:shd w:val="clear" w:color="auto" w:fill="auto"/>
          </w:tcPr>
          <w:p>
            <w:pPr>
              <w:jc w:val="center"/>
              <w:rPr>
                <w:rFonts w:ascii="仿宋_GB2312" w:hAnsi="仿宋_GB2312" w:eastAsia="仿宋_GB2312" w:cs="仿宋_GB2312"/>
                <w:color w:val="auto"/>
                <w:szCs w:val="32"/>
              </w:rPr>
            </w:pPr>
            <w:r>
              <w:rPr>
                <w:rFonts w:hint="eastAsia" w:ascii="仿宋_GB2312" w:hAnsi="仿宋_GB2312" w:eastAsia="仿宋_GB2312" w:cs="仿宋_GB2312"/>
                <w:color w:val="auto"/>
                <w:sz w:val="28"/>
                <w:szCs w:val="28"/>
              </w:rPr>
              <w:t>新区办会议确定各单位年度采购计划及临时追加的政府采购项目</w:t>
            </w:r>
          </w:p>
        </w:tc>
      </w:tr>
    </w:tbl>
    <w:p>
      <w:pPr>
        <w:jc w:val="center"/>
        <w:rPr>
          <w:rFonts w:ascii="仿宋_GB2312" w:hAnsi="仿宋_GB2312" w:eastAsia="仿宋_GB2312" w:cs="仿宋_GB2312"/>
          <w:szCs w:val="32"/>
        </w:rPr>
      </w:pPr>
      <w:r>
        <w:rPr>
          <w:rFonts w:hint="eastAsia" w:ascii="仿宋_GB2312" w:hAnsi="仿宋_GB2312" w:eastAsia="仿宋_GB2312" w:cs="仿宋_GB2312"/>
          <w:szCs w:val="32"/>
        </w:rPr>
        <mc:AlternateContent>
          <mc:Choice Requires="wps">
            <w:drawing>
              <wp:anchor distT="0" distB="0" distL="114300" distR="114300" simplePos="0" relativeHeight="251765760" behindDoc="0" locked="0" layoutInCell="1" allowOverlap="1">
                <wp:simplePos x="0" y="0"/>
                <wp:positionH relativeFrom="column">
                  <wp:posOffset>2620010</wp:posOffset>
                </wp:positionH>
                <wp:positionV relativeFrom="paragraph">
                  <wp:posOffset>31750</wp:posOffset>
                </wp:positionV>
                <wp:extent cx="19685" cy="300990"/>
                <wp:effectExtent l="53975" t="635" r="59690" b="3175"/>
                <wp:wrapNone/>
                <wp:docPr id="127" name="直接连接符 127"/>
                <wp:cNvGraphicFramePr/>
                <a:graphic xmlns:a="http://schemas.openxmlformats.org/drawingml/2006/main">
                  <a:graphicData uri="http://schemas.microsoft.com/office/word/2010/wordprocessingShape">
                    <wps:wsp>
                      <wps:cNvCnPr/>
                      <wps:spPr>
                        <a:xfrm rot="300000">
                          <a:off x="0" y="0"/>
                          <a:ext cx="19685" cy="300990"/>
                        </a:xfrm>
                        <a:prstGeom prst="line">
                          <a:avLst/>
                        </a:prstGeom>
                        <a:ln w="15875" cap="flat" cmpd="sng">
                          <a:solidFill>
                            <a:srgbClr val="000000"/>
                          </a:solidFill>
                          <a:prstDash val="solid"/>
                          <a:headEnd type="none" w="med" len="med"/>
                          <a:tailEnd type="triangle" w="lg" len="lg"/>
                        </a:ln>
                      </wps:spPr>
                      <wps:bodyPr/>
                    </wps:wsp>
                  </a:graphicData>
                </a:graphic>
              </wp:anchor>
            </w:drawing>
          </mc:Choice>
          <mc:Fallback>
            <w:pict>
              <v:line id="_x0000_s1026" o:spid="_x0000_s1026" o:spt="20" style="position:absolute;left:0pt;margin-left:206.3pt;margin-top:2.5pt;height:23.7pt;width:1.55pt;rotation:327680f;z-index:251765760;mso-width-relative:page;mso-height-relative:page;" filled="f" stroked="t" coordsize="21600,21600" o:gfxdata="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x0Yy3XAAAACAEAAA8AAAAAAAAAAQAgAAAAIgAAAGRycy9k&#10;b3ducmV2LnhtbFBLAQIUABQAAAAIAIdO4kALnrIKAwIAAO8DAAAOAAAAAAAAAAEAIAAAACYBAABk&#10;cnMvZTJvRG9jLnhtbFBLBQYAAAAABgAGAFkBAACbBQ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9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rHeight w:val="788" w:hRule="atLeast"/>
          <w:tblCellSpacing w:w="20" w:type="dxa"/>
          <w:jc w:val="center"/>
        </w:trPr>
        <w:tc>
          <w:tcPr>
            <w:tcW w:w="6840" w:type="dxa"/>
            <w:tcBorders>
              <w:top w:val="nil"/>
              <w:left w:val="nil"/>
              <w:bottom w:val="nil"/>
              <w:right w:val="nil"/>
              <w:insideH w:val="nil"/>
              <w:insideV w:val="nil"/>
              <w:tl2br w:val="nil"/>
              <w:tr2bl w:val="nil"/>
            </w:tcBorders>
            <w:shd w:val="clear" w:color="auto" w:fill="auto"/>
          </w:tcPr>
          <w:p>
            <w:pPr>
              <w:jc w:val="center"/>
              <w:rPr>
                <w:rFonts w:ascii="仿宋_GB2312" w:hAnsi="仿宋_GB2312" w:eastAsia="仿宋_GB2312" w:cs="仿宋_GB2312"/>
                <w:color w:val="auto"/>
                <w:szCs w:val="32"/>
              </w:rPr>
            </w:pPr>
            <w:r>
              <w:rPr>
                <w:rFonts w:hint="eastAsia" w:ascii="仿宋_GB2312" w:hAnsi="仿宋_GB2312" w:eastAsia="仿宋_GB2312" w:cs="仿宋_GB2312"/>
                <w:color w:val="auto"/>
                <w:sz w:val="28"/>
                <w:szCs w:val="28"/>
              </w:rPr>
              <w:t>财政局协同采购单位共同询价确定采购项目招标限价</w:t>
            </w:r>
          </w:p>
        </w:tc>
      </w:tr>
    </w:tbl>
    <w:p>
      <w:pPr>
        <w:jc w:val="center"/>
        <w:rPr>
          <w:rFonts w:ascii="仿宋_GB2312" w:hAnsi="仿宋_GB2312" w:eastAsia="仿宋_GB2312" w:cs="仿宋_GB2312"/>
          <w:szCs w:val="32"/>
        </w:rPr>
      </w:pPr>
      <w:r>
        <w:rPr>
          <w:rFonts w:hint="eastAsia" w:ascii="仿宋_GB2312" w:hAnsi="仿宋_GB2312" w:eastAsia="仿宋_GB2312" w:cs="仿宋_GB2312"/>
          <w:szCs w:val="32"/>
        </w:rPr>
        <mc:AlternateContent>
          <mc:Choice Requires="wps">
            <w:drawing>
              <wp:anchor distT="0" distB="0" distL="114300" distR="114300" simplePos="0" relativeHeight="251760640" behindDoc="0" locked="0" layoutInCell="1" allowOverlap="1">
                <wp:simplePos x="0" y="0"/>
                <wp:positionH relativeFrom="column">
                  <wp:posOffset>2628900</wp:posOffset>
                </wp:positionH>
                <wp:positionV relativeFrom="paragraph">
                  <wp:posOffset>10160</wp:posOffset>
                </wp:positionV>
                <wp:extent cx="0" cy="396240"/>
                <wp:effectExtent l="63500" t="0" r="69850" b="3810"/>
                <wp:wrapNone/>
                <wp:docPr id="128" name="直接连接符 128"/>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wps:wsp>
                  </a:graphicData>
                </a:graphic>
              </wp:anchor>
            </w:drawing>
          </mc:Choice>
          <mc:Fallback>
            <w:pict>
              <v:line id="_x0000_s1026" o:spid="_x0000_s1026" o:spt="20" style="position:absolute;left:0pt;margin-left:207pt;margin-top:0.8pt;height:31.2pt;width:0pt;z-index:251760640;mso-width-relative:page;mso-height-relative:page;" filled="f" stroked="t" coordsize="21600,21600" o:gfxdata="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mVB620wAAAAgBAAAPAAAAAAAAAAEAIAAAACIAAABkcnMvZG93bnJldi54bWxQSwEC&#10;FAAUAAAACACHTuJAO9D4cfkBAADeAwAADgAAAAAAAAABACAAAAAiAQAAZHJzL2Uyb0RvYy54bWxQ&#10;SwUGAAAAAAYABgBZAQAAjQU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7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rHeight w:val="599" w:hRule="atLeast"/>
          <w:tblCellSpacing w:w="20" w:type="dxa"/>
          <w:jc w:val="center"/>
        </w:trPr>
        <w:tc>
          <w:tcPr>
            <w:tcW w:w="6640" w:type="dxa"/>
            <w:tcBorders>
              <w:top w:val="nil"/>
              <w:left w:val="nil"/>
              <w:bottom w:val="nil"/>
              <w:right w:val="nil"/>
              <w:insideH w:val="nil"/>
              <w:insideV w:val="nil"/>
              <w:tl2br w:val="nil"/>
              <w:tr2bl w:val="nil"/>
            </w:tcBorders>
            <w:shd w:val="clear" w:color="auto" w:fill="auto"/>
          </w:tcPr>
          <w:p>
            <w:pPr>
              <w:jc w:val="center"/>
              <w:rPr>
                <w:rFonts w:ascii="仿宋_GB2312" w:hAnsi="仿宋_GB2312" w:eastAsia="仿宋_GB2312" w:cs="仿宋_GB2312"/>
                <w:color w:val="auto"/>
                <w:szCs w:val="32"/>
              </w:rPr>
            </w:pPr>
            <w:r>
              <w:rPr>
                <w:rFonts w:hint="eastAsia" w:ascii="仿宋_GB2312" w:hAnsi="仿宋_GB2312" w:eastAsia="仿宋_GB2312" w:cs="仿宋_GB2312"/>
                <w:color w:val="auto"/>
                <w:szCs w:val="32"/>
              </w:rPr>
              <w:t>采购单位填报《政府采购申请表》</w:t>
            </w:r>
          </w:p>
        </w:tc>
      </w:tr>
    </w:tbl>
    <w:p>
      <w:pPr>
        <w:jc w:val="center"/>
        <w:rPr>
          <w:rFonts w:ascii="仿宋_GB2312" w:hAnsi="仿宋_GB2312" w:eastAsia="仿宋_GB2312" w:cs="仿宋_GB2312"/>
          <w:szCs w:val="32"/>
        </w:rPr>
      </w:pPr>
      <w:r>
        <w:rPr>
          <w:rFonts w:hint="eastAsia" w:ascii="仿宋_GB2312" w:hAnsi="仿宋_GB2312" w:eastAsia="仿宋_GB2312" w:cs="仿宋_GB2312"/>
          <w:szCs w:val="32"/>
        </w:rPr>
        <mc:AlternateContent>
          <mc:Choice Requires="wps">
            <w:drawing>
              <wp:anchor distT="0" distB="0" distL="114300" distR="114300" simplePos="0" relativeHeight="251761664" behindDoc="0" locked="0" layoutInCell="1" allowOverlap="1">
                <wp:simplePos x="0" y="0"/>
                <wp:positionH relativeFrom="column">
                  <wp:posOffset>2628900</wp:posOffset>
                </wp:positionH>
                <wp:positionV relativeFrom="paragraph">
                  <wp:posOffset>20320</wp:posOffset>
                </wp:positionV>
                <wp:extent cx="19685" cy="301625"/>
                <wp:effectExtent l="52070" t="635" r="61595" b="2540"/>
                <wp:wrapNone/>
                <wp:docPr id="129" name="直接连接符 129"/>
                <wp:cNvGraphicFramePr/>
                <a:graphic xmlns:a="http://schemas.openxmlformats.org/drawingml/2006/main">
                  <a:graphicData uri="http://schemas.microsoft.com/office/word/2010/wordprocessingShape">
                    <wps:wsp>
                      <wps:cNvCnPr/>
                      <wps:spPr>
                        <a:xfrm>
                          <a:off x="0" y="0"/>
                          <a:ext cx="19685" cy="301625"/>
                        </a:xfrm>
                        <a:prstGeom prst="line">
                          <a:avLst/>
                        </a:prstGeom>
                        <a:ln w="15875" cap="flat" cmpd="sng">
                          <a:solidFill>
                            <a:srgbClr val="000000"/>
                          </a:solidFill>
                          <a:prstDash val="solid"/>
                          <a:headEnd type="none" w="med" len="med"/>
                          <a:tailEnd type="triangle" w="lg" len="lg"/>
                        </a:ln>
                      </wps:spPr>
                      <wps:bodyPr/>
                    </wps:wsp>
                  </a:graphicData>
                </a:graphic>
              </wp:anchor>
            </w:drawing>
          </mc:Choice>
          <mc:Fallback>
            <w:pict>
              <v:line id="_x0000_s1026" o:spid="_x0000_s1026" o:spt="20" style="position:absolute;left:0pt;margin-left:207pt;margin-top:1.6pt;height:23.75pt;width:1.55pt;z-index:251761664;mso-width-relative:page;mso-height-relative:page;" filled="f" stroked="t" coordsize="21600,21600" o:gfxdata="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dpAR9YAAAAIAQAADwAAAAAAAAABACAAAAAiAAAAZHJzL2Rvd25yZXYueG1s&#10;UEsBAhQAFAAAAAgAh07iQGR3DyP6AQAA4gMAAA4AAAAAAAAAAQAgAAAAJQEAAGRycy9lMm9Eb2Mu&#10;eG1sUEsFBgAAAAAGAAYAWQEAAJEFA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80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rHeight w:val="554" w:hRule="atLeast"/>
          <w:tblCellSpacing w:w="20" w:type="dxa"/>
          <w:jc w:val="center"/>
        </w:trPr>
        <w:tc>
          <w:tcPr>
            <w:tcW w:w="6720" w:type="dxa"/>
            <w:tcBorders>
              <w:top w:val="nil"/>
              <w:left w:val="nil"/>
              <w:bottom w:val="nil"/>
              <w:right w:val="nil"/>
              <w:insideH w:val="nil"/>
              <w:insideV w:val="nil"/>
              <w:tl2br w:val="nil"/>
              <w:tr2bl w:val="nil"/>
            </w:tcBorders>
            <w:shd w:val="clear" w:color="auto" w:fill="auto"/>
          </w:tcPr>
          <w:p>
            <w:pPr>
              <w:jc w:val="center"/>
              <w:rPr>
                <w:rFonts w:ascii="仿宋_GB2312" w:hAnsi="仿宋_GB2312" w:eastAsia="仿宋_GB2312" w:cs="仿宋_GB2312"/>
                <w:color w:val="auto"/>
                <w:szCs w:val="32"/>
              </w:rPr>
            </w:pPr>
            <w:r>
              <w:rPr>
                <w:rFonts w:hint="eastAsia" w:ascii="仿宋_GB2312" w:hAnsi="仿宋_GB2312" w:eastAsia="仿宋_GB2312" w:cs="仿宋_GB2312"/>
                <w:color w:val="auto"/>
                <w:szCs w:val="32"/>
              </w:rPr>
              <w:t>财政局委托代理机构编制招标文件</w:t>
            </w:r>
          </w:p>
        </w:tc>
      </w:tr>
    </w:tbl>
    <w:p>
      <w:pPr>
        <w:jc w:val="center"/>
        <w:rPr>
          <w:rFonts w:ascii="仿宋_GB2312" w:hAnsi="仿宋_GB2312" w:eastAsia="仿宋_GB2312" w:cs="仿宋_GB2312"/>
          <w:szCs w:val="32"/>
        </w:rPr>
      </w:pPr>
      <w:r>
        <w:rPr>
          <w:rFonts w:hint="eastAsia" w:ascii="仿宋_GB2312" w:hAnsi="仿宋_GB2312" w:eastAsia="仿宋_GB2312" w:cs="仿宋_GB2312"/>
          <w:szCs w:val="32"/>
        </w:rPr>
        <mc:AlternateContent>
          <mc:Choice Requires="wps">
            <w:drawing>
              <wp:anchor distT="0" distB="0" distL="114300" distR="114300" simplePos="0" relativeHeight="251762688" behindDoc="0" locked="0" layoutInCell="1" allowOverlap="1">
                <wp:simplePos x="0" y="0"/>
                <wp:positionH relativeFrom="column">
                  <wp:posOffset>2628900</wp:posOffset>
                </wp:positionH>
                <wp:positionV relativeFrom="paragraph">
                  <wp:posOffset>30480</wp:posOffset>
                </wp:positionV>
                <wp:extent cx="0" cy="396240"/>
                <wp:effectExtent l="63500" t="0" r="69850" b="3810"/>
                <wp:wrapNone/>
                <wp:docPr id="131" name="直接连接符 131"/>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wps:wsp>
                  </a:graphicData>
                </a:graphic>
              </wp:anchor>
            </w:drawing>
          </mc:Choice>
          <mc:Fallback>
            <w:pict>
              <v:line id="_x0000_s1026" o:spid="_x0000_s1026" o:spt="20" style="position:absolute;left:0pt;margin-left:207pt;margin-top:2.4pt;height:31.2pt;width:0pt;z-index:251762688;mso-width-relative:page;mso-height-relative:page;" filled="f" stroked="t" coordsize="21600,21600" o:gfxdata="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xjAOtQAAAAIAQAADwAAAAAAAAABACAAAAAiAAAAZHJzL2Rvd25yZXYueG1sUEsB&#10;AhQAFAAAAAgAh07iQGtFufr5AQAA3gMAAA4AAAAAAAAAAQAgAAAAIwEAAGRycy9lMm9Eb2MueG1s&#10;UEsFBgAAAAAGAAYAWQEAAI4FA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9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842" w:type="dxa"/>
            <w:tcBorders>
              <w:top w:val="nil"/>
              <w:left w:val="nil"/>
              <w:bottom w:val="nil"/>
              <w:right w:val="nil"/>
              <w:insideH w:val="nil"/>
              <w:insideV w:val="nil"/>
              <w:tl2br w:val="nil"/>
              <w:tr2bl w:val="nil"/>
            </w:tcBorders>
            <w:shd w:val="clear" w:color="auto" w:fill="auto"/>
          </w:tcPr>
          <w:p>
            <w:pPr>
              <w:jc w:val="center"/>
              <w:rPr>
                <w:rFonts w:ascii="仿宋_GB2312" w:hAnsi="仿宋_GB2312" w:eastAsia="仿宋_GB2312" w:cs="仿宋_GB2312"/>
                <w:color w:val="auto"/>
                <w:szCs w:val="32"/>
              </w:rPr>
            </w:pPr>
            <w:r>
              <w:rPr>
                <w:rFonts w:hint="eastAsia" w:ascii="仿宋_GB2312" w:hAnsi="仿宋_GB2312" w:eastAsia="仿宋_GB2312" w:cs="仿宋_GB2312"/>
                <w:color w:val="auto"/>
                <w:szCs w:val="32"/>
              </w:rPr>
              <w:t>采购单位、财政局共同审核招标文件</w:t>
            </w:r>
          </w:p>
        </w:tc>
      </w:tr>
    </w:tbl>
    <w:p>
      <w:pPr>
        <w:jc w:val="center"/>
        <w:rPr>
          <w:rFonts w:ascii="仿宋_GB2312" w:hAnsi="仿宋_GB2312" w:eastAsia="仿宋_GB2312" w:cs="仿宋_GB2312"/>
          <w:szCs w:val="32"/>
        </w:rPr>
      </w:pPr>
      <w:r>
        <w:rPr>
          <w:rFonts w:hint="eastAsia" w:ascii="仿宋_GB2312" w:hAnsi="仿宋_GB2312" w:eastAsia="仿宋_GB2312" w:cs="仿宋_GB2312"/>
          <w:szCs w:val="32"/>
        </w:rPr>
        <mc:AlternateContent>
          <mc:Choice Requires="wps">
            <w:drawing>
              <wp:anchor distT="0" distB="0" distL="114300" distR="114300" simplePos="0" relativeHeight="251767808" behindDoc="0" locked="0" layoutInCell="1" allowOverlap="1">
                <wp:simplePos x="0" y="0"/>
                <wp:positionH relativeFrom="column">
                  <wp:posOffset>2628900</wp:posOffset>
                </wp:positionH>
                <wp:positionV relativeFrom="paragraph">
                  <wp:posOffset>20320</wp:posOffset>
                </wp:positionV>
                <wp:extent cx="0" cy="396240"/>
                <wp:effectExtent l="63500" t="0" r="69850" b="3810"/>
                <wp:wrapNone/>
                <wp:docPr id="132" name="直接连接符 132"/>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wps:wsp>
                  </a:graphicData>
                </a:graphic>
              </wp:anchor>
            </w:drawing>
          </mc:Choice>
          <mc:Fallback>
            <w:pict>
              <v:line id="_x0000_s1026" o:spid="_x0000_s1026" o:spt="20" style="position:absolute;left:0pt;margin-left:207pt;margin-top:1.6pt;height:31.2pt;width:0pt;z-index:251767808;mso-width-relative:page;mso-height-relative:page;" filled="f" stroked="t" coordsize="21600,21600" o:gfxdata="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xRkrNQAAAAIAQAADwAAAAAAAAABACAAAAAiAAAAZHJzL2Rvd25yZXYueG1sUEsB&#10;AhQAFAAAAAgAh07iQFDw/6L5AQAA3gMAAA4AAAAAAAAAAQAgAAAAIwEAAGRycy9lMm9Eb2MueG1s&#10;UEsFBgAAAAAGAAYAWQEAAI4FA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8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rHeight w:val="1163" w:hRule="atLeast"/>
          <w:tblCellSpacing w:w="20" w:type="dxa"/>
          <w:jc w:val="center"/>
        </w:trPr>
        <w:tc>
          <w:tcPr>
            <w:tcW w:w="6780" w:type="dxa"/>
            <w:tcBorders>
              <w:top w:val="nil"/>
              <w:left w:val="nil"/>
              <w:bottom w:val="nil"/>
              <w:right w:val="nil"/>
              <w:insideH w:val="nil"/>
              <w:insideV w:val="nil"/>
              <w:tl2br w:val="nil"/>
              <w:tr2bl w:val="nil"/>
            </w:tcBorders>
            <w:shd w:val="clear" w:color="auto" w:fill="auto"/>
          </w:tcPr>
          <w:p>
            <w:pPr>
              <w:jc w:val="center"/>
              <w:rPr>
                <w:rFonts w:ascii="仿宋_GB2312" w:hAnsi="仿宋_GB2312" w:eastAsia="仿宋_GB2312" w:cs="仿宋_GB2312"/>
                <w:color w:val="auto"/>
                <w:szCs w:val="32"/>
              </w:rPr>
            </w:pPr>
            <w:r>
              <w:rPr>
                <w:rFonts w:hint="eastAsia" w:ascii="仿宋_GB2312" w:hAnsi="仿宋_GB2312" w:eastAsia="仿宋_GB2312" w:cs="仿宋_GB2312"/>
                <w:color w:val="auto"/>
                <w:szCs w:val="32"/>
              </w:rPr>
              <w:t>代理机构组织公开招标，采购单位组织会签《供货合同》</w:t>
            </w:r>
          </w:p>
        </w:tc>
      </w:tr>
    </w:tbl>
    <w:p>
      <w:pPr>
        <w:jc w:val="center"/>
        <w:rPr>
          <w:rFonts w:ascii="仿宋_GB2312" w:hAnsi="仿宋_GB2312" w:eastAsia="仿宋_GB2312" w:cs="仿宋_GB2312"/>
          <w:szCs w:val="32"/>
        </w:rPr>
      </w:pPr>
      <w:r>
        <w:rPr>
          <w:rFonts w:hint="eastAsia" w:ascii="仿宋_GB2312" w:hAnsi="仿宋_GB2312" w:eastAsia="仿宋_GB2312" w:cs="仿宋_GB2312"/>
          <w:szCs w:val="32"/>
        </w:rPr>
        <mc:AlternateContent>
          <mc:Choice Requires="wps">
            <w:drawing>
              <wp:anchor distT="0" distB="0" distL="114300" distR="114300" simplePos="0" relativeHeight="251763712" behindDoc="0" locked="0" layoutInCell="1" allowOverlap="1">
                <wp:simplePos x="0" y="0"/>
                <wp:positionH relativeFrom="column">
                  <wp:posOffset>2628900</wp:posOffset>
                </wp:positionH>
                <wp:positionV relativeFrom="paragraph">
                  <wp:posOffset>40640</wp:posOffset>
                </wp:positionV>
                <wp:extent cx="0" cy="396240"/>
                <wp:effectExtent l="63500" t="0" r="69850" b="3810"/>
                <wp:wrapNone/>
                <wp:docPr id="133" name="直接连接符 133"/>
                <wp:cNvGraphicFramePr/>
                <a:graphic xmlns:a="http://schemas.openxmlformats.org/drawingml/2006/main">
                  <a:graphicData uri="http://schemas.microsoft.com/office/word/2010/wordprocessingShape">
                    <wps:wsp>
                      <wps:cNvCnPr/>
                      <wps:spPr>
                        <a:xfrm>
                          <a:off x="0" y="0"/>
                          <a:ext cx="0" cy="396240"/>
                        </a:xfrm>
                        <a:prstGeom prst="line">
                          <a:avLst/>
                        </a:prstGeom>
                        <a:ln w="15875" cap="flat" cmpd="sng">
                          <a:solidFill>
                            <a:srgbClr val="000000"/>
                          </a:solidFill>
                          <a:prstDash val="solid"/>
                          <a:headEnd type="none" w="med" len="med"/>
                          <a:tailEnd type="triangle" w="lg" len="lg"/>
                        </a:ln>
                      </wps:spPr>
                      <wps:bodyPr/>
                    </wps:wsp>
                  </a:graphicData>
                </a:graphic>
              </wp:anchor>
            </w:drawing>
          </mc:Choice>
          <mc:Fallback>
            <w:pict>
              <v:line id="_x0000_s1026" o:spid="_x0000_s1026" o:spt="20" style="position:absolute;left:0pt;margin-left:207pt;margin-top:3.2pt;height:31.2pt;width:0pt;z-index:251763712;mso-width-relative:page;mso-height-relative:page;" filled="f" stroked="t" coordsize="21600,21600" o:gfxdata="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8siup0wAAAAgBAAAPAAAAAAAAAAEAIAAAACIAAABkcnMvZG93bnJldi54bWxQSwEC&#10;FAAUAAAACACHTuJAuZw9lfkBAADeAwAADgAAAAAAAAABACAAAAAiAQAAZHJzL2Uyb0RvYy54bWxQ&#10;SwUGAAAAAAYABgBZAQAAjQU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703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950" w:type="dxa"/>
            <w:tcBorders>
              <w:top w:val="nil"/>
              <w:left w:val="nil"/>
              <w:bottom w:val="nil"/>
              <w:right w:val="nil"/>
              <w:insideH w:val="nil"/>
              <w:insideV w:val="nil"/>
              <w:tl2br w:val="nil"/>
              <w:tr2bl w:val="nil"/>
            </w:tcBorders>
            <w:shd w:val="clear" w:color="auto" w:fill="auto"/>
          </w:tcPr>
          <w:p>
            <w:pPr>
              <w:jc w:val="center"/>
              <w:rPr>
                <w:rFonts w:ascii="仿宋_GB2312" w:hAnsi="仿宋_GB2312" w:eastAsia="仿宋_GB2312" w:cs="仿宋_GB2312"/>
                <w:color w:val="auto"/>
                <w:szCs w:val="32"/>
              </w:rPr>
            </w:pPr>
            <w:r>
              <w:rPr>
                <w:rFonts w:hint="eastAsia" w:ascii="仿宋_GB2312" w:hAnsi="仿宋_GB2312" w:eastAsia="仿宋_GB2312" w:cs="仿宋_GB2312"/>
                <w:color w:val="auto"/>
                <w:szCs w:val="32"/>
              </w:rPr>
              <w:t>采购单位组织验收货物、收取发票、入库登记</w:t>
            </w:r>
          </w:p>
        </w:tc>
      </w:tr>
    </w:tbl>
    <w:p>
      <w:pPr>
        <w:jc w:val="center"/>
        <w:rPr>
          <w:rFonts w:ascii="仿宋_GB2312" w:hAnsi="仿宋_GB2312" w:eastAsia="仿宋_GB2312" w:cs="仿宋_GB2312"/>
          <w:szCs w:val="32"/>
        </w:rPr>
      </w:pPr>
      <w:r>
        <w:rPr>
          <w:rFonts w:hint="eastAsia" w:ascii="仿宋_GB2312" w:hAnsi="仿宋_GB2312" w:eastAsia="仿宋_GB2312" w:cs="仿宋_GB2312"/>
          <w:szCs w:val="32"/>
        </w:rPr>
        <mc:AlternateContent>
          <mc:Choice Requires="wps">
            <w:drawing>
              <wp:anchor distT="0" distB="0" distL="114300" distR="114300" simplePos="0" relativeHeight="251764736" behindDoc="0" locked="0" layoutInCell="1" allowOverlap="1">
                <wp:simplePos x="0" y="0"/>
                <wp:positionH relativeFrom="column">
                  <wp:posOffset>2628900</wp:posOffset>
                </wp:positionH>
                <wp:positionV relativeFrom="paragraph">
                  <wp:posOffset>50800</wp:posOffset>
                </wp:positionV>
                <wp:extent cx="10795" cy="300355"/>
                <wp:effectExtent l="57150" t="0" r="65405" b="4445"/>
                <wp:wrapNone/>
                <wp:docPr id="134" name="直接连接符 134"/>
                <wp:cNvGraphicFramePr/>
                <a:graphic xmlns:a="http://schemas.openxmlformats.org/drawingml/2006/main">
                  <a:graphicData uri="http://schemas.microsoft.com/office/word/2010/wordprocessingShape">
                    <wps:wsp>
                      <wps:cNvCnPr/>
                      <wps:spPr>
                        <a:xfrm>
                          <a:off x="0" y="0"/>
                          <a:ext cx="10795" cy="300355"/>
                        </a:xfrm>
                        <a:prstGeom prst="line">
                          <a:avLst/>
                        </a:prstGeom>
                        <a:ln w="15875" cap="flat" cmpd="sng">
                          <a:solidFill>
                            <a:srgbClr val="000000"/>
                          </a:solidFill>
                          <a:prstDash val="solid"/>
                          <a:headEnd type="none" w="med" len="med"/>
                          <a:tailEnd type="triangle" w="lg" len="lg"/>
                        </a:ln>
                      </wps:spPr>
                      <wps:bodyPr/>
                    </wps:wsp>
                  </a:graphicData>
                </a:graphic>
              </wp:anchor>
            </w:drawing>
          </mc:Choice>
          <mc:Fallback>
            <w:pict>
              <v:line id="_x0000_s1026" o:spid="_x0000_s1026" o:spt="20" style="position:absolute;left:0pt;margin-left:207pt;margin-top:4pt;height:23.65pt;width:0.85pt;z-index:251764736;mso-width-relative:page;mso-height-relative:page;" filled="f" stroked="t" coordsize="21600,21600" o:gfxdata="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J3HTdYAAAAIAQAADwAAAAAAAAABACAAAAAiAAAAZHJzL2Rvd25yZXYueG1s&#10;UEsBAhQAFAAAAAgAh07iQDmk7Nv6AQAA4gMAAA4AAAAAAAAAAQAgAAAAJQEAAGRycy9lMm9Eb2Mu&#10;eG1sUEsFBgAAAAAGAAYAWQEAAJEFAAAAAA==&#10;">
                <v:fill on="f" focussize="0,0"/>
                <v:stroke weight="1.25pt" color="#000000" joinstyle="round" endarrow="block" endarrowwidth="wide" endarrowlength="long"/>
                <v:imagedata o:title=""/>
                <o:lock v:ext="edit" aspectratio="f"/>
              </v:line>
            </w:pict>
          </mc:Fallback>
        </mc:AlternateContent>
      </w:r>
    </w:p>
    <w:tbl>
      <w:tblPr>
        <w:tblStyle w:val="11"/>
        <w:tblW w:w="0" w:type="auto"/>
        <w:jc w:val="cente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blGrid>
        <w:gridCol w:w="682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tblCellSpacing w:w="20" w:type="dxa"/>
          <w:jc w:val="center"/>
        </w:trPr>
        <w:tc>
          <w:tcPr>
            <w:tcW w:w="6749" w:type="dxa"/>
            <w:tcBorders>
              <w:top w:val="nil"/>
              <w:left w:val="nil"/>
              <w:bottom w:val="nil"/>
              <w:right w:val="nil"/>
              <w:insideH w:val="nil"/>
              <w:insideV w:val="nil"/>
              <w:tl2br w:val="nil"/>
              <w:tr2bl w:val="nil"/>
            </w:tcBorders>
            <w:shd w:val="clear" w:color="auto" w:fill="auto"/>
          </w:tcPr>
          <w:p>
            <w:pPr>
              <w:ind w:firstLine="800" w:firstLineChars="250"/>
              <w:rPr>
                <w:rFonts w:ascii="仿宋_GB2312" w:hAnsi="仿宋_GB2312" w:eastAsia="仿宋_GB2312" w:cs="仿宋_GB2312"/>
                <w:color w:val="auto"/>
                <w:szCs w:val="32"/>
              </w:rPr>
            </w:pPr>
            <w:r>
              <w:rPr>
                <w:rFonts w:hint="eastAsia" w:ascii="仿宋_GB2312" w:hAnsi="仿宋_GB2312" w:eastAsia="仿宋_GB2312" w:cs="仿宋_GB2312"/>
                <w:color w:val="auto"/>
                <w:szCs w:val="32"/>
              </w:rPr>
              <w:t>财政局按合同支付款项、发票入账</w:t>
            </w:r>
          </w:p>
        </w:tc>
      </w:tr>
    </w:tbl>
    <w:p>
      <w:pPr>
        <w:pStyle w:val="2"/>
      </w:pPr>
      <w:r>
        <w:rPr>
          <w:rFonts w:hint="eastAsia"/>
        </w:rPr>
        <w:t>16、项目核准、审批转报工作制度</w:t>
      </w:r>
      <w:bookmarkEnd w:id="292"/>
    </w:p>
    <w:p>
      <w:pPr>
        <w:spacing w:line="360" w:lineRule="auto"/>
        <w:ind w:firstLine="640" w:firstLineChars="200"/>
        <w:rPr>
          <w:rFonts w:ascii="仿宋" w:hAnsi="仿宋" w:cs="仿宋"/>
          <w:szCs w:val="32"/>
        </w:rPr>
      </w:pPr>
      <w:r>
        <w:rPr>
          <w:rFonts w:hint="eastAsia" w:ascii="仿宋" w:hAnsi="仿宋" w:cs="仿宋"/>
          <w:szCs w:val="32"/>
        </w:rPr>
        <w:t>为进一步规范政府投资项目核准、审批工作，提升科学决策水平和政府投资效益，生态新区在没有审批权限的情况下，协助企业转报核准、审批工作手续，特制定本工作制度。</w:t>
      </w:r>
    </w:p>
    <w:p>
      <w:pPr>
        <w:spacing w:line="360" w:lineRule="auto"/>
        <w:ind w:firstLine="640" w:firstLineChars="200"/>
        <w:outlineLvl w:val="0"/>
        <w:rPr>
          <w:rFonts w:ascii="黑体" w:hAnsi="黑体" w:eastAsia="黑体" w:cs="黑体"/>
          <w:szCs w:val="32"/>
        </w:rPr>
      </w:pPr>
      <w:bookmarkStart w:id="293" w:name="_Toc23664"/>
      <w:bookmarkStart w:id="294" w:name="_Toc23221"/>
      <w:bookmarkStart w:id="295" w:name="_Toc9628"/>
      <w:bookmarkStart w:id="296" w:name="_Toc23162"/>
      <w:bookmarkStart w:id="297" w:name="_Toc12008"/>
      <w:bookmarkStart w:id="298" w:name="_Toc30849"/>
      <w:bookmarkStart w:id="299" w:name="_Toc24579"/>
      <w:bookmarkStart w:id="300" w:name="_Toc18025"/>
      <w:r>
        <w:rPr>
          <w:rFonts w:hint="eastAsia" w:ascii="黑体" w:hAnsi="黑体" w:eastAsia="黑体" w:cs="黑体"/>
          <w:szCs w:val="32"/>
        </w:rPr>
        <w:t>一、责任单位</w:t>
      </w:r>
      <w:bookmarkEnd w:id="293"/>
      <w:bookmarkEnd w:id="294"/>
      <w:bookmarkEnd w:id="295"/>
      <w:bookmarkEnd w:id="296"/>
      <w:bookmarkEnd w:id="297"/>
      <w:bookmarkEnd w:id="298"/>
      <w:bookmarkEnd w:id="299"/>
      <w:bookmarkEnd w:id="300"/>
    </w:p>
    <w:p>
      <w:pPr>
        <w:spacing w:line="360" w:lineRule="auto"/>
        <w:ind w:firstLine="640" w:firstLineChars="200"/>
        <w:rPr>
          <w:rFonts w:ascii="仿宋" w:hAnsi="仿宋" w:cs="仿宋"/>
          <w:szCs w:val="32"/>
        </w:rPr>
      </w:pPr>
      <w:r>
        <w:rPr>
          <w:rFonts w:hint="eastAsia" w:ascii="仿宋" w:hAnsi="仿宋" w:cs="仿宋"/>
          <w:szCs w:val="32"/>
        </w:rPr>
        <w:t>生态新区项目合作服务局</w:t>
      </w:r>
    </w:p>
    <w:p>
      <w:pPr>
        <w:spacing w:line="360" w:lineRule="auto"/>
        <w:ind w:firstLine="640" w:firstLineChars="200"/>
        <w:outlineLvl w:val="0"/>
        <w:rPr>
          <w:rFonts w:ascii="黑体" w:hAnsi="黑体" w:eastAsia="黑体" w:cs="黑体"/>
          <w:szCs w:val="32"/>
        </w:rPr>
      </w:pPr>
      <w:bookmarkStart w:id="301" w:name="_Toc26192"/>
      <w:bookmarkStart w:id="302" w:name="_Toc9796"/>
      <w:bookmarkStart w:id="303" w:name="_Toc26379"/>
      <w:bookmarkStart w:id="304" w:name="_Toc238"/>
      <w:bookmarkStart w:id="305" w:name="_Toc19619"/>
      <w:bookmarkStart w:id="306" w:name="_Toc12759"/>
      <w:bookmarkStart w:id="307" w:name="_Toc32112"/>
      <w:bookmarkStart w:id="308" w:name="_Toc21050"/>
      <w:r>
        <w:rPr>
          <w:rFonts w:hint="eastAsia" w:ascii="黑体" w:hAnsi="黑体" w:eastAsia="黑体" w:cs="黑体"/>
          <w:szCs w:val="32"/>
        </w:rPr>
        <w:t>二、审批依据</w:t>
      </w:r>
      <w:bookmarkEnd w:id="301"/>
      <w:bookmarkEnd w:id="302"/>
      <w:bookmarkEnd w:id="303"/>
      <w:bookmarkEnd w:id="304"/>
      <w:bookmarkEnd w:id="305"/>
      <w:bookmarkEnd w:id="306"/>
      <w:bookmarkEnd w:id="307"/>
      <w:bookmarkEnd w:id="308"/>
    </w:p>
    <w:p>
      <w:pPr>
        <w:spacing w:line="360" w:lineRule="auto"/>
        <w:ind w:firstLine="640" w:firstLineChars="200"/>
        <w:rPr>
          <w:rFonts w:ascii="仿宋" w:hAnsi="仿宋" w:cs="仿宋"/>
          <w:szCs w:val="32"/>
        </w:rPr>
      </w:pPr>
      <w:r>
        <w:rPr>
          <w:rFonts w:hint="eastAsia" w:ascii="仿宋" w:hAnsi="仿宋" w:cs="仿宋"/>
          <w:szCs w:val="32"/>
        </w:rPr>
        <w:t>1.《吉林省企业备案投资项目核准和备案管理办法》；</w:t>
      </w:r>
    </w:p>
    <w:p>
      <w:pPr>
        <w:spacing w:line="360" w:lineRule="auto"/>
        <w:ind w:firstLine="640" w:firstLineChars="200"/>
        <w:rPr>
          <w:rFonts w:ascii="仿宋" w:hAnsi="仿宋" w:cs="仿宋"/>
          <w:szCs w:val="32"/>
        </w:rPr>
      </w:pPr>
      <w:r>
        <w:rPr>
          <w:rFonts w:hint="eastAsia" w:ascii="仿宋" w:hAnsi="仿宋" w:cs="仿宋"/>
          <w:szCs w:val="32"/>
        </w:rPr>
        <w:t>2.《吉林省政府性投资项目监督管理办法》；</w:t>
      </w:r>
    </w:p>
    <w:p>
      <w:pPr>
        <w:spacing w:line="360" w:lineRule="auto"/>
        <w:ind w:firstLine="640" w:firstLineChars="200"/>
        <w:rPr>
          <w:rFonts w:ascii="仿宋" w:hAnsi="仿宋" w:cs="仿宋"/>
          <w:szCs w:val="32"/>
        </w:rPr>
      </w:pPr>
      <w:r>
        <w:rPr>
          <w:rFonts w:hint="eastAsia" w:ascii="仿宋" w:hAnsi="仿宋" w:cs="仿宋"/>
          <w:szCs w:val="32"/>
        </w:rPr>
        <w:t xml:space="preserve">3.国家、省其它相关法律、法规和政策。 </w:t>
      </w:r>
    </w:p>
    <w:p>
      <w:pPr>
        <w:spacing w:line="360" w:lineRule="auto"/>
        <w:ind w:firstLine="640" w:firstLineChars="200"/>
        <w:outlineLvl w:val="0"/>
        <w:rPr>
          <w:rFonts w:ascii="仿宋_GB2312" w:hAnsi="仿宋_GB2312" w:eastAsia="仿宋_GB2312" w:cs="仿宋_GB2312"/>
          <w:szCs w:val="32"/>
        </w:rPr>
      </w:pPr>
      <w:bookmarkStart w:id="309" w:name="_Toc10308"/>
      <w:bookmarkStart w:id="310" w:name="_Toc939"/>
      <w:bookmarkStart w:id="311" w:name="_Toc26531"/>
      <w:bookmarkStart w:id="312" w:name="_Toc18037"/>
      <w:bookmarkStart w:id="313" w:name="_Toc260"/>
      <w:bookmarkStart w:id="314" w:name="_Toc16724"/>
      <w:bookmarkStart w:id="315" w:name="_Toc9226"/>
      <w:bookmarkStart w:id="316" w:name="_Toc13036"/>
      <w:r>
        <w:rPr>
          <w:rFonts w:hint="eastAsia" w:ascii="黑体" w:hAnsi="黑体" w:eastAsia="黑体" w:cs="黑体"/>
          <w:szCs w:val="32"/>
        </w:rPr>
        <w:t>三、适用范围</w:t>
      </w:r>
      <w:bookmarkEnd w:id="309"/>
      <w:bookmarkEnd w:id="310"/>
      <w:bookmarkEnd w:id="311"/>
      <w:bookmarkEnd w:id="312"/>
      <w:bookmarkEnd w:id="313"/>
      <w:bookmarkEnd w:id="314"/>
      <w:bookmarkEnd w:id="315"/>
      <w:bookmarkEnd w:id="316"/>
    </w:p>
    <w:p>
      <w:pPr>
        <w:spacing w:line="360" w:lineRule="auto"/>
        <w:ind w:firstLine="640" w:firstLineChars="200"/>
        <w:rPr>
          <w:rFonts w:ascii="仿宋_GB2312" w:hAnsi="仿宋_GB2312" w:eastAsia="仿宋_GB2312" w:cs="仿宋_GB2312"/>
          <w:szCs w:val="32"/>
        </w:rPr>
      </w:pPr>
      <w:r>
        <w:rPr>
          <w:rFonts w:hint="eastAsia" w:ascii="仿宋" w:hAnsi="仿宋" w:cs="仿宋"/>
          <w:szCs w:val="32"/>
        </w:rPr>
        <w:t>按照省、市有关规定，在新区建设，由白城市发改委核准、审批的项目。</w:t>
      </w:r>
      <w:r>
        <w:rPr>
          <w:rFonts w:hint="eastAsia" w:ascii="仿宋_GB2312" w:hAnsi="仿宋_GB2312" w:eastAsia="仿宋_GB2312" w:cs="仿宋_GB2312"/>
          <w:szCs w:val="32"/>
        </w:rPr>
        <w:t xml:space="preserve"> </w:t>
      </w:r>
    </w:p>
    <w:p>
      <w:pPr>
        <w:spacing w:line="360" w:lineRule="auto"/>
        <w:ind w:firstLine="640" w:firstLineChars="200"/>
        <w:outlineLvl w:val="0"/>
        <w:rPr>
          <w:rFonts w:ascii="黑体" w:hAnsi="黑体" w:eastAsia="黑体" w:cs="黑体"/>
          <w:szCs w:val="32"/>
        </w:rPr>
      </w:pPr>
      <w:bookmarkStart w:id="317" w:name="_Toc8865"/>
      <w:bookmarkStart w:id="318" w:name="_Toc19717"/>
      <w:bookmarkStart w:id="319" w:name="_Toc13907"/>
      <w:bookmarkStart w:id="320" w:name="_Toc8621"/>
      <w:bookmarkStart w:id="321" w:name="_Toc8514"/>
      <w:bookmarkStart w:id="322" w:name="_Toc9786"/>
      <w:bookmarkStart w:id="323" w:name="_Toc18514"/>
      <w:bookmarkStart w:id="324" w:name="_Toc28681"/>
      <w:r>
        <w:rPr>
          <w:rFonts w:hint="eastAsia" w:ascii="黑体" w:hAnsi="黑体" w:eastAsia="黑体" w:cs="黑体"/>
          <w:szCs w:val="32"/>
        </w:rPr>
        <w:t>四、申报材料</w:t>
      </w:r>
      <w:bookmarkEnd w:id="317"/>
      <w:bookmarkEnd w:id="318"/>
      <w:bookmarkEnd w:id="319"/>
      <w:bookmarkEnd w:id="320"/>
      <w:bookmarkEnd w:id="321"/>
      <w:bookmarkEnd w:id="322"/>
      <w:bookmarkEnd w:id="323"/>
      <w:bookmarkEnd w:id="324"/>
    </w:p>
    <w:p>
      <w:pPr>
        <w:spacing w:line="360" w:lineRule="auto"/>
        <w:ind w:firstLine="640" w:firstLineChars="200"/>
        <w:rPr>
          <w:rFonts w:ascii="仿宋" w:hAnsi="仿宋" w:cs="仿宋"/>
          <w:szCs w:val="32"/>
        </w:rPr>
      </w:pPr>
      <w:r>
        <w:rPr>
          <w:rFonts w:hint="eastAsia" w:ascii="仿宋" w:hAnsi="仿宋" w:cs="仿宋"/>
          <w:szCs w:val="32"/>
        </w:rPr>
        <w:t xml:space="preserve">政府投资项目实行审批制，包括审批项目建议书和可行性研究报告。除党政机关办公楼等楼堂馆所项目外，建设内容简单、投资规模较小的项目可以直接编制可行性研究报告；应报市发改部门核准的地方企业投资项目，企业向本局申报，由我局转报市发改委相关部门。申报单位应对申报材料的真实性负责。 </w:t>
      </w:r>
    </w:p>
    <w:p>
      <w:pPr>
        <w:spacing w:line="360" w:lineRule="auto"/>
        <w:ind w:firstLine="640" w:firstLineChars="200"/>
        <w:rPr>
          <w:rFonts w:ascii="楷体_GB2312" w:hAnsi="楷体_GB2312" w:eastAsia="楷体_GB2312" w:cs="楷体_GB2312"/>
          <w:szCs w:val="32"/>
        </w:rPr>
      </w:pPr>
      <w:r>
        <w:rPr>
          <w:rFonts w:hint="eastAsia" w:ascii="楷体_GB2312" w:hAnsi="楷体_GB2312" w:eastAsia="楷体_GB2312" w:cs="楷体_GB2312"/>
          <w:szCs w:val="32"/>
        </w:rPr>
        <w:t>1.项目核准、审批要求</w:t>
      </w:r>
    </w:p>
    <w:p>
      <w:pPr>
        <w:spacing w:line="360" w:lineRule="auto"/>
        <w:ind w:firstLine="640" w:firstLineChars="200"/>
        <w:rPr>
          <w:rFonts w:ascii="仿宋" w:hAnsi="仿宋" w:cs="仿宋"/>
          <w:szCs w:val="32"/>
        </w:rPr>
      </w:pPr>
      <w:r>
        <w:rPr>
          <w:rFonts w:hint="eastAsia" w:ascii="仿宋" w:hAnsi="仿宋" w:cs="仿宋"/>
          <w:szCs w:val="32"/>
        </w:rPr>
        <w:t>（1）项目法人单位报送由具备相应工程咨询资质的单位编制的《可行性研究报告》或《项目申请报告》，同时附送相应管理权限的部门出具的文件，并对所有申报材料及文件的真实性负责。</w:t>
      </w:r>
    </w:p>
    <w:p>
      <w:pPr>
        <w:spacing w:line="360" w:lineRule="auto"/>
        <w:ind w:firstLine="640" w:firstLineChars="200"/>
        <w:rPr>
          <w:rFonts w:ascii="仿宋" w:hAnsi="仿宋" w:cs="仿宋"/>
          <w:szCs w:val="32"/>
        </w:rPr>
      </w:pPr>
      <w:r>
        <w:rPr>
          <w:rFonts w:hint="eastAsia" w:ascii="仿宋" w:hAnsi="仿宋" w:cs="仿宋"/>
          <w:szCs w:val="32"/>
        </w:rPr>
        <w:t>（2）项目合作服务局出具项目核准、审批的请示文件； </w:t>
      </w:r>
    </w:p>
    <w:p>
      <w:pPr>
        <w:spacing w:line="360" w:lineRule="auto"/>
        <w:ind w:firstLine="640" w:firstLineChars="200"/>
        <w:rPr>
          <w:rFonts w:ascii="仿宋" w:hAnsi="仿宋" w:cs="仿宋"/>
          <w:szCs w:val="32"/>
        </w:rPr>
      </w:pPr>
      <w:r>
        <w:rPr>
          <w:rFonts w:hint="eastAsia" w:ascii="仿宋" w:hAnsi="仿宋" w:cs="仿宋"/>
          <w:szCs w:val="32"/>
        </w:rPr>
        <w:t>（3）自然资源局提供相应审批文件； </w:t>
      </w:r>
    </w:p>
    <w:p>
      <w:pPr>
        <w:spacing w:line="360" w:lineRule="auto"/>
        <w:ind w:firstLine="640" w:firstLineChars="200"/>
        <w:rPr>
          <w:rFonts w:ascii="仿宋" w:hAnsi="仿宋" w:cs="仿宋"/>
          <w:szCs w:val="32"/>
        </w:rPr>
      </w:pPr>
      <w:r>
        <w:rPr>
          <w:rFonts w:hint="eastAsia" w:ascii="仿宋" w:hAnsi="仿宋" w:cs="仿宋"/>
          <w:szCs w:val="32"/>
        </w:rPr>
        <w:t>（4） 环境保护行政主管部门出具的环境影响评价审批文件； </w:t>
      </w:r>
    </w:p>
    <w:p>
      <w:pPr>
        <w:spacing w:line="360" w:lineRule="auto"/>
        <w:ind w:firstLine="640" w:firstLineChars="200"/>
        <w:rPr>
          <w:rFonts w:ascii="仿宋" w:hAnsi="仿宋" w:cs="仿宋"/>
          <w:szCs w:val="32"/>
        </w:rPr>
      </w:pPr>
      <w:r>
        <w:rPr>
          <w:rFonts w:hint="eastAsia" w:ascii="仿宋" w:hAnsi="仿宋" w:cs="仿宋"/>
          <w:szCs w:val="32"/>
        </w:rPr>
        <w:t>（5）节能审查行政主管部门出具的节能审查意见；</w:t>
      </w:r>
    </w:p>
    <w:p>
      <w:pPr>
        <w:spacing w:line="360" w:lineRule="auto"/>
        <w:ind w:firstLine="640" w:firstLineChars="200"/>
        <w:rPr>
          <w:rFonts w:ascii="仿宋" w:hAnsi="仿宋" w:cs="仿宋"/>
          <w:szCs w:val="32"/>
        </w:rPr>
      </w:pPr>
      <w:r>
        <w:rPr>
          <w:rFonts w:hint="eastAsia" w:ascii="仿宋" w:hAnsi="仿宋" w:cs="仿宋"/>
          <w:szCs w:val="32"/>
        </w:rPr>
        <w:t>（6） 其他有关法律、法规规定应提交的文件；</w:t>
      </w:r>
    </w:p>
    <w:p>
      <w:pPr>
        <w:spacing w:line="360" w:lineRule="auto"/>
        <w:ind w:firstLine="640" w:firstLineChars="200"/>
        <w:rPr>
          <w:rFonts w:ascii="仿宋" w:hAnsi="仿宋" w:cs="仿宋"/>
          <w:szCs w:val="32"/>
        </w:rPr>
      </w:pPr>
      <w:r>
        <w:rPr>
          <w:rFonts w:hint="eastAsia" w:ascii="仿宋" w:hAnsi="仿宋" w:cs="仿宋"/>
          <w:szCs w:val="32"/>
        </w:rPr>
        <w:t>（7） 真实性声明；</w:t>
      </w:r>
    </w:p>
    <w:p>
      <w:pPr>
        <w:spacing w:line="360" w:lineRule="auto"/>
        <w:ind w:firstLine="640" w:firstLineChars="200"/>
        <w:rPr>
          <w:rFonts w:ascii="仿宋" w:hAnsi="仿宋" w:cs="仿宋"/>
          <w:szCs w:val="32"/>
        </w:rPr>
      </w:pPr>
      <w:r>
        <w:rPr>
          <w:rFonts w:hint="eastAsia" w:ascii="仿宋" w:hAnsi="仿宋" w:cs="仿宋"/>
          <w:szCs w:val="32"/>
        </w:rPr>
        <w:t>（8）资金到位证明。</w:t>
      </w:r>
    </w:p>
    <w:p>
      <w:pPr>
        <w:spacing w:line="360" w:lineRule="auto"/>
        <w:ind w:firstLine="640" w:firstLineChars="200"/>
        <w:rPr>
          <w:rFonts w:ascii="楷体_GB2312" w:hAnsi="楷体_GB2312" w:eastAsia="楷体_GB2312" w:cs="楷体_GB2312"/>
          <w:szCs w:val="32"/>
        </w:rPr>
      </w:pPr>
      <w:r>
        <w:rPr>
          <w:rFonts w:hint="eastAsia" w:ascii="楷体_GB2312" w:hAnsi="楷体_GB2312" w:eastAsia="楷体_GB2312" w:cs="楷体_GB2312"/>
          <w:szCs w:val="32"/>
        </w:rPr>
        <w:t>2.项目核准、审批中，有下列情形之一的，应当按照规定重新备案或调整可行性研究报告：</w:t>
      </w:r>
    </w:p>
    <w:p>
      <w:pPr>
        <w:spacing w:line="360" w:lineRule="auto"/>
        <w:ind w:firstLine="640" w:firstLineChars="200"/>
        <w:rPr>
          <w:rFonts w:ascii="仿宋" w:hAnsi="仿宋" w:cs="仿宋"/>
          <w:szCs w:val="32"/>
        </w:rPr>
      </w:pPr>
      <w:r>
        <w:rPr>
          <w:rFonts w:hint="eastAsia" w:ascii="仿宋_GB2312" w:hAnsi="仿宋_GB2312" w:eastAsia="仿宋_GB2312" w:cs="仿宋_GB2312"/>
          <w:szCs w:val="32"/>
        </w:rPr>
        <w:t>（</w:t>
      </w:r>
      <w:r>
        <w:rPr>
          <w:rFonts w:hint="eastAsia" w:ascii="仿宋" w:hAnsi="仿宋" w:cs="仿宋"/>
          <w:szCs w:val="32"/>
        </w:rPr>
        <w:t>1）项目法人单位发生变化；</w:t>
      </w:r>
    </w:p>
    <w:p>
      <w:pPr>
        <w:spacing w:line="360" w:lineRule="auto"/>
        <w:ind w:firstLine="640" w:firstLineChars="200"/>
        <w:rPr>
          <w:rFonts w:ascii="仿宋" w:hAnsi="仿宋" w:cs="仿宋"/>
          <w:szCs w:val="32"/>
        </w:rPr>
      </w:pPr>
      <w:r>
        <w:rPr>
          <w:rFonts w:hint="eastAsia" w:ascii="仿宋" w:hAnsi="仿宋" w:cs="仿宋"/>
          <w:szCs w:val="32"/>
        </w:rPr>
        <w:t>（2）项目建设规模和内容发生变化；</w:t>
      </w:r>
    </w:p>
    <w:p>
      <w:pPr>
        <w:spacing w:line="360" w:lineRule="auto"/>
        <w:ind w:firstLine="640" w:firstLineChars="200"/>
        <w:rPr>
          <w:rFonts w:ascii="仿宋" w:hAnsi="仿宋" w:cs="仿宋"/>
          <w:szCs w:val="32"/>
        </w:rPr>
      </w:pPr>
      <w:r>
        <w:rPr>
          <w:rFonts w:hint="eastAsia" w:ascii="仿宋" w:hAnsi="仿宋" w:cs="仿宋"/>
          <w:szCs w:val="32"/>
        </w:rPr>
        <w:t>（3）建设地点发生变化；</w:t>
      </w:r>
    </w:p>
    <w:p>
      <w:pPr>
        <w:spacing w:line="360" w:lineRule="auto"/>
        <w:ind w:firstLine="640" w:firstLineChars="200"/>
        <w:rPr>
          <w:rFonts w:ascii="仿宋" w:hAnsi="仿宋" w:cs="仿宋"/>
          <w:szCs w:val="32"/>
        </w:rPr>
      </w:pPr>
      <w:r>
        <w:rPr>
          <w:rFonts w:hint="eastAsia" w:ascii="仿宋" w:hAnsi="仿宋" w:cs="仿宋"/>
          <w:szCs w:val="32"/>
        </w:rPr>
        <w:t>（4）初步设计建设规模变化幅度超过规模的５％；</w:t>
      </w:r>
    </w:p>
    <w:p>
      <w:pPr>
        <w:spacing w:line="360" w:lineRule="auto"/>
        <w:ind w:firstLine="640" w:firstLineChars="200"/>
        <w:rPr>
          <w:rFonts w:ascii="仿宋" w:hAnsi="仿宋" w:cs="仿宋"/>
          <w:szCs w:val="32"/>
        </w:rPr>
      </w:pPr>
      <w:r>
        <w:rPr>
          <w:rFonts w:hint="eastAsia" w:ascii="仿宋" w:hAnsi="仿宋" w:cs="仿宋"/>
          <w:szCs w:val="32"/>
        </w:rPr>
        <w:t>（5）概算总投资额变化幅度超过估算总投资额的10%。</w:t>
      </w:r>
    </w:p>
    <w:p>
      <w:pPr>
        <w:spacing w:line="360" w:lineRule="auto"/>
        <w:ind w:firstLine="640" w:firstLineChars="200"/>
        <w:outlineLvl w:val="0"/>
        <w:rPr>
          <w:rFonts w:ascii="黑体" w:hAnsi="黑体" w:eastAsia="黑体" w:cs="黑体"/>
          <w:szCs w:val="32"/>
        </w:rPr>
      </w:pPr>
      <w:bookmarkStart w:id="325" w:name="_Toc5494"/>
      <w:bookmarkStart w:id="326" w:name="_Toc3828"/>
      <w:bookmarkStart w:id="327" w:name="_Toc28389"/>
      <w:bookmarkStart w:id="328" w:name="_Toc3285"/>
      <w:bookmarkStart w:id="329" w:name="_Toc13989"/>
      <w:bookmarkStart w:id="330" w:name="_Toc1737"/>
      <w:bookmarkStart w:id="331" w:name="_Toc11753"/>
      <w:bookmarkStart w:id="332" w:name="_Toc12555"/>
      <w:r>
        <w:rPr>
          <w:rFonts w:hint="eastAsia" w:ascii="黑体" w:hAnsi="黑体" w:eastAsia="黑体" w:cs="黑体"/>
          <w:szCs w:val="32"/>
        </w:rPr>
        <w:t>五、办理程序</w:t>
      </w:r>
      <w:bookmarkEnd w:id="325"/>
      <w:bookmarkEnd w:id="326"/>
      <w:bookmarkEnd w:id="327"/>
      <w:bookmarkEnd w:id="328"/>
      <w:bookmarkEnd w:id="329"/>
      <w:bookmarkEnd w:id="330"/>
      <w:bookmarkEnd w:id="331"/>
      <w:bookmarkEnd w:id="332"/>
    </w:p>
    <w:p>
      <w:pPr>
        <w:spacing w:line="360" w:lineRule="auto"/>
        <w:ind w:firstLine="640" w:firstLineChars="200"/>
        <w:rPr>
          <w:rFonts w:ascii="仿宋" w:hAnsi="仿宋" w:cs="仿宋"/>
          <w:szCs w:val="32"/>
        </w:rPr>
      </w:pPr>
      <w:bookmarkStart w:id="333" w:name="_Toc29493"/>
      <w:r>
        <w:rPr>
          <w:rFonts w:hint="eastAsia" w:ascii="仿宋" w:hAnsi="仿宋" w:cs="仿宋"/>
          <w:szCs w:val="32"/>
        </w:rPr>
        <w:t>1.受理</w:t>
      </w:r>
      <w:bookmarkEnd w:id="333"/>
    </w:p>
    <w:p>
      <w:pPr>
        <w:spacing w:line="360" w:lineRule="auto"/>
        <w:ind w:firstLine="640" w:firstLineChars="200"/>
        <w:rPr>
          <w:rFonts w:ascii="仿宋" w:hAnsi="仿宋" w:cs="仿宋"/>
          <w:szCs w:val="32"/>
        </w:rPr>
      </w:pPr>
      <w:r>
        <w:rPr>
          <w:rFonts w:hint="eastAsia" w:ascii="仿宋" w:hAnsi="仿宋" w:cs="仿宋"/>
          <w:szCs w:val="32"/>
        </w:rPr>
        <w:t>新区项目合作服务局接收项目核准、审批申请及相关资料后，进行初审，并根据相关规定，分别作出以下处理：</w:t>
      </w:r>
    </w:p>
    <w:p>
      <w:pPr>
        <w:spacing w:line="360" w:lineRule="auto"/>
        <w:ind w:firstLine="640" w:firstLineChars="200"/>
        <w:rPr>
          <w:rFonts w:ascii="仿宋" w:hAnsi="仿宋" w:cs="仿宋"/>
          <w:szCs w:val="32"/>
        </w:rPr>
      </w:pPr>
      <w:r>
        <w:rPr>
          <w:rFonts w:hint="eastAsia" w:ascii="仿宋" w:hAnsi="仿宋" w:cs="仿宋"/>
          <w:szCs w:val="32"/>
        </w:rPr>
        <w:t>（1）申请事项依法不需要取得核准、审批的，即时告知申请人不受理；</w:t>
      </w:r>
    </w:p>
    <w:p>
      <w:pPr>
        <w:spacing w:line="360" w:lineRule="auto"/>
        <w:ind w:firstLine="640" w:firstLineChars="200"/>
        <w:rPr>
          <w:rFonts w:ascii="仿宋" w:hAnsi="仿宋" w:cs="仿宋"/>
          <w:szCs w:val="32"/>
        </w:rPr>
      </w:pPr>
      <w:r>
        <w:rPr>
          <w:rFonts w:hint="eastAsia" w:ascii="仿宋" w:hAnsi="仿宋" w:cs="仿宋"/>
          <w:szCs w:val="32"/>
        </w:rPr>
        <w:t>（2）申请事项依法不属于本局职权范围的，即时做出不予受理的决定，并告知申请人向有关行政机关申请；</w:t>
      </w:r>
    </w:p>
    <w:p>
      <w:pPr>
        <w:spacing w:line="360" w:lineRule="auto"/>
        <w:ind w:firstLine="640" w:firstLineChars="200"/>
        <w:rPr>
          <w:rFonts w:ascii="仿宋" w:hAnsi="仿宋" w:cs="仿宋"/>
          <w:szCs w:val="32"/>
        </w:rPr>
      </w:pPr>
      <w:r>
        <w:rPr>
          <w:rFonts w:hint="eastAsia" w:ascii="仿宋" w:hAnsi="仿宋" w:cs="仿宋"/>
          <w:szCs w:val="32"/>
        </w:rPr>
        <w:t>（3）申请材料不齐全或者不符合法定形式，需要补正有关材料的，即时一次性告知申请人需要补正的全部内容；</w:t>
      </w:r>
    </w:p>
    <w:p>
      <w:pPr>
        <w:spacing w:line="360" w:lineRule="auto"/>
        <w:ind w:firstLine="640" w:firstLineChars="200"/>
        <w:rPr>
          <w:rFonts w:ascii="仿宋" w:hAnsi="仿宋" w:cs="仿宋"/>
          <w:szCs w:val="32"/>
        </w:rPr>
      </w:pPr>
      <w:r>
        <w:rPr>
          <w:rFonts w:hint="eastAsia" w:ascii="仿宋" w:hAnsi="仿宋" w:cs="仿宋"/>
          <w:szCs w:val="32"/>
        </w:rPr>
        <w:t>（4）申请事项属于本局职权范围，申请材料齐全、符合法定形式，或者申请人按照本行政机关的要求提交全部补正申请材料的，即时受理核准、审批申请。</w:t>
      </w:r>
    </w:p>
    <w:p>
      <w:pPr>
        <w:spacing w:line="360" w:lineRule="auto"/>
        <w:ind w:firstLine="640" w:firstLineChars="200"/>
        <w:rPr>
          <w:rFonts w:ascii="仿宋" w:hAnsi="仿宋" w:cs="仿宋"/>
          <w:szCs w:val="32"/>
        </w:rPr>
      </w:pPr>
      <w:bookmarkStart w:id="334" w:name="_Toc26167"/>
      <w:r>
        <w:rPr>
          <w:rFonts w:hint="eastAsia" w:ascii="仿宋" w:hAnsi="仿宋" w:cs="仿宋"/>
          <w:szCs w:val="32"/>
        </w:rPr>
        <w:t>2.初审及转报</w:t>
      </w:r>
      <w:bookmarkEnd w:id="334"/>
    </w:p>
    <w:p>
      <w:pPr>
        <w:spacing w:line="360" w:lineRule="auto"/>
        <w:ind w:firstLine="640" w:firstLineChars="200"/>
        <w:rPr>
          <w:rFonts w:ascii="仿宋" w:hAnsi="仿宋" w:cs="仿宋"/>
          <w:szCs w:val="32"/>
        </w:rPr>
      </w:pPr>
      <w:r>
        <w:rPr>
          <w:rFonts w:hint="eastAsia" w:ascii="仿宋" w:hAnsi="仿宋" w:cs="仿宋"/>
          <w:szCs w:val="32"/>
        </w:rPr>
        <w:t>由本单位对受理的申报材料及内容是否符合法定条件和标准进行初审，向市发改委政务大厅窗口出具核准、审批请示文件并转报该项目的所有申报材料，由发改委部门相关科室进行审核。</w:t>
      </w:r>
    </w:p>
    <w:p>
      <w:pPr>
        <w:spacing w:line="360" w:lineRule="auto"/>
        <w:ind w:firstLine="640" w:firstLineChars="200"/>
        <w:rPr>
          <w:rFonts w:ascii="仿宋" w:hAnsi="仿宋" w:cs="仿宋"/>
          <w:szCs w:val="32"/>
        </w:rPr>
      </w:pPr>
      <w:bookmarkStart w:id="335" w:name="_Toc5142"/>
      <w:r>
        <w:rPr>
          <w:rFonts w:hint="eastAsia" w:ascii="仿宋" w:hAnsi="仿宋" w:cs="仿宋"/>
          <w:szCs w:val="32"/>
        </w:rPr>
        <w:t>3.批复文件送达</w:t>
      </w:r>
      <w:bookmarkEnd w:id="335"/>
    </w:p>
    <w:p>
      <w:pPr>
        <w:spacing w:line="360" w:lineRule="auto"/>
        <w:ind w:firstLine="640" w:firstLineChars="200"/>
        <w:rPr>
          <w:rFonts w:ascii="仿宋" w:hAnsi="仿宋" w:cs="仿宋"/>
          <w:szCs w:val="32"/>
        </w:rPr>
      </w:pPr>
      <w:r>
        <w:rPr>
          <w:rFonts w:hint="eastAsia" w:ascii="仿宋" w:hAnsi="仿宋" w:cs="仿宋"/>
          <w:szCs w:val="32"/>
        </w:rPr>
        <w:t>发改委部门相关科室将制作的核准、审批文件，加盖本行政机关印章后通知新区项目合作服务局，由项目局领取文件后转给项目单位。</w:t>
      </w:r>
    </w:p>
    <w:p>
      <w:pPr>
        <w:spacing w:line="360" w:lineRule="auto"/>
        <w:ind w:firstLine="640" w:firstLineChars="200"/>
        <w:outlineLvl w:val="0"/>
        <w:rPr>
          <w:rFonts w:ascii="黑体" w:hAnsi="黑体" w:eastAsia="黑体" w:cs="黑体"/>
          <w:szCs w:val="32"/>
        </w:rPr>
      </w:pPr>
      <w:bookmarkStart w:id="336" w:name="_Toc13475"/>
      <w:bookmarkStart w:id="337" w:name="_Toc17404"/>
      <w:bookmarkStart w:id="338" w:name="_Toc32591"/>
      <w:bookmarkStart w:id="339" w:name="_Toc13196"/>
      <w:bookmarkStart w:id="340" w:name="_Toc827"/>
      <w:bookmarkStart w:id="341" w:name="_Toc1393"/>
      <w:bookmarkStart w:id="342" w:name="_Toc1460"/>
      <w:bookmarkStart w:id="343" w:name="_Toc29655"/>
      <w:r>
        <w:rPr>
          <w:rFonts w:hint="eastAsia" w:ascii="黑体" w:hAnsi="黑体" w:eastAsia="黑体" w:cs="黑体"/>
          <w:szCs w:val="32"/>
        </w:rPr>
        <w:t>六、办理期限</w:t>
      </w:r>
      <w:bookmarkEnd w:id="336"/>
      <w:bookmarkEnd w:id="337"/>
      <w:bookmarkEnd w:id="338"/>
      <w:bookmarkEnd w:id="339"/>
      <w:bookmarkEnd w:id="340"/>
      <w:bookmarkEnd w:id="341"/>
      <w:bookmarkEnd w:id="342"/>
      <w:bookmarkEnd w:id="343"/>
    </w:p>
    <w:p>
      <w:pPr>
        <w:spacing w:line="360" w:lineRule="auto"/>
        <w:ind w:firstLine="640" w:firstLineChars="200"/>
        <w:rPr>
          <w:rFonts w:ascii="仿宋" w:hAnsi="仿宋" w:cs="仿宋"/>
          <w:szCs w:val="32"/>
        </w:rPr>
      </w:pPr>
      <w:r>
        <w:rPr>
          <w:rFonts w:hint="eastAsia" w:ascii="仿宋" w:hAnsi="仿宋" w:cs="仿宋"/>
          <w:szCs w:val="32"/>
        </w:rPr>
        <w:t>项目申请单位提交报审材料后，经审查材料不齐全或者不符合要求的，即时一次告知申请人补齐或补正。申请人按要求准备齐全上报材料后，项目合作服务局予以正式受理。正式受理后对项目申报材料及内容进行初审，合格后立即向市发改委政务大厅窗口出具核准、审批请示文件并转报该项目的所有申报材料。</w:t>
      </w:r>
    </w:p>
    <w:p>
      <w:pPr>
        <w:spacing w:line="360" w:lineRule="auto"/>
        <w:ind w:firstLine="640" w:firstLineChars="200"/>
        <w:outlineLvl w:val="0"/>
        <w:rPr>
          <w:rFonts w:ascii="黑体" w:hAnsi="黑体" w:eastAsia="黑体" w:cs="黑体"/>
          <w:szCs w:val="32"/>
        </w:rPr>
      </w:pPr>
      <w:bookmarkStart w:id="344" w:name="_Toc10001"/>
      <w:bookmarkStart w:id="345" w:name="_Toc13211"/>
      <w:bookmarkStart w:id="346" w:name="_Toc5214"/>
      <w:bookmarkStart w:id="347" w:name="_Toc25397"/>
      <w:bookmarkStart w:id="348" w:name="_Toc11010"/>
      <w:bookmarkStart w:id="349" w:name="_Toc15652"/>
      <w:bookmarkStart w:id="350" w:name="_Toc8763"/>
      <w:bookmarkStart w:id="351" w:name="_Toc7051"/>
      <w:r>
        <w:rPr>
          <w:rFonts w:hint="eastAsia" w:ascii="黑体" w:hAnsi="黑体" w:eastAsia="黑体" w:cs="黑体"/>
          <w:szCs w:val="32"/>
        </w:rPr>
        <w:t>七、监督检查</w:t>
      </w:r>
      <w:bookmarkEnd w:id="344"/>
      <w:bookmarkEnd w:id="345"/>
      <w:bookmarkEnd w:id="346"/>
      <w:bookmarkEnd w:id="347"/>
      <w:bookmarkEnd w:id="348"/>
      <w:bookmarkEnd w:id="349"/>
      <w:bookmarkEnd w:id="350"/>
      <w:bookmarkEnd w:id="351"/>
    </w:p>
    <w:p>
      <w:pPr>
        <w:spacing w:line="360" w:lineRule="auto"/>
        <w:ind w:firstLine="640" w:firstLineChars="200"/>
        <w:rPr>
          <w:rFonts w:ascii="仿宋_GB2312" w:hAnsi="仿宋_GB2312" w:eastAsia="仿宋_GB2312" w:cs="仿宋_GB2312"/>
          <w:szCs w:val="32"/>
        </w:rPr>
      </w:pPr>
      <w:r>
        <w:rPr>
          <w:rFonts w:hint="eastAsia" w:ascii="仿宋" w:hAnsi="仿宋" w:cs="仿宋"/>
          <w:szCs w:val="32"/>
        </w:rPr>
        <w:t>在项目核准、审批转报过程中不能私自更改项目相关申报材料和内容，不能出现拖延不报、对项目单位吃、拿、卡、要等情况。要廉洁自律、秉公处理，严格遵守职业道德规范并接受相关部门的监督检查。</w:t>
      </w:r>
    </w:p>
    <w:p>
      <w:pPr>
        <w:spacing w:line="360" w:lineRule="auto"/>
        <w:ind w:firstLine="640" w:firstLineChars="200"/>
        <w:outlineLvl w:val="0"/>
        <w:rPr>
          <w:rFonts w:ascii="黑体" w:hAnsi="黑体" w:eastAsia="黑体" w:cs="黑体"/>
          <w:szCs w:val="32"/>
        </w:rPr>
      </w:pPr>
      <w:bookmarkStart w:id="352" w:name="_Toc5526"/>
      <w:bookmarkStart w:id="353" w:name="_Toc5590"/>
      <w:bookmarkStart w:id="354" w:name="_Toc6395"/>
      <w:bookmarkStart w:id="355" w:name="_Toc8619"/>
      <w:bookmarkStart w:id="356" w:name="_Toc1313"/>
      <w:bookmarkStart w:id="357" w:name="_Toc13305"/>
      <w:bookmarkStart w:id="358" w:name="_Toc17570"/>
      <w:bookmarkStart w:id="359" w:name="_Toc22189"/>
      <w:r>
        <w:rPr>
          <w:rFonts w:hint="eastAsia" w:ascii="黑体" w:hAnsi="黑体" w:eastAsia="黑体" w:cs="黑体"/>
          <w:szCs w:val="32"/>
        </w:rPr>
        <w:t>八、其他事项</w:t>
      </w:r>
      <w:bookmarkEnd w:id="352"/>
      <w:bookmarkEnd w:id="353"/>
      <w:bookmarkEnd w:id="354"/>
      <w:bookmarkEnd w:id="355"/>
      <w:bookmarkEnd w:id="356"/>
      <w:bookmarkEnd w:id="357"/>
      <w:bookmarkEnd w:id="358"/>
      <w:bookmarkEnd w:id="359"/>
    </w:p>
    <w:p>
      <w:pPr>
        <w:spacing w:line="360" w:lineRule="auto"/>
        <w:ind w:firstLine="640" w:firstLineChars="200"/>
        <w:rPr>
          <w:rFonts w:ascii="仿宋_GB2312" w:hAnsi="仿宋_GB2312" w:eastAsia="仿宋_GB2312" w:cs="仿宋_GB2312"/>
          <w:szCs w:val="32"/>
        </w:rPr>
      </w:pPr>
      <w:r>
        <w:rPr>
          <w:rFonts w:hint="eastAsia" w:ascii="仿宋" w:hAnsi="仿宋" w:cs="仿宋"/>
          <w:szCs w:val="32"/>
        </w:rPr>
        <w:t>本制度自印发之日起执行。</w:t>
      </w:r>
    </w:p>
    <w:p>
      <w:pPr>
        <w:ind w:firstLine="640" w:firstLineChars="200"/>
        <w:rPr>
          <w:rFonts w:ascii="仿宋_GB2312" w:hAnsi="仿宋_GB2312" w:eastAsia="仿宋_GB2312" w:cs="仿宋_GB2312"/>
          <w:szCs w:val="32"/>
        </w:rPr>
      </w:pPr>
    </w:p>
    <w:p>
      <w:pPr>
        <w:ind w:firstLine="640" w:firstLineChars="200"/>
        <w:rPr>
          <w:rFonts w:ascii="仿宋_GB2312" w:hAnsi="仿宋_GB2312" w:eastAsia="仿宋_GB2312" w:cs="仿宋_GB2312"/>
          <w:szCs w:val="32"/>
        </w:rPr>
      </w:pPr>
    </w:p>
    <w:p>
      <w:pPr>
        <w:ind w:firstLine="640" w:firstLineChars="200"/>
        <w:rPr>
          <w:rFonts w:ascii="仿宋_GB2312" w:hAnsi="仿宋_GB2312" w:eastAsia="仿宋_GB2312" w:cs="仿宋_GB2312"/>
          <w:szCs w:val="32"/>
        </w:rPr>
      </w:pPr>
    </w:p>
    <w:p>
      <w:pPr>
        <w:ind w:firstLine="640" w:firstLineChars="200"/>
        <w:rPr>
          <w:rFonts w:ascii="仿宋_GB2312" w:hAnsi="仿宋_GB2312" w:eastAsia="仿宋_GB2312" w:cs="仿宋_GB2312"/>
          <w:szCs w:val="32"/>
        </w:rPr>
      </w:pPr>
    </w:p>
    <w:p>
      <w:pPr>
        <w:ind w:firstLine="640" w:firstLineChars="200"/>
        <w:rPr>
          <w:rFonts w:ascii="仿宋_GB2312" w:hAnsi="仿宋_GB2312" w:eastAsia="仿宋_GB2312" w:cs="仿宋_GB2312"/>
          <w:szCs w:val="32"/>
        </w:rPr>
      </w:pPr>
    </w:p>
    <w:p>
      <w:pPr>
        <w:ind w:firstLine="640" w:firstLineChars="200"/>
        <w:rPr>
          <w:rFonts w:ascii="仿宋_GB2312" w:hAnsi="仿宋_GB2312" w:eastAsia="仿宋_GB2312" w:cs="仿宋_GB2312"/>
          <w:szCs w:val="32"/>
        </w:rPr>
      </w:pPr>
    </w:p>
    <w:p>
      <w:pPr>
        <w:ind w:firstLine="640" w:firstLineChars="200"/>
        <w:rPr>
          <w:rFonts w:ascii="仿宋_GB2312" w:hAnsi="仿宋_GB2312" w:eastAsia="仿宋_GB2312" w:cs="仿宋_GB2312"/>
          <w:szCs w:val="32"/>
        </w:rPr>
      </w:pPr>
    </w:p>
    <w:p>
      <w:pPr>
        <w:ind w:firstLine="640" w:firstLineChars="200"/>
        <w:rPr>
          <w:rFonts w:ascii="仿宋_GB2312" w:hAnsi="仿宋_GB2312" w:eastAsia="仿宋_GB2312" w:cs="仿宋_GB2312"/>
          <w:szCs w:val="32"/>
        </w:rPr>
      </w:pPr>
    </w:p>
    <w:p>
      <w:pPr>
        <w:ind w:firstLine="640" w:firstLineChars="200"/>
        <w:rPr>
          <w:rFonts w:ascii="仿宋_GB2312" w:hAnsi="仿宋_GB2312" w:eastAsia="仿宋_GB2312" w:cs="仿宋_GB2312"/>
          <w:szCs w:val="32"/>
        </w:rPr>
      </w:pPr>
    </w:p>
    <w:p>
      <w:pPr>
        <w:ind w:firstLine="640" w:firstLineChars="200"/>
        <w:rPr>
          <w:rFonts w:ascii="仿宋_GB2312" w:hAnsi="仿宋_GB2312" w:eastAsia="仿宋_GB2312" w:cs="仿宋_GB2312"/>
          <w:szCs w:val="32"/>
        </w:rPr>
      </w:pPr>
    </w:p>
    <w:p>
      <w:pPr>
        <w:ind w:firstLine="640" w:firstLineChars="200"/>
        <w:rPr>
          <w:rFonts w:ascii="仿宋_GB2312" w:hAnsi="仿宋_GB2312" w:eastAsia="仿宋_GB2312" w:cs="仿宋_GB2312"/>
          <w:szCs w:val="32"/>
        </w:rPr>
      </w:pPr>
    </w:p>
    <w:p>
      <w:pPr>
        <w:jc w:val="center"/>
        <w:rPr>
          <w:b/>
          <w:bCs/>
        </w:rPr>
      </w:pPr>
      <w:r>
        <w:rPr>
          <w:rFonts w:hint="eastAsia"/>
          <w:b/>
          <w:bCs/>
        </w:rPr>
        <w:t>企业投资项目核准或可研报告</w:t>
      </w:r>
    </w:p>
    <w:p>
      <w:pPr>
        <w:jc w:val="center"/>
        <w:rPr>
          <w:rFonts w:ascii="黑体" w:hAnsi="黑体" w:eastAsia="黑体" w:cs="黑体"/>
          <w:szCs w:val="44"/>
        </w:rPr>
      </w:pPr>
      <w:bookmarkStart w:id="360" w:name="_Toc18836"/>
      <w:r>
        <w:rPr>
          <w:rFonts w:hint="eastAsia"/>
          <w:b/>
          <w:bCs/>
        </w:rPr>
        <w:t>审批转报流程</w:t>
      </w:r>
      <w:bookmarkEnd w:id="360"/>
    </w:p>
    <w:p>
      <w:pPr>
        <w:jc w:val="left"/>
        <w:rPr>
          <w:rFonts w:ascii="黑体" w:hAnsi="黑体" w:eastAsia="黑体" w:cs="黑体"/>
          <w:sz w:val="44"/>
          <w:szCs w:val="44"/>
        </w:rPr>
      </w:pPr>
    </w:p>
    <w:p>
      <w:pPr>
        <w:jc w:val="left"/>
        <w:rPr>
          <w:rFonts w:ascii="黑体" w:hAnsi="黑体" w:eastAsia="黑体" w:cs="黑体"/>
          <w:sz w:val="28"/>
          <w:szCs w:val="28"/>
        </w:rPr>
      </w:pPr>
      <w:r>
        <w:rPr>
          <w:sz w:val="28"/>
          <w:szCs w:val="28"/>
        </w:rPr>
        <mc:AlternateContent>
          <mc:Choice Requires="wps">
            <w:drawing>
              <wp:anchor distT="0" distB="0" distL="114300" distR="114300" simplePos="0" relativeHeight="251672576" behindDoc="0" locked="0" layoutInCell="1" allowOverlap="1">
                <wp:simplePos x="0" y="0"/>
                <wp:positionH relativeFrom="column">
                  <wp:posOffset>1257300</wp:posOffset>
                </wp:positionH>
                <wp:positionV relativeFrom="paragraph">
                  <wp:posOffset>198120</wp:posOffset>
                </wp:positionV>
                <wp:extent cx="1109345" cy="476885"/>
                <wp:effectExtent l="7620" t="7620" r="26035" b="10795"/>
                <wp:wrapNone/>
                <wp:docPr id="36" name="流程图: 可选过程 36"/>
                <wp:cNvGraphicFramePr/>
                <a:graphic xmlns:a="http://schemas.openxmlformats.org/drawingml/2006/main">
                  <a:graphicData uri="http://schemas.microsoft.com/office/word/2010/wordprocessingShape">
                    <wps:wsp>
                      <wps:cNvSpPr/>
                      <wps:spPr>
                        <a:xfrm>
                          <a:off x="0" y="0"/>
                          <a:ext cx="1109345" cy="476885"/>
                        </a:xfrm>
                        <a:prstGeom prst="flowChartAlternateProcess">
                          <a:avLst/>
                        </a:prstGeom>
                        <a:noFill/>
                        <a:ln w="15875" cap="flat" cmpd="sng">
                          <a:solidFill>
                            <a:srgbClr val="000000"/>
                          </a:solidFill>
                          <a:prstDash val="solid"/>
                          <a:miter/>
                          <a:headEnd type="none" w="med" len="med"/>
                          <a:tailEnd type="none" w="med" len="med"/>
                        </a:ln>
                      </wps:spPr>
                      <wps:txbx>
                        <w:txbxContent>
                          <w:p>
                            <w:pPr>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项目单位</w:t>
                            </w:r>
                          </w:p>
                        </w:txbxContent>
                      </wps:txbx>
                      <wps:bodyPr upright="1"/>
                    </wps:wsp>
                  </a:graphicData>
                </a:graphic>
              </wp:anchor>
            </w:drawing>
          </mc:Choice>
          <mc:Fallback>
            <w:pict>
              <v:shape id="_x0000_s1026" o:spid="_x0000_s1026" o:spt="176" type="#_x0000_t176" style="position:absolute;left:0pt;margin-left:99pt;margin-top:15.6pt;height:37.55pt;width:87.35pt;z-index:251672576;mso-width-relative:page;mso-height-relative:page;" filled="f" stroked="t" coordsize="21600,21600" o:gfxdata="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iS&#10;5B3WAAAACgEAAA8AAAAAAAAAAQAgAAAAIgAAAGRycy9kb3ducmV2LnhtbFBLAQIUABQAAAAIAIdO&#10;4kAmSstiJQIAACkEAAAOAAAAAAAAAAEAIAAAACUBAABkcnMvZTJvRG9jLnhtbFBLBQYAAAAABgAG&#10;AFkBAAC8BQAAAAA=&#10;">
                <v:fill on="f" focussize="0,0"/>
                <v:stroke weight="1.25pt" color="#000000" joinstyle="miter"/>
                <v:imagedata o:title=""/>
                <o:lock v:ext="edit" aspectratio="f"/>
                <v:textbox>
                  <w:txbxContent>
                    <w:p>
                      <w:pPr>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项目单位</w:t>
                      </w:r>
                    </w:p>
                  </w:txbxContent>
                </v:textbox>
              </v:shape>
            </w:pict>
          </mc:Fallback>
        </mc:AlternateContent>
      </w:r>
    </w:p>
    <w:p>
      <w:pPr>
        <w:jc w:val="left"/>
        <w:rPr>
          <w:rFonts w:ascii="黑体" w:hAnsi="黑体" w:eastAsia="黑体" w:cs="黑体"/>
          <w:sz w:val="28"/>
          <w:szCs w:val="28"/>
        </w:rPr>
      </w:pPr>
      <w:r>
        <w:rPr>
          <w:rFonts w:hint="eastAsia" w:ascii="黑体" w:hAnsi="黑体" w:eastAsia="黑体" w:cs="黑体"/>
          <w:sz w:val="24"/>
        </w:rPr>
        <mc:AlternateContent>
          <mc:Choice Requires="wps">
            <w:drawing>
              <wp:anchor distT="0" distB="0" distL="114300" distR="114300" simplePos="0" relativeHeight="251677696" behindDoc="0" locked="0" layoutInCell="1" allowOverlap="1">
                <wp:simplePos x="0" y="0"/>
                <wp:positionH relativeFrom="column">
                  <wp:posOffset>342900</wp:posOffset>
                </wp:positionH>
                <wp:positionV relativeFrom="paragraph">
                  <wp:posOffset>81280</wp:posOffset>
                </wp:positionV>
                <wp:extent cx="839470" cy="5715"/>
                <wp:effectExtent l="0" t="37465" r="17780" b="33020"/>
                <wp:wrapNone/>
                <wp:docPr id="39" name="直接连接符 39"/>
                <wp:cNvGraphicFramePr/>
                <a:graphic xmlns:a="http://schemas.openxmlformats.org/drawingml/2006/main">
                  <a:graphicData uri="http://schemas.microsoft.com/office/word/2010/wordprocessingShape">
                    <wps:wsp>
                      <wps:cNvCnPr/>
                      <wps:spPr>
                        <a:xfrm flipV="1">
                          <a:off x="0" y="0"/>
                          <a:ext cx="839470" cy="5715"/>
                        </a:xfrm>
                        <a:prstGeom prst="line">
                          <a:avLst/>
                        </a:prstGeom>
                        <a:ln w="1587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27pt;margin-top:6.4pt;height:0.45pt;width:66.1pt;z-index:251677696;mso-width-relative:page;mso-height-relative:page;" filled="f" stroked="t" coordsize="21600,21600" o:gfxdata="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CH80n1wAAAAgBAAAPAAAAAAAAAAEAIAAAACIAAABkcnMvZG93bnJl&#10;di54bWxQSwECFAAUAAAACACHTuJATRQbFv4BAADrAwAADgAAAAAAAAABACAAAAAmAQAAZHJzL2Uy&#10;b0RvYy54bWxQSwUGAAAAAAYABgBZAQAAlgUAAAAA&#10;">
                <v:fill on="f" focussize="0,0"/>
                <v:stroke weight="1.25pt" color="#000000" joinstyle="round" endarrow="block"/>
                <v:imagedata o:title=""/>
                <o:lock v:ext="edit" aspectratio="f"/>
              </v:line>
            </w:pict>
          </mc:Fallback>
        </mc:AlternateContent>
      </w:r>
      <w:r>
        <w:rPr>
          <w:rFonts w:hint="eastAsia" w:ascii="黑体" w:hAnsi="黑体" w:eastAsia="黑体" w:cs="黑体"/>
          <w:sz w:val="24"/>
        </w:rPr>
        <mc:AlternateContent>
          <mc:Choice Requires="wps">
            <w:drawing>
              <wp:anchor distT="0" distB="0" distL="114300" distR="114300" simplePos="0" relativeHeight="251676672" behindDoc="0" locked="0" layoutInCell="1" allowOverlap="1">
                <wp:simplePos x="0" y="0"/>
                <wp:positionH relativeFrom="column">
                  <wp:posOffset>342900</wp:posOffset>
                </wp:positionH>
                <wp:positionV relativeFrom="paragraph">
                  <wp:posOffset>80645</wp:posOffset>
                </wp:positionV>
                <wp:extent cx="635" cy="467995"/>
                <wp:effectExtent l="7620" t="0" r="10795" b="8255"/>
                <wp:wrapNone/>
                <wp:docPr id="38" name="直接连接符 38"/>
                <wp:cNvGraphicFramePr/>
                <a:graphic xmlns:a="http://schemas.openxmlformats.org/drawingml/2006/main">
                  <a:graphicData uri="http://schemas.microsoft.com/office/word/2010/wordprocessingShape">
                    <wps:wsp>
                      <wps:cNvCnPr/>
                      <wps:spPr>
                        <a:xfrm>
                          <a:off x="0" y="0"/>
                          <a:ext cx="635" cy="467995"/>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7pt;margin-top:6.35pt;height:36.85pt;width:0.05pt;z-index:251676672;mso-width-relative:page;mso-height-relative:page;" filled="f" stroked="t" coordsize="21600,21600" o:gfxdata="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xBpFN1wAAAAcBAAAPAAAAAAAAAAEAIAAAACIAAABkcnMvZG93bnJldi54bWxQSwECFAAUAAAA&#10;CACHTuJAm5y1+u8BAADcAwAADgAAAAAAAAABACAAAAAmAQAAZHJzL2Uyb0RvYy54bWxQSwUGAAAA&#10;AAYABgBZAQAAhwUAAAAA&#10;">
                <v:fill on="f" focussize="0,0"/>
                <v:stroke weight="1.25pt" color="#000000" joinstyle="round"/>
                <v:imagedata o:title=""/>
                <o:lock v:ext="edit" aspectratio="f"/>
              </v:line>
            </w:pict>
          </mc:Fallback>
        </mc:AlternateContent>
      </w:r>
    </w:p>
    <w:p>
      <w:pPr>
        <w:jc w:val="left"/>
        <w:rPr>
          <w:rFonts w:ascii="黑体" w:hAnsi="黑体" w:eastAsia="黑体" w:cs="黑体"/>
          <w:sz w:val="28"/>
          <w:szCs w:val="28"/>
        </w:rPr>
      </w:pPr>
      <w:r>
        <w:rPr>
          <w:sz w:val="28"/>
          <w:szCs w:val="28"/>
        </w:rPr>
        <mc:AlternateContent>
          <mc:Choice Requires="wps">
            <w:drawing>
              <wp:anchor distT="0" distB="0" distL="114300" distR="114300" simplePos="0" relativeHeight="251669504" behindDoc="0" locked="0" layoutInCell="1" allowOverlap="1">
                <wp:simplePos x="0" y="0"/>
                <wp:positionH relativeFrom="column">
                  <wp:posOffset>3061335</wp:posOffset>
                </wp:positionH>
                <wp:positionV relativeFrom="paragraph">
                  <wp:posOffset>33655</wp:posOffset>
                </wp:positionV>
                <wp:extent cx="3018155" cy="2653030"/>
                <wp:effectExtent l="7620" t="7620" r="22225" b="25400"/>
                <wp:wrapNone/>
                <wp:docPr id="51" name="圆角矩形 51"/>
                <wp:cNvGraphicFramePr/>
                <a:graphic xmlns:a="http://schemas.openxmlformats.org/drawingml/2006/main">
                  <a:graphicData uri="http://schemas.microsoft.com/office/word/2010/wordprocessingShape">
                    <wps:wsp>
                      <wps:cNvSpPr/>
                      <wps:spPr>
                        <a:xfrm>
                          <a:off x="0" y="0"/>
                          <a:ext cx="3018155" cy="2653030"/>
                        </a:xfrm>
                        <a:prstGeom prst="roundRect">
                          <a:avLst>
                            <a:gd name="adj" fmla="val 16667"/>
                          </a:avLst>
                        </a:prstGeom>
                        <a:noFill/>
                        <a:ln w="15875" cap="flat" cmpd="sng">
                          <a:solidFill>
                            <a:srgbClr val="000000"/>
                          </a:solidFill>
                          <a:prstDash val="solid"/>
                          <a:headEnd type="none" w="med" len="med"/>
                          <a:tailEnd type="none" w="med" len="med"/>
                        </a:ln>
                      </wps:spPr>
                      <wps:txbx>
                        <w:txbxContent>
                          <w:p>
                            <w:pPr>
                              <w:spacing w:line="200" w:lineRule="exact"/>
                              <w:ind w:firstLine="360" w:firstLineChars="200"/>
                              <w:jc w:val="left"/>
                              <w:rPr>
                                <w:rFonts w:ascii="仿宋_GB2312" w:hAnsi="仿宋_GB2312" w:eastAsia="仿宋_GB2312" w:cs="仿宋_GB2312"/>
                                <w:sz w:val="18"/>
                                <w:szCs w:val="18"/>
                              </w:rPr>
                            </w:pPr>
                            <w:r>
                              <w:rPr>
                                <w:rFonts w:hint="eastAsia" w:ascii="仿宋_GB2312" w:hAnsi="仿宋_GB2312" w:eastAsia="仿宋_GB2312" w:cs="仿宋_GB2312"/>
                                <w:sz w:val="18"/>
                                <w:szCs w:val="18"/>
                              </w:rPr>
                              <w:t>项目法人单位报送由具备相应工程咨询资质的单位编制的《项目申请报告》或《可行性研究报告》，同时附送相应管理权限的部门出具的文件，并对所有申报材料及文件的真实性负责。</w:t>
                            </w:r>
                          </w:p>
                          <w:p>
                            <w:pPr>
                              <w:spacing w:line="200" w:lineRule="exact"/>
                              <w:ind w:firstLine="360" w:firstLineChars="200"/>
                              <w:jc w:val="left"/>
                              <w:rPr>
                                <w:rFonts w:ascii="仿宋_GB2312" w:hAnsi="仿宋_GB2312" w:eastAsia="仿宋_GB2312" w:cs="仿宋_GB2312"/>
                                <w:sz w:val="18"/>
                                <w:szCs w:val="18"/>
                              </w:rPr>
                            </w:pPr>
                            <w:r>
                              <w:rPr>
                                <w:rFonts w:hint="eastAsia" w:ascii="仿宋_GB2312" w:hAnsi="仿宋_GB2312" w:eastAsia="仿宋_GB2312" w:cs="仿宋_GB2312"/>
                                <w:sz w:val="18"/>
                                <w:szCs w:val="18"/>
                              </w:rPr>
                              <w:t>（一）项目局出具项目核准、审批的请示文件； </w:t>
                            </w:r>
                          </w:p>
                          <w:p>
                            <w:pPr>
                              <w:spacing w:line="200" w:lineRule="exact"/>
                              <w:ind w:firstLine="360"/>
                              <w:jc w:val="left"/>
                              <w:rPr>
                                <w:rFonts w:ascii="宋体" w:hAnsi="宋体" w:cs="宋体"/>
                                <w:sz w:val="18"/>
                                <w:szCs w:val="18"/>
                              </w:rPr>
                            </w:pPr>
                            <w:r>
                              <w:rPr>
                                <w:rFonts w:hint="eastAsia" w:ascii="仿宋_GB2312" w:hAnsi="仿宋_GB2312" w:eastAsia="仿宋_GB2312" w:cs="仿宋_GB2312"/>
                                <w:sz w:val="18"/>
                                <w:szCs w:val="18"/>
                              </w:rPr>
                              <w:t>（二）自然资源局提供相应审批文件；</w:t>
                            </w:r>
                            <w:r>
                              <w:rPr>
                                <w:rFonts w:hint="eastAsia" w:ascii="宋体" w:hAnsi="宋体" w:cs="宋体"/>
                                <w:sz w:val="18"/>
                                <w:szCs w:val="18"/>
                              </w:rPr>
                              <w:t> </w:t>
                            </w:r>
                          </w:p>
                          <w:p>
                            <w:pPr>
                              <w:spacing w:line="200" w:lineRule="exact"/>
                              <w:ind w:firstLine="360"/>
                              <w:jc w:val="left"/>
                              <w:rPr>
                                <w:rFonts w:ascii="仿宋_GB2312" w:hAnsi="仿宋_GB2312" w:eastAsia="仿宋_GB2312" w:cs="仿宋_GB2312"/>
                                <w:sz w:val="18"/>
                                <w:szCs w:val="18"/>
                              </w:rPr>
                            </w:pPr>
                            <w:r>
                              <w:rPr>
                                <w:rFonts w:hint="eastAsia" w:ascii="仿宋_GB2312" w:hAnsi="仿宋_GB2312" w:eastAsia="仿宋_GB2312" w:cs="仿宋_GB2312"/>
                                <w:sz w:val="18"/>
                                <w:szCs w:val="18"/>
                              </w:rPr>
                              <w:t>（三）环境保护行政主管部门出具的环境影响评价审批文件；</w:t>
                            </w:r>
                            <w:r>
                              <w:rPr>
                                <w:rFonts w:hint="eastAsia" w:ascii="宋体" w:hAnsi="宋体" w:cs="宋体"/>
                                <w:sz w:val="18"/>
                                <w:szCs w:val="18"/>
                              </w:rPr>
                              <w:t> </w:t>
                            </w:r>
                          </w:p>
                          <w:p>
                            <w:pPr>
                              <w:spacing w:line="200" w:lineRule="exact"/>
                              <w:ind w:firstLine="360"/>
                              <w:jc w:val="left"/>
                              <w:rPr>
                                <w:rFonts w:ascii="仿宋_GB2312" w:hAnsi="仿宋_GB2312" w:eastAsia="仿宋_GB2312" w:cs="仿宋_GB2312"/>
                                <w:sz w:val="18"/>
                                <w:szCs w:val="18"/>
                              </w:rPr>
                            </w:pPr>
                            <w:r>
                              <w:rPr>
                                <w:rFonts w:hint="eastAsia" w:ascii="仿宋_GB2312" w:hAnsi="仿宋_GB2312" w:eastAsia="仿宋_GB2312" w:cs="仿宋_GB2312"/>
                                <w:sz w:val="18"/>
                                <w:szCs w:val="18"/>
                              </w:rPr>
                              <w:t>（四）节能审查行政主管部门出具的节能审查意见；</w:t>
                            </w:r>
                            <w:r>
                              <w:rPr>
                                <w:rFonts w:hint="eastAsia" w:ascii="宋体" w:hAnsi="宋体" w:cs="宋体"/>
                                <w:sz w:val="18"/>
                                <w:szCs w:val="18"/>
                              </w:rPr>
                              <w:t> </w:t>
                            </w:r>
                          </w:p>
                          <w:p>
                            <w:pPr>
                              <w:pStyle w:val="8"/>
                              <w:shd w:val="clear" w:color="auto" w:fill="FFFFFF"/>
                              <w:spacing w:before="0" w:beforeAutospacing="0" w:after="0" w:afterAutospacing="0" w:line="200" w:lineRule="exact"/>
                              <w:ind w:firstLine="360" w:firstLineChars="200"/>
                              <w:rPr>
                                <w:sz w:val="18"/>
                                <w:szCs w:val="18"/>
                              </w:rPr>
                            </w:pPr>
                            <w:r>
                              <w:rPr>
                                <w:rFonts w:hint="eastAsia" w:ascii="仿宋_GB2312" w:hAnsi="仿宋_GB2312" w:eastAsia="仿宋_GB2312" w:cs="仿宋_GB2312"/>
                                <w:sz w:val="18"/>
                                <w:szCs w:val="18"/>
                              </w:rPr>
                              <w:t>（五）其他有关法律、法规规定应提交的文件；</w:t>
                            </w:r>
                            <w:r>
                              <w:rPr>
                                <w:rFonts w:hint="eastAsia"/>
                                <w:sz w:val="18"/>
                                <w:szCs w:val="18"/>
                              </w:rPr>
                              <w:t> </w:t>
                            </w:r>
                          </w:p>
                          <w:p>
                            <w:pPr>
                              <w:spacing w:line="200" w:lineRule="exact"/>
                              <w:ind w:firstLine="360"/>
                              <w:jc w:val="left"/>
                              <w:rPr>
                                <w:rFonts w:ascii="仿宋_GB2312" w:hAnsi="仿宋_GB2312" w:eastAsia="仿宋_GB2312" w:cs="仿宋_GB2312"/>
                                <w:sz w:val="18"/>
                                <w:szCs w:val="18"/>
                              </w:rPr>
                            </w:pPr>
                          </w:p>
                          <w:p>
                            <w:pPr>
                              <w:pStyle w:val="8"/>
                              <w:shd w:val="clear" w:color="auto" w:fill="FFFFFF"/>
                              <w:spacing w:before="0" w:beforeAutospacing="0" w:after="0" w:afterAutospacing="0" w:line="200" w:lineRule="exact"/>
                              <w:ind w:firstLine="360" w:firstLineChars="200"/>
                              <w:rPr>
                                <w:rFonts w:ascii="仿宋_GB2312" w:hAnsi="仿宋_GB2312" w:eastAsia="仿宋_GB2312" w:cs="仿宋_GB2312"/>
                                <w:sz w:val="18"/>
                                <w:szCs w:val="18"/>
                              </w:rPr>
                            </w:pPr>
                            <w:r>
                              <w:rPr>
                                <w:rFonts w:hint="eastAsia" w:ascii="仿宋_GB2312" w:hAnsi="仿宋_GB2312" w:eastAsia="仿宋_GB2312" w:cs="仿宋_GB2312"/>
                                <w:sz w:val="18"/>
                                <w:szCs w:val="18"/>
                              </w:rPr>
                              <w:t>（六）</w:t>
                            </w:r>
                            <w:r>
                              <w:rPr>
                                <w:rFonts w:hint="eastAsia" w:ascii="仿宋_GB2312" w:hAnsi="仿宋_GB2312" w:eastAsia="仿宋_GB2312" w:cs="仿宋_GB2312"/>
                                <w:kern w:val="2"/>
                                <w:sz w:val="18"/>
                                <w:szCs w:val="18"/>
                              </w:rPr>
                              <w:t>真实性声明；</w:t>
                            </w:r>
                          </w:p>
                          <w:p>
                            <w:pPr>
                              <w:pStyle w:val="8"/>
                              <w:shd w:val="clear" w:color="auto" w:fill="FFFFFF"/>
                              <w:spacing w:before="0" w:beforeAutospacing="0" w:after="0" w:afterAutospacing="0" w:line="200" w:lineRule="exact"/>
                              <w:ind w:firstLine="360" w:firstLineChars="200"/>
                              <w:rPr>
                                <w:rFonts w:ascii="仿宋_GB2312" w:hAnsi="仿宋_GB2312" w:eastAsia="仿宋_GB2312" w:cs="仿宋_GB2312"/>
                                <w:sz w:val="18"/>
                                <w:szCs w:val="18"/>
                              </w:rPr>
                            </w:pPr>
                            <w:r>
                              <w:rPr>
                                <w:rFonts w:hint="eastAsia" w:ascii="仿宋_GB2312" w:hAnsi="仿宋_GB2312" w:eastAsia="仿宋_GB2312" w:cs="仿宋_GB2312"/>
                                <w:kern w:val="2"/>
                                <w:sz w:val="18"/>
                                <w:szCs w:val="18"/>
                              </w:rPr>
                              <w:t>（七）</w:t>
                            </w:r>
                            <w:r>
                              <w:rPr>
                                <w:rFonts w:hint="eastAsia" w:ascii="仿宋_GB2312" w:hAnsi="仿宋_GB2312" w:eastAsia="仿宋_GB2312" w:cs="仿宋_GB2312"/>
                                <w:sz w:val="18"/>
                                <w:szCs w:val="18"/>
                              </w:rPr>
                              <w:t>资金到位证明。</w:t>
                            </w:r>
                          </w:p>
                        </w:txbxContent>
                      </wps:txbx>
                      <wps:bodyPr upright="1"/>
                    </wps:wsp>
                  </a:graphicData>
                </a:graphic>
              </wp:anchor>
            </w:drawing>
          </mc:Choice>
          <mc:Fallback>
            <w:pict>
              <v:roundrect id="_x0000_s1026" o:spid="_x0000_s1026" o:spt="2" style="position:absolute;left:0pt;margin-left:241.05pt;margin-top:2.65pt;height:208.9pt;width:237.65pt;z-index:251669504;mso-width-relative:page;mso-height-relative:page;" filled="f" stroked="t" coordsize="21600,21600" arcsize="0.166666666666667" o:gfxdata="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7LiwdcA&#10;AAAJAQAADwAAAAAAAAABACAAAAAiAAAAZHJzL2Rvd25yZXYueG1sUEsBAhQAFAAAAAgAh07iQFPA&#10;0uMgAgAAMQQAAA4AAAAAAAAAAQAgAAAAJgEAAGRycy9lMm9Eb2MueG1sUEsFBgAAAAAGAAYAWQEA&#10;ALgFAAAAAA==&#10;">
                <v:fill on="f" focussize="0,0"/>
                <v:stroke weight="1.25pt" color="#000000" joinstyle="round"/>
                <v:imagedata o:title=""/>
                <o:lock v:ext="edit" aspectratio="f"/>
                <v:textbox>
                  <w:txbxContent>
                    <w:p>
                      <w:pPr>
                        <w:spacing w:line="200" w:lineRule="exact"/>
                        <w:ind w:firstLine="360" w:firstLineChars="200"/>
                        <w:jc w:val="left"/>
                        <w:rPr>
                          <w:rFonts w:ascii="仿宋_GB2312" w:hAnsi="仿宋_GB2312" w:eastAsia="仿宋_GB2312" w:cs="仿宋_GB2312"/>
                          <w:sz w:val="18"/>
                          <w:szCs w:val="18"/>
                        </w:rPr>
                      </w:pPr>
                      <w:r>
                        <w:rPr>
                          <w:rFonts w:hint="eastAsia" w:ascii="仿宋_GB2312" w:hAnsi="仿宋_GB2312" w:eastAsia="仿宋_GB2312" w:cs="仿宋_GB2312"/>
                          <w:sz w:val="18"/>
                          <w:szCs w:val="18"/>
                        </w:rPr>
                        <w:t>项目法人单位报送由具备相应工程咨询资质的单位编制的《项目申请报告》或《可行性研究报告》，同时附送相应管理权限的部门出具的文件，并对所有申报材料及文件的真实性负责。</w:t>
                      </w:r>
                    </w:p>
                    <w:p>
                      <w:pPr>
                        <w:spacing w:line="200" w:lineRule="exact"/>
                        <w:ind w:firstLine="360" w:firstLineChars="200"/>
                        <w:jc w:val="left"/>
                        <w:rPr>
                          <w:rFonts w:ascii="仿宋_GB2312" w:hAnsi="仿宋_GB2312" w:eastAsia="仿宋_GB2312" w:cs="仿宋_GB2312"/>
                          <w:sz w:val="18"/>
                          <w:szCs w:val="18"/>
                        </w:rPr>
                      </w:pPr>
                      <w:r>
                        <w:rPr>
                          <w:rFonts w:hint="eastAsia" w:ascii="仿宋_GB2312" w:hAnsi="仿宋_GB2312" w:eastAsia="仿宋_GB2312" w:cs="仿宋_GB2312"/>
                          <w:sz w:val="18"/>
                          <w:szCs w:val="18"/>
                        </w:rPr>
                        <w:t>（一）项目局出具项目核准、审批的请示文件； </w:t>
                      </w:r>
                    </w:p>
                    <w:p>
                      <w:pPr>
                        <w:spacing w:line="200" w:lineRule="exact"/>
                        <w:ind w:firstLine="360"/>
                        <w:jc w:val="left"/>
                        <w:rPr>
                          <w:rFonts w:ascii="宋体" w:hAnsi="宋体" w:cs="宋体"/>
                          <w:sz w:val="18"/>
                          <w:szCs w:val="18"/>
                        </w:rPr>
                      </w:pPr>
                      <w:r>
                        <w:rPr>
                          <w:rFonts w:hint="eastAsia" w:ascii="仿宋_GB2312" w:hAnsi="仿宋_GB2312" w:eastAsia="仿宋_GB2312" w:cs="仿宋_GB2312"/>
                          <w:sz w:val="18"/>
                          <w:szCs w:val="18"/>
                        </w:rPr>
                        <w:t>（二）自然资源局提供相应审批文件；</w:t>
                      </w:r>
                      <w:r>
                        <w:rPr>
                          <w:rFonts w:hint="eastAsia" w:ascii="宋体" w:hAnsi="宋体" w:cs="宋体"/>
                          <w:sz w:val="18"/>
                          <w:szCs w:val="18"/>
                        </w:rPr>
                        <w:t> </w:t>
                      </w:r>
                    </w:p>
                    <w:p>
                      <w:pPr>
                        <w:spacing w:line="200" w:lineRule="exact"/>
                        <w:ind w:firstLine="360"/>
                        <w:jc w:val="left"/>
                        <w:rPr>
                          <w:rFonts w:ascii="仿宋_GB2312" w:hAnsi="仿宋_GB2312" w:eastAsia="仿宋_GB2312" w:cs="仿宋_GB2312"/>
                          <w:sz w:val="18"/>
                          <w:szCs w:val="18"/>
                        </w:rPr>
                      </w:pPr>
                      <w:r>
                        <w:rPr>
                          <w:rFonts w:hint="eastAsia" w:ascii="仿宋_GB2312" w:hAnsi="仿宋_GB2312" w:eastAsia="仿宋_GB2312" w:cs="仿宋_GB2312"/>
                          <w:sz w:val="18"/>
                          <w:szCs w:val="18"/>
                        </w:rPr>
                        <w:t>（三）环境保护行政主管部门出具的环境影响评价审批文件；</w:t>
                      </w:r>
                      <w:r>
                        <w:rPr>
                          <w:rFonts w:hint="eastAsia" w:ascii="宋体" w:hAnsi="宋体" w:cs="宋体"/>
                          <w:sz w:val="18"/>
                          <w:szCs w:val="18"/>
                        </w:rPr>
                        <w:t> </w:t>
                      </w:r>
                    </w:p>
                    <w:p>
                      <w:pPr>
                        <w:spacing w:line="200" w:lineRule="exact"/>
                        <w:ind w:firstLine="360"/>
                        <w:jc w:val="left"/>
                        <w:rPr>
                          <w:rFonts w:ascii="仿宋_GB2312" w:hAnsi="仿宋_GB2312" w:eastAsia="仿宋_GB2312" w:cs="仿宋_GB2312"/>
                          <w:sz w:val="18"/>
                          <w:szCs w:val="18"/>
                        </w:rPr>
                      </w:pPr>
                      <w:r>
                        <w:rPr>
                          <w:rFonts w:hint="eastAsia" w:ascii="仿宋_GB2312" w:hAnsi="仿宋_GB2312" w:eastAsia="仿宋_GB2312" w:cs="仿宋_GB2312"/>
                          <w:sz w:val="18"/>
                          <w:szCs w:val="18"/>
                        </w:rPr>
                        <w:t>（四）节能审查行政主管部门出具的节能审查意见；</w:t>
                      </w:r>
                      <w:r>
                        <w:rPr>
                          <w:rFonts w:hint="eastAsia" w:ascii="宋体" w:hAnsi="宋体" w:cs="宋体"/>
                          <w:sz w:val="18"/>
                          <w:szCs w:val="18"/>
                        </w:rPr>
                        <w:t> </w:t>
                      </w:r>
                    </w:p>
                    <w:p>
                      <w:pPr>
                        <w:pStyle w:val="8"/>
                        <w:shd w:val="clear" w:color="auto" w:fill="FFFFFF"/>
                        <w:spacing w:before="0" w:beforeAutospacing="0" w:after="0" w:afterAutospacing="0" w:line="200" w:lineRule="exact"/>
                        <w:ind w:firstLine="360" w:firstLineChars="200"/>
                        <w:rPr>
                          <w:sz w:val="18"/>
                          <w:szCs w:val="18"/>
                        </w:rPr>
                      </w:pPr>
                      <w:r>
                        <w:rPr>
                          <w:rFonts w:hint="eastAsia" w:ascii="仿宋_GB2312" w:hAnsi="仿宋_GB2312" w:eastAsia="仿宋_GB2312" w:cs="仿宋_GB2312"/>
                          <w:sz w:val="18"/>
                          <w:szCs w:val="18"/>
                        </w:rPr>
                        <w:t>（五）其他有关法律、法规规定应提交的文件；</w:t>
                      </w:r>
                      <w:r>
                        <w:rPr>
                          <w:rFonts w:hint="eastAsia"/>
                          <w:sz w:val="18"/>
                          <w:szCs w:val="18"/>
                        </w:rPr>
                        <w:t> </w:t>
                      </w:r>
                    </w:p>
                    <w:p>
                      <w:pPr>
                        <w:spacing w:line="200" w:lineRule="exact"/>
                        <w:ind w:firstLine="360"/>
                        <w:jc w:val="left"/>
                        <w:rPr>
                          <w:rFonts w:ascii="仿宋_GB2312" w:hAnsi="仿宋_GB2312" w:eastAsia="仿宋_GB2312" w:cs="仿宋_GB2312"/>
                          <w:sz w:val="18"/>
                          <w:szCs w:val="18"/>
                        </w:rPr>
                      </w:pPr>
                    </w:p>
                    <w:p>
                      <w:pPr>
                        <w:pStyle w:val="8"/>
                        <w:shd w:val="clear" w:color="auto" w:fill="FFFFFF"/>
                        <w:spacing w:before="0" w:beforeAutospacing="0" w:after="0" w:afterAutospacing="0" w:line="200" w:lineRule="exact"/>
                        <w:ind w:firstLine="360" w:firstLineChars="200"/>
                        <w:rPr>
                          <w:rFonts w:ascii="仿宋_GB2312" w:hAnsi="仿宋_GB2312" w:eastAsia="仿宋_GB2312" w:cs="仿宋_GB2312"/>
                          <w:sz w:val="18"/>
                          <w:szCs w:val="18"/>
                        </w:rPr>
                      </w:pPr>
                      <w:r>
                        <w:rPr>
                          <w:rFonts w:hint="eastAsia" w:ascii="仿宋_GB2312" w:hAnsi="仿宋_GB2312" w:eastAsia="仿宋_GB2312" w:cs="仿宋_GB2312"/>
                          <w:sz w:val="18"/>
                          <w:szCs w:val="18"/>
                        </w:rPr>
                        <w:t>（六）</w:t>
                      </w:r>
                      <w:r>
                        <w:rPr>
                          <w:rFonts w:hint="eastAsia" w:ascii="仿宋_GB2312" w:hAnsi="仿宋_GB2312" w:eastAsia="仿宋_GB2312" w:cs="仿宋_GB2312"/>
                          <w:kern w:val="2"/>
                          <w:sz w:val="18"/>
                          <w:szCs w:val="18"/>
                        </w:rPr>
                        <w:t>真实性声明；</w:t>
                      </w:r>
                    </w:p>
                    <w:p>
                      <w:pPr>
                        <w:pStyle w:val="8"/>
                        <w:shd w:val="clear" w:color="auto" w:fill="FFFFFF"/>
                        <w:spacing w:before="0" w:beforeAutospacing="0" w:after="0" w:afterAutospacing="0" w:line="200" w:lineRule="exact"/>
                        <w:ind w:firstLine="360" w:firstLineChars="200"/>
                        <w:rPr>
                          <w:rFonts w:ascii="仿宋_GB2312" w:hAnsi="仿宋_GB2312" w:eastAsia="仿宋_GB2312" w:cs="仿宋_GB2312"/>
                          <w:sz w:val="18"/>
                          <w:szCs w:val="18"/>
                        </w:rPr>
                      </w:pPr>
                      <w:r>
                        <w:rPr>
                          <w:rFonts w:hint="eastAsia" w:ascii="仿宋_GB2312" w:hAnsi="仿宋_GB2312" w:eastAsia="仿宋_GB2312" w:cs="仿宋_GB2312"/>
                          <w:kern w:val="2"/>
                          <w:sz w:val="18"/>
                          <w:szCs w:val="18"/>
                        </w:rPr>
                        <w:t>（七）</w:t>
                      </w:r>
                      <w:r>
                        <w:rPr>
                          <w:rFonts w:hint="eastAsia" w:ascii="仿宋_GB2312" w:hAnsi="仿宋_GB2312" w:eastAsia="仿宋_GB2312" w:cs="仿宋_GB2312"/>
                          <w:sz w:val="18"/>
                          <w:szCs w:val="18"/>
                        </w:rPr>
                        <w:t>资金到位证明。</w:t>
                      </w:r>
                    </w:p>
                  </w:txbxContent>
                </v:textbox>
              </v:roundrect>
            </w:pict>
          </mc:Fallback>
        </mc:AlternateContent>
      </w:r>
      <w:r>
        <w:rPr>
          <w:sz w:val="28"/>
          <w:szCs w:val="28"/>
        </w:rPr>
        <mc:AlternateContent>
          <mc:Choice Requires="wps">
            <w:drawing>
              <wp:anchor distT="0" distB="0" distL="114300" distR="114300" simplePos="0" relativeHeight="251670528" behindDoc="0" locked="0" layoutInCell="1" allowOverlap="1">
                <wp:simplePos x="0" y="0"/>
                <wp:positionH relativeFrom="column">
                  <wp:posOffset>1783080</wp:posOffset>
                </wp:positionH>
                <wp:positionV relativeFrom="paragraph">
                  <wp:posOffset>135255</wp:posOffset>
                </wp:positionV>
                <wp:extent cx="76200" cy="605790"/>
                <wp:effectExtent l="10160" t="7620" r="27940" b="34290"/>
                <wp:wrapNone/>
                <wp:docPr id="49" name="下箭头 49"/>
                <wp:cNvGraphicFramePr/>
                <a:graphic xmlns:a="http://schemas.openxmlformats.org/drawingml/2006/main">
                  <a:graphicData uri="http://schemas.microsoft.com/office/word/2010/wordprocessingShape">
                    <wps:wsp>
                      <wps:cNvSpPr/>
                      <wps:spPr>
                        <a:xfrm>
                          <a:off x="0" y="0"/>
                          <a:ext cx="76200" cy="605790"/>
                        </a:xfrm>
                        <a:prstGeom prst="downArrow">
                          <a:avLst>
                            <a:gd name="adj1" fmla="val 50000"/>
                            <a:gd name="adj2" fmla="val 198750"/>
                          </a:avLst>
                        </a:prstGeom>
                        <a:noFill/>
                        <a:ln w="15875" cap="flat" cmpd="sng">
                          <a:solidFill>
                            <a:srgbClr val="000000"/>
                          </a:solidFill>
                          <a:prstDash val="solid"/>
                          <a:miter/>
                          <a:headEnd type="none" w="med" len="med"/>
                          <a:tailEnd type="none" w="med" len="med"/>
                        </a:ln>
                      </wps:spPr>
                      <wps:txbx>
                        <w:txbxContent>
                          <w:p>
                            <w:pPr>
                              <w:jc w:val="center"/>
                            </w:pPr>
                          </w:p>
                        </w:txbxContent>
                      </wps:txbx>
                      <wps:bodyPr vert="eaVert" upright="1"/>
                    </wps:wsp>
                  </a:graphicData>
                </a:graphic>
              </wp:anchor>
            </w:drawing>
          </mc:Choice>
          <mc:Fallback>
            <w:pict>
              <v:shape id="_x0000_s1026" o:spid="_x0000_s1026" o:spt="67" type="#_x0000_t67" style="position:absolute;left:0pt;margin-left:140.4pt;margin-top:10.65pt;height:47.7pt;width:6pt;z-index:251670528;mso-width-relative:page;mso-height-relative:page;" filled="f" stroked="t" coordsize="21600,21600" o:gfxdata="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EkH09gAAAAKAQAADwAAAAAAAAABACAAAAAiAAAAZHJzL2Rvd25yZXYueG1s&#10;UEsBAhQAFAAAAAgAh07iQBP7oskxAgAAaQQAAA4AAAAAAAAAAQAgAAAAJwEAAGRycy9lMm9Eb2Mu&#10;eG1sUEsFBgAAAAAGAAYAWQEAAMoFAAAAAA==&#10;" adj="16200,5400">
                <v:fill on="f" focussize="0,0"/>
                <v:stroke weight="1.25pt" color="#000000" joinstyle="miter"/>
                <v:imagedata o:title=""/>
                <o:lock v:ext="edit" aspectratio="f"/>
                <v:textbox style="layout-flow:vertical-ideographic;">
                  <w:txbxContent>
                    <w:p>
                      <w:pPr>
                        <w:jc w:val="center"/>
                      </w:pPr>
                    </w:p>
                  </w:txbxContent>
                </v:textbox>
              </v:shape>
            </w:pict>
          </mc:Fallback>
        </mc:AlternateContent>
      </w:r>
      <w:r>
        <w:rPr>
          <w:sz w:val="28"/>
          <w:szCs w:val="28"/>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196215</wp:posOffset>
                </wp:positionV>
                <wp:extent cx="1056640" cy="433705"/>
                <wp:effectExtent l="7620" t="7620" r="21590" b="15875"/>
                <wp:wrapNone/>
                <wp:docPr id="50" name="流程图: 可选过程 50"/>
                <wp:cNvGraphicFramePr/>
                <a:graphic xmlns:a="http://schemas.openxmlformats.org/drawingml/2006/main">
                  <a:graphicData uri="http://schemas.microsoft.com/office/word/2010/wordprocessingShape">
                    <wps:wsp>
                      <wps:cNvSpPr/>
                      <wps:spPr>
                        <a:xfrm>
                          <a:off x="0" y="0"/>
                          <a:ext cx="1056640" cy="433705"/>
                        </a:xfrm>
                        <a:prstGeom prst="flowChartAlternateProcess">
                          <a:avLst/>
                        </a:prstGeom>
                        <a:noFill/>
                        <a:ln w="15875" cap="flat" cmpd="sng">
                          <a:solidFill>
                            <a:srgbClr val="000000"/>
                          </a:solidFill>
                          <a:prstDash val="solid"/>
                          <a:miter/>
                          <a:headEnd type="none" w="med" len="med"/>
                          <a:tailEnd type="none" w="med" len="med"/>
                        </a:ln>
                      </wps:spPr>
                      <wps:txbx>
                        <w:txbxContent>
                          <w:p>
                            <w:pPr>
                              <w:spacing w:line="240" w:lineRule="exact"/>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不予受理或补充材料（一次性告知）</w:t>
                            </w:r>
                          </w:p>
                        </w:txbxContent>
                      </wps:txbx>
                      <wps:bodyPr lIns="0" tIns="0" rIns="0" bIns="0" upright="1"/>
                    </wps:wsp>
                  </a:graphicData>
                </a:graphic>
              </wp:anchor>
            </w:drawing>
          </mc:Choice>
          <mc:Fallback>
            <w:pict>
              <v:shape id="_x0000_s1026" o:spid="_x0000_s1026" o:spt="176" type="#_x0000_t176" style="position:absolute;left:0pt;margin-left:-9pt;margin-top:15.45pt;height:34.15pt;width:83.2pt;z-index:251673600;mso-width-relative:page;mso-height-relative:page;" filled="f" stroked="t" coordsize="21600,21600" o:gfxdata="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GlpI7ZAAAACQEAAA8AAAAAAAAAAQAgAAAAIgAAAGRycy9kb3ducmV2&#10;LnhtbFBLAQIUABQAAAAIAIdO4kAILINZNAIAAE0EAAAOAAAAAAAAAAEAIAAAACgBAABkcnMvZTJv&#10;RG9jLnhtbFBLBQYAAAAABgAGAFkBAADOBQAAAAA=&#10;">
                <v:fill on="f" focussize="0,0"/>
                <v:stroke weight="1.25pt" color="#000000" joinstyle="miter"/>
                <v:imagedata o:title=""/>
                <o:lock v:ext="edit" aspectratio="f"/>
                <v:textbox inset="0mm,0mm,0mm,0mm">
                  <w:txbxContent>
                    <w:p>
                      <w:pPr>
                        <w:spacing w:line="240" w:lineRule="exact"/>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不予受理或补充材料（一次性告知）</w:t>
                      </w:r>
                    </w:p>
                  </w:txbxContent>
                </v:textbox>
              </v:shape>
            </w:pict>
          </mc:Fallback>
        </mc:AlternateContent>
      </w:r>
    </w:p>
    <w:p>
      <w:pPr>
        <w:spacing w:before="156" w:beforeLines="50"/>
        <w:jc w:val="left"/>
        <w:rPr>
          <w:rFonts w:ascii="黑体" w:hAnsi="黑体" w:eastAsia="黑体" w:cs="黑体"/>
          <w:sz w:val="24"/>
        </w:rPr>
      </w:pPr>
      <w:r>
        <w:rPr>
          <w:sz w:val="28"/>
          <w:szCs w:val="28"/>
        </w:rPr>
        <mc:AlternateContent>
          <mc:Choice Requires="wps">
            <w:drawing>
              <wp:anchor distT="0" distB="0" distL="114300" distR="114300" simplePos="0" relativeHeight="251682816" behindDoc="0" locked="0" layoutInCell="1" allowOverlap="1">
                <wp:simplePos x="0" y="0"/>
                <wp:positionH relativeFrom="column">
                  <wp:posOffset>351155</wp:posOffset>
                </wp:positionH>
                <wp:positionV relativeFrom="paragraph">
                  <wp:posOffset>235585</wp:posOffset>
                </wp:positionV>
                <wp:extent cx="8255" cy="532130"/>
                <wp:effectExtent l="0" t="0" r="0" b="0"/>
                <wp:wrapNone/>
                <wp:docPr id="47" name="直接连接符 47"/>
                <wp:cNvGraphicFramePr/>
                <a:graphic xmlns:a="http://schemas.openxmlformats.org/drawingml/2006/main">
                  <a:graphicData uri="http://schemas.microsoft.com/office/word/2010/wordprocessingShape">
                    <wps:wsp>
                      <wps:cNvCnPr/>
                      <wps:spPr>
                        <a:xfrm flipH="1">
                          <a:off x="0" y="0"/>
                          <a:ext cx="8255" cy="532130"/>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x;margin-left:27.65pt;margin-top:18.55pt;height:41.9pt;width:0.65pt;z-index:251682816;mso-width-relative:page;mso-height-relative:page;" filled="f" stroked="t" coordsize="21600,21600" o:gfxdata="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bjkZNcAAAAIAQAADwAAAAAAAAABACAAAAAiAAAAZHJzL2Rvd25yZXYueG1s&#10;UEsBAhQAFAAAAAgAh07iQGMl+sr5AQAA5wMAAA4AAAAAAAAAAQAgAAAAJgEAAGRycy9lMm9Eb2Mu&#10;eG1sUEsFBgAAAAAGAAYAWQEAAJEFAAAAAA==&#10;">
                <v:fill on="f" focussize="0,0"/>
                <v:stroke weight="1.25pt" color="#000000" joinstyle="round"/>
                <v:imagedata o:title=""/>
                <o:lock v:ext="edit" aspectratio="f"/>
              </v:line>
            </w:pict>
          </mc:Fallback>
        </mc:AlternateContent>
      </w:r>
    </w:p>
    <w:p>
      <w:pPr>
        <w:spacing w:before="156" w:beforeLines="50"/>
        <w:jc w:val="left"/>
        <w:rPr>
          <w:rFonts w:ascii="黑体" w:hAnsi="黑体" w:eastAsia="黑体" w:cs="黑体"/>
          <w:sz w:val="24"/>
        </w:rPr>
      </w:pPr>
      <w:r>
        <w:rPr>
          <w:rFonts w:hint="eastAsia" w:ascii="黑体" w:hAnsi="黑体" w:eastAsia="黑体" w:cs="黑体"/>
          <w:sz w:val="28"/>
          <w:szCs w:val="28"/>
        </w:rPr>
        <mc:AlternateContent>
          <mc:Choice Requires="wps">
            <w:drawing>
              <wp:anchor distT="0" distB="0" distL="114300" distR="114300" simplePos="0" relativeHeight="251678720" behindDoc="0" locked="0" layoutInCell="1" allowOverlap="1">
                <wp:simplePos x="0" y="0"/>
                <wp:positionH relativeFrom="column">
                  <wp:posOffset>1274445</wp:posOffset>
                </wp:positionH>
                <wp:positionV relativeFrom="paragraph">
                  <wp:posOffset>179705</wp:posOffset>
                </wp:positionV>
                <wp:extent cx="1082040" cy="398780"/>
                <wp:effectExtent l="7620" t="7620" r="15240" b="12700"/>
                <wp:wrapSquare wrapText="bothSides"/>
                <wp:docPr id="48" name="流程图: 可选过程 48"/>
                <wp:cNvGraphicFramePr/>
                <a:graphic xmlns:a="http://schemas.openxmlformats.org/drawingml/2006/main">
                  <a:graphicData uri="http://schemas.microsoft.com/office/word/2010/wordprocessingShape">
                    <wps:wsp>
                      <wps:cNvSpPr/>
                      <wps:spPr>
                        <a:xfrm>
                          <a:off x="0" y="0"/>
                          <a:ext cx="1082040" cy="398780"/>
                        </a:xfrm>
                        <a:prstGeom prst="flowChartAlternateProcess">
                          <a:avLst/>
                        </a:prstGeom>
                        <a:noFill/>
                        <a:ln w="15875" cap="flat" cmpd="sng">
                          <a:solidFill>
                            <a:srgbClr val="000000"/>
                          </a:solidFill>
                          <a:prstDash val="solid"/>
                          <a:miter/>
                          <a:headEnd type="none" w="med" len="med"/>
                          <a:tailEnd type="none" w="med" len="med"/>
                        </a:ln>
                      </wps:spPr>
                      <wps:txbx>
                        <w:txbxContent>
                          <w:p>
                            <w:pPr>
                              <w:jc w:val="center"/>
                              <w:rPr>
                                <w:rFonts w:ascii="仿宋_GB2312" w:hAnsi="仿宋_GB2312" w:eastAsia="仿宋_GB2312" w:cs="仿宋_GB2312"/>
                                <w:b/>
                                <w:bCs/>
                                <w:sz w:val="24"/>
                              </w:rPr>
                            </w:pPr>
                            <w:r>
                              <w:rPr>
                                <w:rFonts w:hint="eastAsia" w:ascii="仿宋_GB2312" w:hAnsi="仿宋_GB2312" w:eastAsia="仿宋_GB2312" w:cs="仿宋_GB2312"/>
                                <w:b/>
                                <w:bCs/>
                                <w:sz w:val="24"/>
                              </w:rPr>
                              <w:t>新区项目局</w:t>
                            </w:r>
                          </w:p>
                        </w:txbxContent>
                      </wps:txbx>
                      <wps:bodyPr upright="1"/>
                    </wps:wsp>
                  </a:graphicData>
                </a:graphic>
              </wp:anchor>
            </w:drawing>
          </mc:Choice>
          <mc:Fallback>
            <w:pict>
              <v:shape id="_x0000_s1026" o:spid="_x0000_s1026" o:spt="176" type="#_x0000_t176" style="position:absolute;left:0pt;margin-left:100.35pt;margin-top:14.15pt;height:31.4pt;width:85.2pt;mso-wrap-distance-bottom:0pt;mso-wrap-distance-left:9pt;mso-wrap-distance-right:9pt;mso-wrap-distance-top:0pt;z-index:251678720;mso-width-relative:page;mso-height-relative:page;" filled="f" stroked="t" coordsize="21600,21600" o:gfxdata="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HeuHn&#10;1AAAAAkBAAAPAAAAAAAAAAEAIAAAACIAAABkcnMvZG93bnJldi54bWxQSwECFAAUAAAACACHTuJA&#10;KLexJyUCAAApBAAADgAAAAAAAAABACAAAAAjAQAAZHJzL2Uyb0RvYy54bWxQSwUGAAAAAAYABgBZ&#10;AQAAugUAAAAA&#10;">
                <v:fill on="f" focussize="0,0"/>
                <v:stroke weight="1.25pt" color="#000000" joinstyle="miter"/>
                <v:imagedata o:title=""/>
                <o:lock v:ext="edit" aspectratio="f"/>
                <v:textbox>
                  <w:txbxContent>
                    <w:p>
                      <w:pPr>
                        <w:jc w:val="center"/>
                        <w:rPr>
                          <w:rFonts w:ascii="仿宋_GB2312" w:hAnsi="仿宋_GB2312" w:eastAsia="仿宋_GB2312" w:cs="仿宋_GB2312"/>
                          <w:b/>
                          <w:bCs/>
                          <w:sz w:val="24"/>
                        </w:rPr>
                      </w:pPr>
                      <w:r>
                        <w:rPr>
                          <w:rFonts w:hint="eastAsia" w:ascii="仿宋_GB2312" w:hAnsi="仿宋_GB2312" w:eastAsia="仿宋_GB2312" w:cs="仿宋_GB2312"/>
                          <w:b/>
                          <w:bCs/>
                          <w:sz w:val="24"/>
                        </w:rPr>
                        <w:t>新区项目局</w:t>
                      </w:r>
                    </w:p>
                  </w:txbxContent>
                </v:textbox>
                <w10:wrap type="square"/>
              </v:shape>
            </w:pict>
          </mc:Fallback>
        </mc:AlternateContent>
      </w:r>
    </w:p>
    <w:p>
      <w:pPr>
        <w:spacing w:before="156" w:beforeLines="50"/>
        <w:jc w:val="left"/>
        <w:rPr>
          <w:rFonts w:ascii="黑体" w:hAnsi="黑体" w:eastAsia="黑体" w:cs="黑体"/>
          <w:sz w:val="24"/>
        </w:rPr>
      </w:pPr>
      <w:r>
        <w:rPr>
          <w:sz w:val="28"/>
          <w:szCs w:val="28"/>
        </w:rPr>
        <mc:AlternateContent>
          <mc:Choice Requires="wps">
            <w:drawing>
              <wp:anchor distT="0" distB="0" distL="114300" distR="114300" simplePos="0" relativeHeight="251681792" behindDoc="0" locked="0" layoutInCell="1" allowOverlap="1">
                <wp:simplePos x="0" y="0"/>
                <wp:positionH relativeFrom="column">
                  <wp:posOffset>350520</wp:posOffset>
                </wp:positionH>
                <wp:positionV relativeFrom="paragraph">
                  <wp:posOffset>147955</wp:posOffset>
                </wp:positionV>
                <wp:extent cx="839470" cy="5715"/>
                <wp:effectExtent l="0" t="37465" r="17780" b="33020"/>
                <wp:wrapNone/>
                <wp:docPr id="46" name="直接连接符 46"/>
                <wp:cNvGraphicFramePr/>
                <a:graphic xmlns:a="http://schemas.openxmlformats.org/drawingml/2006/main">
                  <a:graphicData uri="http://schemas.microsoft.com/office/word/2010/wordprocessingShape">
                    <wps:wsp>
                      <wps:cNvCnPr/>
                      <wps:spPr>
                        <a:xfrm flipV="1">
                          <a:off x="0" y="0"/>
                          <a:ext cx="839470" cy="5715"/>
                        </a:xfrm>
                        <a:prstGeom prst="line">
                          <a:avLst/>
                        </a:prstGeom>
                        <a:ln w="1587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y;margin-left:27.6pt;margin-top:11.65pt;height:0.45pt;width:66.1pt;z-index:251681792;mso-width-relative:page;mso-height-relative:page;" filled="f" stroked="t" coordsize="21600,21600" o:gfxdata="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KTbxDYAAAACAEAAA8AAAAAAAAAAQAgAAAAIgAAAGRycy9kb3du&#10;cmV2LnhtbFBLAQIUABQAAAAIAIdO4kA8U/cb/wEAAOsDAAAOAAAAAAAAAAEAIAAAACcBAABkcnMv&#10;ZTJvRG9jLnhtbFBLBQYAAAAABgAGAFkBAACYBQAAAAA=&#10;">
                <v:fill on="f" focussize="0,0"/>
                <v:stroke weight="1.25pt" color="#000000" joinstyle="round" endarrow="block"/>
                <v:imagedata o:title=""/>
                <o:lock v:ext="edit" aspectratio="f"/>
              </v:line>
            </w:pict>
          </mc:Fallback>
        </mc:AlternateContent>
      </w:r>
      <w:r>
        <w:rPr>
          <w:sz w:val="28"/>
          <w:szCs w:val="28"/>
        </w:rPr>
        <mc:AlternateContent>
          <mc:Choice Requires="wps">
            <w:drawing>
              <wp:anchor distT="0" distB="0" distL="114300" distR="114300" simplePos="0" relativeHeight="251674624" behindDoc="0" locked="0" layoutInCell="1" allowOverlap="1">
                <wp:simplePos x="0" y="0"/>
                <wp:positionH relativeFrom="column">
                  <wp:posOffset>2381885</wp:posOffset>
                </wp:positionH>
                <wp:positionV relativeFrom="paragraph">
                  <wp:posOffset>127635</wp:posOffset>
                </wp:positionV>
                <wp:extent cx="625475" cy="0"/>
                <wp:effectExtent l="0" t="38100" r="3175" b="38100"/>
                <wp:wrapNone/>
                <wp:docPr id="45" name="直接连接符 45"/>
                <wp:cNvGraphicFramePr/>
                <a:graphic xmlns:a="http://schemas.openxmlformats.org/drawingml/2006/main">
                  <a:graphicData uri="http://schemas.microsoft.com/office/word/2010/wordprocessingShape">
                    <wps:wsp>
                      <wps:cNvCnPr/>
                      <wps:spPr>
                        <a:xfrm>
                          <a:off x="0" y="0"/>
                          <a:ext cx="625475" cy="0"/>
                        </a:xfrm>
                        <a:prstGeom prst="line">
                          <a:avLst/>
                        </a:prstGeom>
                        <a:ln w="1587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87.55pt;margin-top:10.05pt;height:0pt;width:49.25pt;z-index:251674624;mso-width-relative:page;mso-height-relative:page;" filled="f" stroked="t" coordsize="21600,21600" o:gfxdata="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0E7qetcAAAAJAQAADwAAAAAAAAABACAAAAAiAAAAZHJzL2Rvd25yZXYueG1sUEsBAhQA&#10;FAAAAAgAh07iQCoc9JXzAQAA3gMAAA4AAAAAAAAAAQAgAAAAJgEAAGRycy9lMm9Eb2MueG1sUEsF&#10;BgAAAAAGAAYAWQEAAIsFAAAAAA==&#10;">
                <v:fill on="f" focussize="0,0"/>
                <v:stroke weight="1.25pt" color="#000000" joinstyle="round" endarrow="block"/>
                <v:imagedata o:title=""/>
                <o:lock v:ext="edit" aspectratio="f"/>
              </v:line>
            </w:pict>
          </mc:Fallback>
        </mc:AlternateContent>
      </w:r>
    </w:p>
    <w:p>
      <w:pPr>
        <w:spacing w:before="156" w:beforeLines="50"/>
        <w:jc w:val="left"/>
        <w:rPr>
          <w:rFonts w:ascii="黑体" w:hAnsi="黑体" w:eastAsia="黑体" w:cs="黑体"/>
          <w:sz w:val="24"/>
        </w:rPr>
      </w:pPr>
      <w:r>
        <w:rPr>
          <w:rFonts w:hint="eastAsia" w:ascii="黑体" w:hAnsi="黑体" w:eastAsia="黑体" w:cs="黑体"/>
          <w:sz w:val="24"/>
        </w:rPr>
        <mc:AlternateContent>
          <mc:Choice Requires="wps">
            <w:drawing>
              <wp:anchor distT="0" distB="0" distL="114300" distR="114300" simplePos="0" relativeHeight="251679744" behindDoc="0" locked="0" layoutInCell="1" allowOverlap="1">
                <wp:simplePos x="0" y="0"/>
                <wp:positionH relativeFrom="column">
                  <wp:posOffset>1780540</wp:posOffset>
                </wp:positionH>
                <wp:positionV relativeFrom="paragraph">
                  <wp:posOffset>69850</wp:posOffset>
                </wp:positionV>
                <wp:extent cx="76200" cy="544195"/>
                <wp:effectExtent l="10160" t="7620" r="27940" b="38735"/>
                <wp:wrapNone/>
                <wp:docPr id="41" name="下箭头 41"/>
                <wp:cNvGraphicFramePr/>
                <a:graphic xmlns:a="http://schemas.openxmlformats.org/drawingml/2006/main">
                  <a:graphicData uri="http://schemas.microsoft.com/office/word/2010/wordprocessingShape">
                    <wps:wsp>
                      <wps:cNvSpPr/>
                      <wps:spPr>
                        <a:xfrm>
                          <a:off x="0" y="0"/>
                          <a:ext cx="76200" cy="544195"/>
                        </a:xfrm>
                        <a:prstGeom prst="downArrow">
                          <a:avLst>
                            <a:gd name="adj1" fmla="val 50000"/>
                            <a:gd name="adj2" fmla="val 178541"/>
                          </a:avLst>
                        </a:prstGeom>
                        <a:noFill/>
                        <a:ln w="15875" cap="flat" cmpd="sng">
                          <a:solidFill>
                            <a:srgbClr val="000000"/>
                          </a:solidFill>
                          <a:prstDash val="solid"/>
                          <a:miter/>
                          <a:headEnd type="none" w="med" len="med"/>
                          <a:tailEnd type="none" w="med" len="med"/>
                        </a:ln>
                      </wps:spPr>
                      <wps:txbx>
                        <w:txbxContent>
                          <w:p>
                            <w:pPr>
                              <w:jc w:val="center"/>
                            </w:pPr>
                          </w:p>
                        </w:txbxContent>
                      </wps:txbx>
                      <wps:bodyPr vert="eaVert" upright="1"/>
                    </wps:wsp>
                  </a:graphicData>
                </a:graphic>
              </wp:anchor>
            </w:drawing>
          </mc:Choice>
          <mc:Fallback>
            <w:pict>
              <v:shape id="_x0000_s1026" o:spid="_x0000_s1026" o:spt="67" type="#_x0000_t67" style="position:absolute;left:0pt;margin-left:140.2pt;margin-top:5.5pt;height:42.85pt;width:6pt;z-index:251679744;mso-width-relative:page;mso-height-relative:page;" filled="f" stroked="t" coordsize="21600,21600" o:gfxdata="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DHAVtYAAAAJAQAADwAAAAAAAAABACAAAAAiAAAAZHJzL2Rvd25yZXYueG1sUEsB&#10;AhQAFAAAAAgAh07iQOsQV8EwAgAAaQQAAA4AAAAAAAAAAQAgAAAAJQEAAGRycy9lMm9Eb2MueG1s&#10;UEsFBgAAAAAGAAYAWQEAAMcFAAAAAA==&#10;" adj="16201,5400">
                <v:fill on="f" focussize="0,0"/>
                <v:stroke weight="1.25pt" color="#000000" joinstyle="miter"/>
                <v:imagedata o:title=""/>
                <o:lock v:ext="edit" aspectratio="f"/>
                <v:textbox style="layout-flow:vertical-ideographic;">
                  <w:txbxContent>
                    <w:p>
                      <w:pPr>
                        <w:jc w:val="center"/>
                      </w:pPr>
                    </w:p>
                  </w:txbxContent>
                </v:textbox>
              </v:shape>
            </w:pict>
          </mc:Fallback>
        </mc:AlternateContent>
      </w:r>
      <w:r>
        <w:rPr>
          <w:rFonts w:hint="eastAsia" w:ascii="黑体" w:hAnsi="黑体" w:eastAsia="黑体" w:cs="黑体"/>
          <w:sz w:val="24"/>
        </w:rPr>
        <w:t xml:space="preserve">                    </w:t>
      </w:r>
    </w:p>
    <w:p>
      <w:pPr>
        <w:spacing w:before="156" w:beforeLines="50"/>
        <w:jc w:val="left"/>
        <w:rPr>
          <w:rFonts w:ascii="黑体" w:hAnsi="黑体" w:eastAsia="黑体" w:cs="黑体"/>
          <w:sz w:val="24"/>
        </w:rPr>
      </w:pPr>
    </w:p>
    <w:p>
      <w:pPr>
        <w:spacing w:before="156" w:beforeLines="50"/>
        <w:jc w:val="left"/>
        <w:rPr>
          <w:rFonts w:ascii="黑体" w:hAnsi="黑体" w:eastAsia="黑体" w:cs="黑体"/>
          <w:sz w:val="24"/>
        </w:rPr>
      </w:pPr>
      <w:r>
        <w:rPr>
          <w:sz w:val="28"/>
          <w:szCs w:val="28"/>
        </w:rPr>
        <mc:AlternateContent>
          <mc:Choice Requires="wps">
            <w:drawing>
              <wp:anchor distT="0" distB="0" distL="114300" distR="114300" simplePos="0" relativeHeight="251671552" behindDoc="0" locked="0" layoutInCell="1" allowOverlap="1">
                <wp:simplePos x="0" y="0"/>
                <wp:positionH relativeFrom="column">
                  <wp:posOffset>1317625</wp:posOffset>
                </wp:positionH>
                <wp:positionV relativeFrom="paragraph">
                  <wp:posOffset>46355</wp:posOffset>
                </wp:positionV>
                <wp:extent cx="1114425" cy="515620"/>
                <wp:effectExtent l="7620" t="7620" r="20955" b="10160"/>
                <wp:wrapNone/>
                <wp:docPr id="40" name="流程图: 可选过程 40"/>
                <wp:cNvGraphicFramePr/>
                <a:graphic xmlns:a="http://schemas.openxmlformats.org/drawingml/2006/main">
                  <a:graphicData uri="http://schemas.microsoft.com/office/word/2010/wordprocessingShape">
                    <wps:wsp>
                      <wps:cNvSpPr/>
                      <wps:spPr>
                        <a:xfrm>
                          <a:off x="0" y="0"/>
                          <a:ext cx="1114425" cy="515620"/>
                        </a:xfrm>
                        <a:prstGeom prst="flowChartAlternateProcess">
                          <a:avLst/>
                        </a:prstGeom>
                        <a:noFill/>
                        <a:ln w="15875" cap="flat" cmpd="sng">
                          <a:solidFill>
                            <a:srgbClr val="000000"/>
                          </a:solidFill>
                          <a:prstDash val="solid"/>
                          <a:miter/>
                          <a:headEnd type="none" w="med" len="med"/>
                          <a:tailEnd type="none" w="med" len="med"/>
                        </a:ln>
                      </wps:spPr>
                      <wps:txbx>
                        <w:txbxContent>
                          <w:p>
                            <w:pPr>
                              <w:jc w:val="center"/>
                              <w:rPr>
                                <w:rFonts w:ascii="仿宋_GB2312" w:hAnsi="仿宋_GB2312" w:eastAsia="仿宋_GB2312" w:cs="仿宋_GB2312"/>
                                <w:b/>
                                <w:bCs/>
                                <w:sz w:val="24"/>
                              </w:rPr>
                            </w:pPr>
                            <w:r>
                              <w:rPr>
                                <w:rFonts w:hint="eastAsia" w:ascii="仿宋_GB2312" w:hAnsi="仿宋_GB2312" w:eastAsia="仿宋_GB2312" w:cs="仿宋_GB2312"/>
                                <w:b/>
                                <w:bCs/>
                                <w:sz w:val="24"/>
                              </w:rPr>
                              <w:t>发改委政务大厅窗口</w:t>
                            </w:r>
                          </w:p>
                        </w:txbxContent>
                      </wps:txbx>
                      <wps:bodyPr upright="1"/>
                    </wps:wsp>
                  </a:graphicData>
                </a:graphic>
              </wp:anchor>
            </w:drawing>
          </mc:Choice>
          <mc:Fallback>
            <w:pict>
              <v:shape id="_x0000_s1026" o:spid="_x0000_s1026" o:spt="176" type="#_x0000_t176" style="position:absolute;left:0pt;margin-left:103.75pt;margin-top:3.65pt;height:40.6pt;width:87.75pt;z-index:251671552;mso-width-relative:page;mso-height-relative:page;" filled="f" stroked="t" coordsize="21600,21600" o:gfxdata="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sTsdbV&#10;AAAACAEAAA8AAAAAAAAAAQAgAAAAIgAAAGRycy9kb3ducmV2LnhtbFBLAQIUABQAAAAIAIdO4kAL&#10;ECZKIwIAACkEAAAOAAAAAAAAAAEAIAAAACQBAABkcnMvZTJvRG9jLnhtbFBLBQYAAAAABgAGAFkB&#10;AAC5BQAAAAA=&#10;">
                <v:fill on="f" focussize="0,0"/>
                <v:stroke weight="1.25pt" color="#000000" joinstyle="miter"/>
                <v:imagedata o:title=""/>
                <o:lock v:ext="edit" aspectratio="f"/>
                <v:textbox>
                  <w:txbxContent>
                    <w:p>
                      <w:pPr>
                        <w:jc w:val="center"/>
                        <w:rPr>
                          <w:rFonts w:ascii="仿宋_GB2312" w:hAnsi="仿宋_GB2312" w:eastAsia="仿宋_GB2312" w:cs="仿宋_GB2312"/>
                          <w:b/>
                          <w:bCs/>
                          <w:sz w:val="24"/>
                        </w:rPr>
                      </w:pPr>
                      <w:r>
                        <w:rPr>
                          <w:rFonts w:hint="eastAsia" w:ascii="仿宋_GB2312" w:hAnsi="仿宋_GB2312" w:eastAsia="仿宋_GB2312" w:cs="仿宋_GB2312"/>
                          <w:b/>
                          <w:bCs/>
                          <w:sz w:val="24"/>
                        </w:rPr>
                        <w:t>发改委政务大厅窗口</w:t>
                      </w:r>
                    </w:p>
                  </w:txbxContent>
                </v:textbox>
              </v:shape>
            </w:pict>
          </mc:Fallback>
        </mc:AlternateContent>
      </w:r>
    </w:p>
    <w:p>
      <w:pPr>
        <w:spacing w:before="156" w:beforeLines="50"/>
        <w:jc w:val="left"/>
        <w:rPr>
          <w:rFonts w:ascii="黑体" w:hAnsi="黑体" w:eastAsia="黑体" w:cs="黑体"/>
          <w:sz w:val="24"/>
        </w:rPr>
      </w:pPr>
    </w:p>
    <w:p>
      <w:pPr>
        <w:spacing w:before="156" w:beforeLines="50"/>
        <w:jc w:val="left"/>
        <w:rPr>
          <w:rFonts w:ascii="黑体" w:hAnsi="黑体" w:eastAsia="黑体" w:cs="黑体"/>
          <w:sz w:val="24"/>
        </w:rPr>
      </w:pPr>
      <w:r>
        <w:rPr>
          <w:sz w:val="28"/>
          <w:szCs w:val="28"/>
        </w:rPr>
        <mc:AlternateContent>
          <mc:Choice Requires="wps">
            <w:drawing>
              <wp:anchor distT="0" distB="0" distL="114300" distR="114300" simplePos="0" relativeHeight="251680768" behindDoc="0" locked="0" layoutInCell="1" allowOverlap="1">
                <wp:simplePos x="0" y="0"/>
                <wp:positionH relativeFrom="column">
                  <wp:posOffset>1763395</wp:posOffset>
                </wp:positionH>
                <wp:positionV relativeFrom="paragraph">
                  <wp:posOffset>71755</wp:posOffset>
                </wp:positionV>
                <wp:extent cx="93980" cy="579755"/>
                <wp:effectExtent l="10795" t="7620" r="28575" b="41275"/>
                <wp:wrapNone/>
                <wp:docPr id="37" name="下箭头 37"/>
                <wp:cNvGraphicFramePr/>
                <a:graphic xmlns:a="http://schemas.openxmlformats.org/drawingml/2006/main">
                  <a:graphicData uri="http://schemas.microsoft.com/office/word/2010/wordprocessingShape">
                    <wps:wsp>
                      <wps:cNvSpPr/>
                      <wps:spPr>
                        <a:xfrm>
                          <a:off x="0" y="0"/>
                          <a:ext cx="93980" cy="579755"/>
                        </a:xfrm>
                        <a:prstGeom prst="downArrow">
                          <a:avLst>
                            <a:gd name="adj1" fmla="val 50000"/>
                            <a:gd name="adj2" fmla="val 154222"/>
                          </a:avLst>
                        </a:prstGeom>
                        <a:noFill/>
                        <a:ln w="15875" cap="flat" cmpd="sng">
                          <a:solidFill>
                            <a:srgbClr val="000000"/>
                          </a:solidFill>
                          <a:prstDash val="solid"/>
                          <a:miter/>
                          <a:headEnd type="none" w="med" len="med"/>
                          <a:tailEnd type="none" w="med" len="med"/>
                        </a:ln>
                      </wps:spPr>
                      <wps:txbx>
                        <w:txbxContent>
                          <w:p>
                            <w:pPr>
                              <w:jc w:val="center"/>
                            </w:pPr>
                          </w:p>
                        </w:txbxContent>
                      </wps:txbx>
                      <wps:bodyPr vert="eaVert" upright="1"/>
                    </wps:wsp>
                  </a:graphicData>
                </a:graphic>
              </wp:anchor>
            </w:drawing>
          </mc:Choice>
          <mc:Fallback>
            <w:pict>
              <v:shape id="_x0000_s1026" o:spid="_x0000_s1026" o:spt="67" type="#_x0000_t67" style="position:absolute;left:0pt;margin-left:138.85pt;margin-top:5.65pt;height:45.65pt;width:7.4pt;z-index:251680768;mso-width-relative:page;mso-height-relative:page;" filled="f" stroked="t" coordsize="21600,21600" o:gfxdata="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ItLzI1wAAAAoBAAAPAAAAAAAAAAEAIAAAACIAAABkcnMvZG93bnJldi54bWxQ&#10;SwECFAAUAAAACACHTuJA7IOftjECAABpBAAADgAAAAAAAAABACAAAAAmAQAAZHJzL2Uyb0RvYy54&#10;bWxQSwUGAAAAAAYABgBZAQAAyQUAAAAA&#10;" adj="16201,5400">
                <v:fill on="f" focussize="0,0"/>
                <v:stroke weight="1.25pt" color="#000000" joinstyle="miter"/>
                <v:imagedata o:title=""/>
                <o:lock v:ext="edit" aspectratio="f"/>
                <v:textbox style="layout-flow:vertical-ideographic;">
                  <w:txbxContent>
                    <w:p>
                      <w:pPr>
                        <w:jc w:val="center"/>
                      </w:pPr>
                    </w:p>
                  </w:txbxContent>
                </v:textbox>
              </v:shape>
            </w:pict>
          </mc:Fallback>
        </mc:AlternateContent>
      </w:r>
    </w:p>
    <w:p>
      <w:pPr>
        <w:spacing w:before="156" w:beforeLines="50"/>
        <w:jc w:val="left"/>
        <w:rPr>
          <w:rFonts w:ascii="黑体" w:hAnsi="黑体" w:eastAsia="黑体" w:cs="黑体"/>
          <w:sz w:val="24"/>
        </w:rPr>
      </w:pPr>
    </w:p>
    <w:p>
      <w:pPr>
        <w:spacing w:before="156" w:beforeLines="50"/>
        <w:jc w:val="left"/>
        <w:rPr>
          <w:rFonts w:ascii="黑体" w:hAnsi="黑体" w:eastAsia="黑体" w:cs="黑体"/>
          <w:sz w:val="24"/>
        </w:rPr>
      </w:pPr>
      <w:r>
        <w:rPr>
          <w:sz w:val="28"/>
          <w:szCs w:val="28"/>
        </w:rPr>
        <mc:AlternateContent>
          <mc:Choice Requires="wps">
            <w:drawing>
              <wp:anchor distT="0" distB="0" distL="114300" distR="114300" simplePos="0" relativeHeight="251675648" behindDoc="0" locked="0" layoutInCell="1" allowOverlap="1">
                <wp:simplePos x="0" y="0"/>
                <wp:positionH relativeFrom="column">
                  <wp:posOffset>1025525</wp:posOffset>
                </wp:positionH>
                <wp:positionV relativeFrom="paragraph">
                  <wp:posOffset>67310</wp:posOffset>
                </wp:positionV>
                <wp:extent cx="1687830" cy="583565"/>
                <wp:effectExtent l="7620" t="7620" r="19050" b="18415"/>
                <wp:wrapNone/>
                <wp:docPr id="44" name="流程图: 可选过程 44"/>
                <wp:cNvGraphicFramePr/>
                <a:graphic xmlns:a="http://schemas.openxmlformats.org/drawingml/2006/main">
                  <a:graphicData uri="http://schemas.microsoft.com/office/word/2010/wordprocessingShape">
                    <wps:wsp>
                      <wps:cNvSpPr/>
                      <wps:spPr>
                        <a:xfrm>
                          <a:off x="0" y="0"/>
                          <a:ext cx="1687830" cy="583565"/>
                        </a:xfrm>
                        <a:prstGeom prst="flowChartAlternateProcess">
                          <a:avLst/>
                        </a:prstGeom>
                        <a:noFill/>
                        <a:ln w="15875" cap="flat" cmpd="sng">
                          <a:solidFill>
                            <a:srgbClr val="000000"/>
                          </a:solidFill>
                          <a:prstDash val="solid"/>
                          <a:miter/>
                          <a:headEnd type="none" w="med" len="med"/>
                          <a:tailEnd type="none" w="med" len="med"/>
                        </a:ln>
                      </wps:spPr>
                      <wps:txbx>
                        <w:txbxContent>
                          <w:p>
                            <w:pPr>
                              <w:ind w:left="480" w:hanging="482" w:hangingChars="200"/>
                              <w:rPr>
                                <w:rFonts w:ascii="仿宋_GB2312" w:hAnsi="仿宋_GB2312" w:eastAsia="仿宋_GB2312" w:cs="仿宋_GB2312"/>
                                <w:b/>
                                <w:bCs/>
                                <w:sz w:val="24"/>
                              </w:rPr>
                            </w:pPr>
                            <w:r>
                              <w:rPr>
                                <w:rFonts w:hint="eastAsia" w:ascii="仿宋_GB2312" w:hAnsi="仿宋_GB2312" w:eastAsia="仿宋_GB2312" w:cs="仿宋_GB2312"/>
                                <w:b/>
                                <w:bCs/>
                                <w:sz w:val="24"/>
                              </w:rPr>
                              <w:t>发改委相关科室进行核准或审批</w:t>
                            </w:r>
                          </w:p>
                        </w:txbxContent>
                      </wps:txbx>
                      <wps:bodyPr upright="1"/>
                    </wps:wsp>
                  </a:graphicData>
                </a:graphic>
              </wp:anchor>
            </w:drawing>
          </mc:Choice>
          <mc:Fallback>
            <w:pict>
              <v:shape id="_x0000_s1026" o:spid="_x0000_s1026" o:spt="176" type="#_x0000_t176" style="position:absolute;left:0pt;margin-left:80.75pt;margin-top:5.3pt;height:45.95pt;width:132.9pt;z-index:251675648;mso-width-relative:page;mso-height-relative:page;" filled="f" stroked="t" coordsize="21600,21600" o:gfxdata="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Xd&#10;+CjWAAAACgEAAA8AAAAAAAAAAQAgAAAAIgAAAGRycy9kb3ducmV2LnhtbFBLAQIUABQAAAAIAIdO&#10;4kAOn6YCJQIAACkEAAAOAAAAAAAAAAEAIAAAACUBAABkcnMvZTJvRG9jLnhtbFBLBQYAAAAABgAG&#10;AFkBAAC8BQAAAAA=&#10;">
                <v:fill on="f" focussize="0,0"/>
                <v:stroke weight="1.25pt" color="#000000" joinstyle="miter"/>
                <v:imagedata o:title=""/>
                <o:lock v:ext="edit" aspectratio="f"/>
                <v:textbox>
                  <w:txbxContent>
                    <w:p>
                      <w:pPr>
                        <w:ind w:left="480" w:hanging="482" w:hangingChars="200"/>
                        <w:rPr>
                          <w:rFonts w:ascii="仿宋_GB2312" w:hAnsi="仿宋_GB2312" w:eastAsia="仿宋_GB2312" w:cs="仿宋_GB2312"/>
                          <w:b/>
                          <w:bCs/>
                          <w:sz w:val="24"/>
                        </w:rPr>
                      </w:pPr>
                      <w:r>
                        <w:rPr>
                          <w:rFonts w:hint="eastAsia" w:ascii="仿宋_GB2312" w:hAnsi="仿宋_GB2312" w:eastAsia="仿宋_GB2312" w:cs="仿宋_GB2312"/>
                          <w:b/>
                          <w:bCs/>
                          <w:sz w:val="24"/>
                        </w:rPr>
                        <w:t>发改委相关科室进行核准或审批</w:t>
                      </w:r>
                    </w:p>
                  </w:txbxContent>
                </v:textbox>
              </v:shape>
            </w:pict>
          </mc:Fallback>
        </mc:AlternateContent>
      </w:r>
    </w:p>
    <w:p>
      <w:pPr>
        <w:spacing w:before="156" w:beforeLines="50"/>
        <w:jc w:val="left"/>
        <w:rPr>
          <w:rFonts w:ascii="黑体" w:hAnsi="黑体" w:eastAsia="黑体" w:cs="黑体"/>
          <w:sz w:val="24"/>
        </w:rPr>
      </w:pPr>
    </w:p>
    <w:p>
      <w:pPr>
        <w:spacing w:before="156" w:beforeLines="50"/>
        <w:jc w:val="left"/>
        <w:rPr>
          <w:rFonts w:ascii="黑体" w:hAnsi="黑体" w:eastAsia="黑体" w:cs="黑体"/>
          <w:sz w:val="24"/>
        </w:rPr>
      </w:pPr>
      <w:r>
        <w:rPr>
          <w:sz w:val="28"/>
          <w:szCs w:val="28"/>
        </w:rPr>
        <mc:AlternateContent>
          <mc:Choice Requires="wps">
            <w:drawing>
              <wp:anchor distT="0" distB="0" distL="114300" distR="114300" simplePos="0" relativeHeight="251684864" behindDoc="0" locked="0" layoutInCell="1" allowOverlap="1">
                <wp:simplePos x="0" y="0"/>
                <wp:positionH relativeFrom="column">
                  <wp:posOffset>1779905</wp:posOffset>
                </wp:positionH>
                <wp:positionV relativeFrom="paragraph">
                  <wp:posOffset>134620</wp:posOffset>
                </wp:positionV>
                <wp:extent cx="95885" cy="579755"/>
                <wp:effectExtent l="10795" t="8255" r="26670" b="40640"/>
                <wp:wrapNone/>
                <wp:docPr id="43" name="下箭头 43"/>
                <wp:cNvGraphicFramePr/>
                <a:graphic xmlns:a="http://schemas.openxmlformats.org/drawingml/2006/main">
                  <a:graphicData uri="http://schemas.microsoft.com/office/word/2010/wordprocessingShape">
                    <wps:wsp>
                      <wps:cNvSpPr/>
                      <wps:spPr>
                        <a:xfrm>
                          <a:off x="0" y="0"/>
                          <a:ext cx="95885" cy="579755"/>
                        </a:xfrm>
                        <a:prstGeom prst="downArrow">
                          <a:avLst>
                            <a:gd name="adj1" fmla="val 50000"/>
                            <a:gd name="adj2" fmla="val 151158"/>
                          </a:avLst>
                        </a:prstGeom>
                        <a:noFill/>
                        <a:ln w="15875" cap="flat" cmpd="sng">
                          <a:solidFill>
                            <a:srgbClr val="000000"/>
                          </a:solidFill>
                          <a:prstDash val="solid"/>
                          <a:miter/>
                          <a:headEnd type="none" w="med" len="med"/>
                          <a:tailEnd type="none" w="med" len="med"/>
                        </a:ln>
                      </wps:spPr>
                      <wps:bodyPr vert="eaVert" upright="1"/>
                    </wps:wsp>
                  </a:graphicData>
                </a:graphic>
              </wp:anchor>
            </w:drawing>
          </mc:Choice>
          <mc:Fallback>
            <w:pict>
              <v:shape id="_x0000_s1026" o:spid="_x0000_s1026" o:spt="67" type="#_x0000_t67" style="position:absolute;left:0pt;margin-left:140.15pt;margin-top:10.6pt;height:45.65pt;width:7.55pt;z-index:251684864;mso-width-relative:page;mso-height-relative:page;" filled="f" stroked="t" coordsize="21600,21600" o:gfxdata="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gQHor1wAAAAoBAAAPAAAAAAAAAAEAIAAAACIAAABkcnMvZG93bnJldi54bWxQSwECFAAU&#10;AAAACACHTuJA6Ru8cysCAABeBAAADgAAAAAAAAABACAAAAAmAQAAZHJzL2Uyb0RvYy54bWxQSwUG&#10;AAAAAAYABgBZAQAAwwUAAAAA&#10;" adj="16201,5400">
                <v:fill on="f" focussize="0,0"/>
                <v:stroke weight="1.25pt" color="#000000" joinstyle="miter"/>
                <v:imagedata o:title=""/>
                <o:lock v:ext="edit" aspectratio="f"/>
                <v:textbox style="layout-flow:vertical-ideographic;"/>
              </v:shape>
            </w:pict>
          </mc:Fallback>
        </mc:AlternateContent>
      </w:r>
    </w:p>
    <w:p>
      <w:pPr>
        <w:spacing w:before="156" w:beforeLines="50"/>
        <w:jc w:val="left"/>
        <w:rPr>
          <w:rFonts w:ascii="黑体" w:hAnsi="黑体" w:eastAsia="黑体" w:cs="黑体"/>
          <w:sz w:val="24"/>
        </w:rPr>
      </w:pPr>
    </w:p>
    <w:p>
      <w:pPr>
        <w:spacing w:before="156" w:beforeLines="50"/>
        <w:jc w:val="left"/>
        <w:rPr>
          <w:rFonts w:ascii="黑体" w:hAnsi="黑体" w:eastAsia="黑体" w:cs="黑体"/>
          <w:sz w:val="24"/>
        </w:rPr>
      </w:pPr>
      <w:r>
        <w:rPr>
          <w:sz w:val="28"/>
          <w:szCs w:val="28"/>
        </w:rPr>
        <mc:AlternateContent>
          <mc:Choice Requires="wps">
            <w:drawing>
              <wp:anchor distT="0" distB="0" distL="114300" distR="114300" simplePos="0" relativeHeight="251683840" behindDoc="0" locked="0" layoutInCell="1" allowOverlap="1">
                <wp:simplePos x="0" y="0"/>
                <wp:positionH relativeFrom="column">
                  <wp:posOffset>1106170</wp:posOffset>
                </wp:positionH>
                <wp:positionV relativeFrom="paragraph">
                  <wp:posOffset>184150</wp:posOffset>
                </wp:positionV>
                <wp:extent cx="1463675" cy="538480"/>
                <wp:effectExtent l="7620" t="7620" r="14605" b="25400"/>
                <wp:wrapNone/>
                <wp:docPr id="42" name="流程图: 可选过程 42"/>
                <wp:cNvGraphicFramePr/>
                <a:graphic xmlns:a="http://schemas.openxmlformats.org/drawingml/2006/main">
                  <a:graphicData uri="http://schemas.microsoft.com/office/word/2010/wordprocessingShape">
                    <wps:wsp>
                      <wps:cNvSpPr/>
                      <wps:spPr>
                        <a:xfrm>
                          <a:off x="0" y="0"/>
                          <a:ext cx="1463675" cy="538480"/>
                        </a:xfrm>
                        <a:prstGeom prst="flowChartAlternateProcess">
                          <a:avLst/>
                        </a:prstGeom>
                        <a:noFill/>
                        <a:ln w="15875" cap="flat" cmpd="sng">
                          <a:solidFill>
                            <a:srgbClr val="000000"/>
                          </a:solidFill>
                          <a:prstDash val="solid"/>
                          <a:miter/>
                          <a:headEnd type="none" w="med" len="med"/>
                          <a:tailEnd type="none" w="med" len="med"/>
                        </a:ln>
                      </wps:spPr>
                      <wps:txbx>
                        <w:txbxContent>
                          <w:p>
                            <w:pPr>
                              <w:jc w:val="center"/>
                              <w:rPr>
                                <w:rFonts w:ascii="仿宋_GB2312" w:hAnsi="仿宋_GB2312" w:eastAsia="仿宋_GB2312" w:cs="仿宋_GB2312"/>
                                <w:b/>
                                <w:bCs/>
                                <w:sz w:val="24"/>
                              </w:rPr>
                            </w:pPr>
                            <w:r>
                              <w:rPr>
                                <w:rFonts w:hint="eastAsia" w:ascii="仿宋_GB2312" w:hAnsi="仿宋_GB2312" w:eastAsia="仿宋_GB2312" w:cs="仿宋_GB2312"/>
                                <w:b/>
                                <w:bCs/>
                                <w:sz w:val="24"/>
                              </w:rPr>
                              <w:t>由新区项目局转给项目单位</w:t>
                            </w:r>
                          </w:p>
                        </w:txbxContent>
                      </wps:txbx>
                      <wps:bodyPr upright="1"/>
                    </wps:wsp>
                  </a:graphicData>
                </a:graphic>
              </wp:anchor>
            </w:drawing>
          </mc:Choice>
          <mc:Fallback>
            <w:pict>
              <v:shape id="_x0000_s1026" o:spid="_x0000_s1026" o:spt="176" type="#_x0000_t176" style="position:absolute;left:0pt;margin-left:87.1pt;margin-top:14.5pt;height:42.4pt;width:115.25pt;z-index:251683840;mso-width-relative:page;mso-height-relative:page;" filled="f" stroked="t" coordsize="21600,21600" o:gfxdata="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jk&#10;J43WAAAACgEAAA8AAAAAAAAAAQAgAAAAIgAAAGRycy9kb3ducmV2LnhtbFBLAQIUABQAAAAIAIdO&#10;4kBTr9OdJQIAACkEAAAOAAAAAAAAAAEAIAAAACUBAABkcnMvZTJvRG9jLnhtbFBLBQYAAAAABgAG&#10;AFkBAAC8BQAAAAA=&#10;">
                <v:fill on="f" focussize="0,0"/>
                <v:stroke weight="1.25pt" color="#000000" joinstyle="miter"/>
                <v:imagedata o:title=""/>
                <o:lock v:ext="edit" aspectratio="f"/>
                <v:textbox>
                  <w:txbxContent>
                    <w:p>
                      <w:pPr>
                        <w:jc w:val="center"/>
                        <w:rPr>
                          <w:rFonts w:ascii="仿宋_GB2312" w:hAnsi="仿宋_GB2312" w:eastAsia="仿宋_GB2312" w:cs="仿宋_GB2312"/>
                          <w:b/>
                          <w:bCs/>
                          <w:sz w:val="24"/>
                        </w:rPr>
                      </w:pPr>
                      <w:r>
                        <w:rPr>
                          <w:rFonts w:hint="eastAsia" w:ascii="仿宋_GB2312" w:hAnsi="仿宋_GB2312" w:eastAsia="仿宋_GB2312" w:cs="仿宋_GB2312"/>
                          <w:b/>
                          <w:bCs/>
                          <w:sz w:val="24"/>
                        </w:rPr>
                        <w:t>由新区项目局转给项目单位</w:t>
                      </w:r>
                    </w:p>
                  </w:txbxContent>
                </v:textbox>
              </v:shape>
            </w:pict>
          </mc:Fallback>
        </mc:AlternateContent>
      </w:r>
    </w:p>
    <w:p>
      <w:pPr>
        <w:spacing w:before="156" w:beforeLines="50"/>
        <w:jc w:val="left"/>
        <w:rPr>
          <w:rFonts w:ascii="黑体" w:hAnsi="黑体" w:eastAsia="黑体" w:cs="黑体"/>
          <w:sz w:val="24"/>
        </w:rPr>
      </w:pPr>
    </w:p>
    <w:p>
      <w:pPr>
        <w:spacing w:before="156" w:beforeLines="50"/>
        <w:jc w:val="left"/>
        <w:rPr>
          <w:rFonts w:ascii="黑体" w:hAnsi="黑体" w:eastAsia="黑体" w:cs="黑体"/>
          <w:sz w:val="24"/>
        </w:rPr>
      </w:pPr>
    </w:p>
    <w:p>
      <w:pPr>
        <w:ind w:firstLine="640" w:firstLineChars="200"/>
        <w:rPr>
          <w:rFonts w:ascii="仿宋_GB2312" w:hAnsi="仿宋_GB2312" w:eastAsia="仿宋_GB2312" w:cs="仿宋_GB2312"/>
          <w:szCs w:val="32"/>
        </w:rPr>
      </w:pPr>
    </w:p>
    <w:p>
      <w:pPr>
        <w:ind w:firstLine="640" w:firstLineChars="200"/>
        <w:rPr>
          <w:rFonts w:ascii="仿宋_GB2312" w:hAnsi="仿宋_GB2312" w:eastAsia="仿宋_GB2312" w:cs="仿宋_GB2312"/>
          <w:szCs w:val="32"/>
        </w:rPr>
      </w:pPr>
    </w:p>
    <w:p>
      <w:pPr>
        <w:ind w:firstLine="640" w:firstLineChars="200"/>
        <w:rPr>
          <w:rFonts w:ascii="仿宋_GB2312" w:hAnsi="仿宋_GB2312" w:eastAsia="仿宋_GB2312" w:cs="仿宋_GB2312"/>
          <w:szCs w:val="32"/>
        </w:rPr>
      </w:pPr>
    </w:p>
    <w:p>
      <w:pPr>
        <w:ind w:firstLine="640" w:firstLineChars="200"/>
        <w:rPr>
          <w:rFonts w:ascii="仿宋_GB2312" w:hAnsi="仿宋_GB2312" w:eastAsia="仿宋_GB2312" w:cs="仿宋_GB2312"/>
          <w:szCs w:val="32"/>
        </w:rPr>
      </w:pPr>
    </w:p>
    <w:p>
      <w:pPr>
        <w:jc w:val="center"/>
        <w:rPr>
          <w:b/>
          <w:bCs/>
        </w:rPr>
      </w:pPr>
      <w:r>
        <w:rPr>
          <w:rFonts w:hint="eastAsia"/>
          <w:b/>
          <w:bCs/>
        </w:rPr>
        <w:t>建设项目环境影响报告书（表）</w:t>
      </w:r>
    </w:p>
    <w:p>
      <w:pPr>
        <w:jc w:val="center"/>
        <w:rPr>
          <w:b/>
          <w:bCs/>
        </w:rPr>
      </w:pPr>
      <w:bookmarkStart w:id="361" w:name="_Toc27849"/>
      <w:r>
        <w:rPr>
          <w:rFonts w:hint="eastAsia"/>
          <w:b/>
          <w:bCs/>
        </w:rPr>
        <w:t>审批转报流程</w:t>
      </w:r>
      <w:bookmarkEnd w:id="361"/>
    </w:p>
    <w:p>
      <w:pPr>
        <w:jc w:val="center"/>
        <w:rPr>
          <w:b/>
          <w:bCs/>
        </w:rPr>
      </w:pPr>
      <w:r>
        <w:rPr>
          <w:rFonts w:hint="eastAsia"/>
        </w:rPr>
        <mc:AlternateContent>
          <mc:Choice Requires="wps">
            <w:drawing>
              <wp:anchor distT="0" distB="0" distL="114300" distR="114300" simplePos="0" relativeHeight="251693056" behindDoc="0" locked="0" layoutInCell="1" allowOverlap="1">
                <wp:simplePos x="0" y="0"/>
                <wp:positionH relativeFrom="column">
                  <wp:posOffset>3112770</wp:posOffset>
                </wp:positionH>
                <wp:positionV relativeFrom="paragraph">
                  <wp:posOffset>328930</wp:posOffset>
                </wp:positionV>
                <wp:extent cx="3136265" cy="4157980"/>
                <wp:effectExtent l="4445" t="4445" r="21590" b="9525"/>
                <wp:wrapNone/>
                <wp:docPr id="67" name="圆角矩形 67"/>
                <wp:cNvGraphicFramePr/>
                <a:graphic xmlns:a="http://schemas.openxmlformats.org/drawingml/2006/main">
                  <a:graphicData uri="http://schemas.microsoft.com/office/word/2010/wordprocessingShape">
                    <wps:wsp>
                      <wps:cNvSpPr/>
                      <wps:spPr>
                        <a:xfrm>
                          <a:off x="0" y="0"/>
                          <a:ext cx="3136265" cy="41579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widowControl/>
                              <w:spacing w:line="300" w:lineRule="exact"/>
                              <w:ind w:firstLine="361" w:firstLineChars="200"/>
                              <w:jc w:val="left"/>
                              <w:rPr>
                                <w:rFonts w:ascii="宋体" w:hAnsi="宋体"/>
                                <w:b/>
                                <w:sz w:val="18"/>
                                <w:szCs w:val="18"/>
                              </w:rPr>
                            </w:pPr>
                            <w:r>
                              <w:rPr>
                                <w:rFonts w:hint="eastAsia" w:ascii="宋体" w:hAnsi="宋体"/>
                                <w:b/>
                                <w:sz w:val="18"/>
                                <w:szCs w:val="18"/>
                              </w:rPr>
                              <w:t>企业</w:t>
                            </w:r>
                            <w:r>
                              <w:rPr>
                                <w:rFonts w:ascii="宋体" w:hAnsi="宋体"/>
                                <w:b/>
                                <w:sz w:val="18"/>
                                <w:szCs w:val="18"/>
                              </w:rPr>
                              <w:t>申</w:t>
                            </w:r>
                            <w:r>
                              <w:rPr>
                                <w:rFonts w:hint="eastAsia" w:ascii="宋体" w:hAnsi="宋体"/>
                                <w:b/>
                                <w:sz w:val="18"/>
                                <w:szCs w:val="18"/>
                              </w:rPr>
                              <w:t>请</w:t>
                            </w:r>
                            <w:r>
                              <w:rPr>
                                <w:rFonts w:ascii="宋体" w:hAnsi="宋体"/>
                                <w:b/>
                                <w:sz w:val="18"/>
                                <w:szCs w:val="18"/>
                              </w:rPr>
                              <w:t>材料</w:t>
                            </w:r>
                            <w:r>
                              <w:rPr>
                                <w:rFonts w:hint="eastAsia" w:ascii="宋体" w:hAnsi="宋体"/>
                                <w:b/>
                                <w:sz w:val="18"/>
                                <w:szCs w:val="18"/>
                              </w:rPr>
                              <w:t>目录：</w:t>
                            </w:r>
                          </w:p>
                          <w:p>
                            <w:pPr>
                              <w:widowControl/>
                              <w:spacing w:line="300" w:lineRule="exact"/>
                              <w:ind w:firstLine="640" w:firstLineChars="200"/>
                              <w:jc w:val="left"/>
                              <w:rPr>
                                <w:rFonts w:ascii="仿宋_GB2312" w:eastAsia="仿宋_GB2312"/>
                                <w:szCs w:val="32"/>
                              </w:rPr>
                            </w:pPr>
                            <w:r>
                              <w:rPr>
                                <w:rFonts w:hint="eastAsia" w:ascii="仿宋_GB2312" w:eastAsia="仿宋_GB2312"/>
                                <w:szCs w:val="32"/>
                              </w:rPr>
                              <w:t>1.建设项目环境影响报告书、表审批书面申请；</w:t>
                            </w:r>
                          </w:p>
                          <w:p>
                            <w:pPr>
                              <w:widowControl/>
                              <w:spacing w:line="300" w:lineRule="exact"/>
                              <w:ind w:firstLine="640" w:firstLineChars="200"/>
                              <w:jc w:val="left"/>
                              <w:rPr>
                                <w:rFonts w:ascii="仿宋_GB2312" w:eastAsia="仿宋_GB2312"/>
                                <w:szCs w:val="32"/>
                              </w:rPr>
                            </w:pPr>
                            <w:r>
                              <w:rPr>
                                <w:rFonts w:hint="eastAsia" w:ascii="仿宋_GB2312" w:eastAsia="仿宋_GB2312"/>
                                <w:szCs w:val="32"/>
                              </w:rPr>
                              <w:t>2.具有相应资质环境影响评价机构编制的环境影响报告书、表（报批版）及其书面评估（评审）意见；</w:t>
                            </w:r>
                          </w:p>
                          <w:p>
                            <w:pPr>
                              <w:widowControl/>
                              <w:spacing w:line="300" w:lineRule="exact"/>
                              <w:ind w:firstLine="640" w:firstLineChars="200"/>
                              <w:jc w:val="left"/>
                              <w:rPr>
                                <w:rFonts w:ascii="仿宋_GB2312" w:eastAsia="仿宋_GB2312"/>
                                <w:szCs w:val="32"/>
                              </w:rPr>
                            </w:pPr>
                            <w:r>
                              <w:rPr>
                                <w:rFonts w:hint="eastAsia" w:ascii="仿宋_GB2312" w:eastAsia="仿宋_GB2312"/>
                                <w:szCs w:val="32"/>
                              </w:rPr>
                              <w:t>3.属备案类的项目，需提交市（州）发改部门出具的项目备案文件（备案证）；</w:t>
                            </w:r>
                          </w:p>
                          <w:p>
                            <w:pPr>
                              <w:widowControl/>
                              <w:spacing w:line="300" w:lineRule="exact"/>
                              <w:ind w:firstLine="640" w:firstLineChars="200"/>
                              <w:jc w:val="left"/>
                              <w:rPr>
                                <w:rFonts w:ascii="仿宋_GB2312" w:eastAsia="仿宋_GB2312"/>
                                <w:szCs w:val="32"/>
                              </w:rPr>
                            </w:pPr>
                            <w:r>
                              <w:rPr>
                                <w:rFonts w:hint="eastAsia" w:ascii="仿宋_GB2312" w:eastAsia="仿宋_GB2312"/>
                                <w:szCs w:val="32"/>
                              </w:rPr>
                              <w:t>4.涉及影响水土保持的项目，由相应权限水利部门出具的生产建设项目水土保持方案许可文件；</w:t>
                            </w:r>
                          </w:p>
                          <w:p>
                            <w:pPr>
                              <w:widowControl/>
                              <w:spacing w:line="300" w:lineRule="exact"/>
                              <w:ind w:firstLine="640" w:firstLineChars="200"/>
                              <w:jc w:val="left"/>
                              <w:rPr>
                                <w:rFonts w:ascii="仿宋_GB2312" w:eastAsia="仿宋_GB2312"/>
                                <w:szCs w:val="32"/>
                              </w:rPr>
                            </w:pPr>
                            <w:r>
                              <w:rPr>
                                <w:rFonts w:hint="eastAsia" w:ascii="仿宋_GB2312" w:eastAsia="仿宋_GB2312"/>
                                <w:szCs w:val="32"/>
                              </w:rPr>
                              <w:t>5.同级环境保护行政主管部门出具的项目排放污染物总量指标来源确认函（非污染生态类及污染防治类项目除外）。</w:t>
                            </w:r>
                          </w:p>
                        </w:txbxContent>
                      </wps:txbx>
                      <wps:bodyPr upright="1"/>
                    </wps:wsp>
                  </a:graphicData>
                </a:graphic>
              </wp:anchor>
            </w:drawing>
          </mc:Choice>
          <mc:Fallback>
            <w:pict>
              <v:roundrect id="_x0000_s1026" o:spid="_x0000_s1026" o:spt="2" style="position:absolute;left:0pt;margin-left:245.1pt;margin-top:25.9pt;height:327.4pt;width:246.95pt;z-index:251693056;mso-width-relative:page;mso-height-relative:page;" fillcolor="#FFFFFF" filled="t" stroked="t" coordsize="21600,21600" arcsize="0.166666666666667" o:gfxdata="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bF5MdcAAAAKAQAADwAAAAAAAAABACAAAAAiAAAAZHJzL2Rvd25yZXYueG1sUEsBAhQAFAAAAAgA&#10;h07iQMyS7RUmAgAAWQQAAA4AAAAAAAAAAQAgAAAAJgEAAGRycy9lMm9Eb2MueG1sUEsFBgAAAAAG&#10;AAYAWQEAAL4FAAAAAA==&#10;">
                <v:fill on="t" focussize="0,0"/>
                <v:stroke color="#000000" joinstyle="round"/>
                <v:imagedata o:title=""/>
                <o:lock v:ext="edit" aspectratio="f"/>
                <v:textbox>
                  <w:txbxContent>
                    <w:p>
                      <w:pPr>
                        <w:widowControl/>
                        <w:spacing w:line="300" w:lineRule="exact"/>
                        <w:ind w:firstLine="361" w:firstLineChars="200"/>
                        <w:jc w:val="left"/>
                        <w:rPr>
                          <w:rFonts w:ascii="宋体" w:hAnsi="宋体"/>
                          <w:b/>
                          <w:sz w:val="18"/>
                          <w:szCs w:val="18"/>
                        </w:rPr>
                      </w:pPr>
                      <w:r>
                        <w:rPr>
                          <w:rFonts w:hint="eastAsia" w:ascii="宋体" w:hAnsi="宋体"/>
                          <w:b/>
                          <w:sz w:val="18"/>
                          <w:szCs w:val="18"/>
                        </w:rPr>
                        <w:t>企业</w:t>
                      </w:r>
                      <w:r>
                        <w:rPr>
                          <w:rFonts w:ascii="宋体" w:hAnsi="宋体"/>
                          <w:b/>
                          <w:sz w:val="18"/>
                          <w:szCs w:val="18"/>
                        </w:rPr>
                        <w:t>申</w:t>
                      </w:r>
                      <w:r>
                        <w:rPr>
                          <w:rFonts w:hint="eastAsia" w:ascii="宋体" w:hAnsi="宋体"/>
                          <w:b/>
                          <w:sz w:val="18"/>
                          <w:szCs w:val="18"/>
                        </w:rPr>
                        <w:t>请</w:t>
                      </w:r>
                      <w:r>
                        <w:rPr>
                          <w:rFonts w:ascii="宋体" w:hAnsi="宋体"/>
                          <w:b/>
                          <w:sz w:val="18"/>
                          <w:szCs w:val="18"/>
                        </w:rPr>
                        <w:t>材料</w:t>
                      </w:r>
                      <w:r>
                        <w:rPr>
                          <w:rFonts w:hint="eastAsia" w:ascii="宋体" w:hAnsi="宋体"/>
                          <w:b/>
                          <w:sz w:val="18"/>
                          <w:szCs w:val="18"/>
                        </w:rPr>
                        <w:t>目录：</w:t>
                      </w:r>
                    </w:p>
                    <w:p>
                      <w:pPr>
                        <w:widowControl/>
                        <w:spacing w:line="300" w:lineRule="exact"/>
                        <w:ind w:firstLine="640" w:firstLineChars="200"/>
                        <w:jc w:val="left"/>
                        <w:rPr>
                          <w:rFonts w:ascii="仿宋_GB2312" w:eastAsia="仿宋_GB2312"/>
                          <w:szCs w:val="32"/>
                        </w:rPr>
                      </w:pPr>
                      <w:r>
                        <w:rPr>
                          <w:rFonts w:hint="eastAsia" w:ascii="仿宋_GB2312" w:eastAsia="仿宋_GB2312"/>
                          <w:szCs w:val="32"/>
                        </w:rPr>
                        <w:t>1.建设项目环境影响报告书、表审批书面申请；</w:t>
                      </w:r>
                    </w:p>
                    <w:p>
                      <w:pPr>
                        <w:widowControl/>
                        <w:spacing w:line="300" w:lineRule="exact"/>
                        <w:ind w:firstLine="640" w:firstLineChars="200"/>
                        <w:jc w:val="left"/>
                        <w:rPr>
                          <w:rFonts w:ascii="仿宋_GB2312" w:eastAsia="仿宋_GB2312"/>
                          <w:szCs w:val="32"/>
                        </w:rPr>
                      </w:pPr>
                      <w:r>
                        <w:rPr>
                          <w:rFonts w:hint="eastAsia" w:ascii="仿宋_GB2312" w:eastAsia="仿宋_GB2312"/>
                          <w:szCs w:val="32"/>
                        </w:rPr>
                        <w:t>2.具有相应资质环境影响评价机构编制的环境影响报告书、表（报批版）及其书面评估（评审）意见；</w:t>
                      </w:r>
                    </w:p>
                    <w:p>
                      <w:pPr>
                        <w:widowControl/>
                        <w:spacing w:line="300" w:lineRule="exact"/>
                        <w:ind w:firstLine="640" w:firstLineChars="200"/>
                        <w:jc w:val="left"/>
                        <w:rPr>
                          <w:rFonts w:ascii="仿宋_GB2312" w:eastAsia="仿宋_GB2312"/>
                          <w:szCs w:val="32"/>
                        </w:rPr>
                      </w:pPr>
                      <w:r>
                        <w:rPr>
                          <w:rFonts w:hint="eastAsia" w:ascii="仿宋_GB2312" w:eastAsia="仿宋_GB2312"/>
                          <w:szCs w:val="32"/>
                        </w:rPr>
                        <w:t>3.属备案类的项目，需提交市（州）发改部门出具的项目备案文件（备案证）；</w:t>
                      </w:r>
                    </w:p>
                    <w:p>
                      <w:pPr>
                        <w:widowControl/>
                        <w:spacing w:line="300" w:lineRule="exact"/>
                        <w:ind w:firstLine="640" w:firstLineChars="200"/>
                        <w:jc w:val="left"/>
                        <w:rPr>
                          <w:rFonts w:ascii="仿宋_GB2312" w:eastAsia="仿宋_GB2312"/>
                          <w:szCs w:val="32"/>
                        </w:rPr>
                      </w:pPr>
                      <w:r>
                        <w:rPr>
                          <w:rFonts w:hint="eastAsia" w:ascii="仿宋_GB2312" w:eastAsia="仿宋_GB2312"/>
                          <w:szCs w:val="32"/>
                        </w:rPr>
                        <w:t>4.涉及影响水土保持的项目，由相应权限水利部门出具的生产建设项目水土保持方案许可文件；</w:t>
                      </w:r>
                    </w:p>
                    <w:p>
                      <w:pPr>
                        <w:widowControl/>
                        <w:spacing w:line="300" w:lineRule="exact"/>
                        <w:ind w:firstLine="640" w:firstLineChars="200"/>
                        <w:jc w:val="left"/>
                        <w:rPr>
                          <w:rFonts w:ascii="仿宋_GB2312" w:eastAsia="仿宋_GB2312"/>
                          <w:szCs w:val="32"/>
                        </w:rPr>
                      </w:pPr>
                      <w:r>
                        <w:rPr>
                          <w:rFonts w:hint="eastAsia" w:ascii="仿宋_GB2312" w:eastAsia="仿宋_GB2312"/>
                          <w:szCs w:val="32"/>
                        </w:rPr>
                        <w:t>5.同级环境保护行政主管部门出具的项目排放污染物总量指标来源确认函（非污染生态类及污染防治类项目除外）。</w:t>
                      </w:r>
                    </w:p>
                  </w:txbxContent>
                </v:textbox>
              </v:roundrect>
            </w:pict>
          </mc:Fallback>
        </mc:AlternateContent>
      </w:r>
    </w:p>
    <w:p>
      <w:pPr>
        <w:rPr>
          <w:rFonts w:ascii="楷体_GB2312" w:eastAsia="楷体_GB2312"/>
          <w:b/>
          <w:szCs w:val="32"/>
        </w:rPr>
      </w:pPr>
    </w:p>
    <w:p>
      <w:pPr>
        <w:rPr>
          <w:rFonts w:ascii="楷体_GB2312" w:eastAsia="楷体_GB2312"/>
          <w:b/>
          <w:szCs w:val="32"/>
        </w:rPr>
      </w:pPr>
    </w:p>
    <w:p/>
    <w:p>
      <w:r>
        <mc:AlternateContent>
          <mc:Choice Requires="wps">
            <w:drawing>
              <wp:anchor distT="0" distB="0" distL="114300" distR="114300" simplePos="0" relativeHeight="251687936" behindDoc="0" locked="0" layoutInCell="1" allowOverlap="1">
                <wp:simplePos x="0" y="0"/>
                <wp:positionH relativeFrom="column">
                  <wp:posOffset>1132205</wp:posOffset>
                </wp:positionH>
                <wp:positionV relativeFrom="paragraph">
                  <wp:posOffset>3175</wp:posOffset>
                </wp:positionV>
                <wp:extent cx="1319530" cy="506730"/>
                <wp:effectExtent l="4445" t="5080" r="9525" b="21590"/>
                <wp:wrapNone/>
                <wp:docPr id="64" name="圆角矩形 64"/>
                <wp:cNvGraphicFramePr/>
                <a:graphic xmlns:a="http://schemas.openxmlformats.org/drawingml/2006/main">
                  <a:graphicData uri="http://schemas.microsoft.com/office/word/2010/wordprocessingShape">
                    <wps:wsp>
                      <wps:cNvSpPr/>
                      <wps:spPr>
                        <a:xfrm>
                          <a:off x="0" y="0"/>
                          <a:ext cx="1319530" cy="50673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eastAsia="宋体"/>
                                <w:b/>
                                <w:szCs w:val="21"/>
                              </w:rPr>
                            </w:pPr>
                            <w:r>
                              <w:rPr>
                                <w:rFonts w:hint="eastAsia"/>
                                <w:b/>
                                <w:szCs w:val="21"/>
                              </w:rPr>
                              <w:t>项目单位</w:t>
                            </w:r>
                          </w:p>
                        </w:txbxContent>
                      </wps:txbx>
                      <wps:bodyPr lIns="91440" tIns="82800" rIns="91440" bIns="45720" upright="1"/>
                    </wps:wsp>
                  </a:graphicData>
                </a:graphic>
              </wp:anchor>
            </w:drawing>
          </mc:Choice>
          <mc:Fallback>
            <w:pict>
              <v:roundrect id="_x0000_s1026" o:spid="_x0000_s1026" o:spt="2" style="position:absolute;left:0pt;margin-left:89.15pt;margin-top:0.25pt;height:39.9pt;width:103.9pt;z-index:251687936;mso-width-relative:page;mso-height-relative:page;" fillcolor="#FFFFFF" filled="t" stroked="t" coordsize="21600,21600" arcsize="0.166666666666667" o:gfxdata="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ARU5zWAAAABwEAAA8AAAAAAAAAAQAgAAAAIgAAAGRy&#10;cy9kb3ducmV2LnhtbFBLAQIUABQAAAAIAIdO4kAA/9F6QAIAAIwEAAAOAAAAAAAAAAEAIAAAACUB&#10;AABkcnMvZTJvRG9jLnhtbFBLBQYAAAAABgAGAFkBAADXBQAAAAA=&#10;">
                <v:fill on="t" focussize="0,0"/>
                <v:stroke color="#000000" joinstyle="round"/>
                <v:imagedata o:title=""/>
                <o:lock v:ext="edit" aspectratio="f"/>
                <v:textbox inset="2.54mm,2.3mm,2.54mm,1.27mm">
                  <w:txbxContent>
                    <w:p>
                      <w:pPr>
                        <w:jc w:val="center"/>
                        <w:rPr>
                          <w:rFonts w:eastAsia="宋体"/>
                          <w:b/>
                          <w:szCs w:val="21"/>
                        </w:rPr>
                      </w:pPr>
                      <w:r>
                        <w:rPr>
                          <w:rFonts w:hint="eastAsia"/>
                          <w:b/>
                          <w:szCs w:val="21"/>
                        </w:rPr>
                        <w:t>项目单位</w:t>
                      </w:r>
                    </w:p>
                  </w:txbxContent>
                </v:textbox>
              </v:roundrect>
            </w:pict>
          </mc:Fallback>
        </mc:AlternateContent>
      </w:r>
    </w:p>
    <w:p>
      <w:r>
        <mc:AlternateContent>
          <mc:Choice Requires="wps">
            <w:drawing>
              <wp:anchor distT="0" distB="0" distL="114300" distR="114300" simplePos="0" relativeHeight="251689984" behindDoc="0" locked="0" layoutInCell="1" allowOverlap="1">
                <wp:simplePos x="0" y="0"/>
                <wp:positionH relativeFrom="column">
                  <wp:posOffset>1862455</wp:posOffset>
                </wp:positionH>
                <wp:positionV relativeFrom="paragraph">
                  <wp:posOffset>309245</wp:posOffset>
                </wp:positionV>
                <wp:extent cx="635" cy="614680"/>
                <wp:effectExtent l="71120" t="0" r="80645" b="13970"/>
                <wp:wrapNone/>
                <wp:docPr id="59" name="直接连接符 59"/>
                <wp:cNvGraphicFramePr/>
                <a:graphic xmlns:a="http://schemas.openxmlformats.org/drawingml/2006/main">
                  <a:graphicData uri="http://schemas.microsoft.com/office/word/2010/wordprocessingShape">
                    <wps:wsp>
                      <wps:cNvCnPr/>
                      <wps:spPr>
                        <a:xfrm>
                          <a:off x="0" y="0"/>
                          <a:ext cx="635" cy="614680"/>
                        </a:xfrm>
                        <a:prstGeom prst="line">
                          <a:avLst/>
                        </a:prstGeom>
                        <a:ln w="47625" cap="flat" cmpd="thickThin">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46.65pt;margin-top:24.35pt;height:48.4pt;width:0.05pt;z-index:251689984;mso-width-relative:page;mso-height-relative:page;" filled="f" stroked="t" coordsize="21600,21600" o:gfxdata="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Tx2U33AAAAAoBAAAPAAAAAAAAAAEAIAAAACIAAABkcnMvZG93&#10;bnJldi54bWxQSwECFAAUAAAACACHTuJAvYAfkvwBAADmAwAADgAAAAAAAAABACAAAAArAQAAZHJz&#10;L2Uyb0RvYy54bWxQSwUGAAAAAAYABgBZAQAAmQUAAAAA&#10;">
                <v:fill on="f" focussize="0,0"/>
                <v:stroke weight="3.75pt" color="#000000" linestyle="thickThin"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692032" behindDoc="0" locked="0" layoutInCell="1" allowOverlap="1">
                <wp:simplePos x="0" y="0"/>
                <wp:positionH relativeFrom="column">
                  <wp:posOffset>-154940</wp:posOffset>
                </wp:positionH>
                <wp:positionV relativeFrom="paragraph">
                  <wp:posOffset>269875</wp:posOffset>
                </wp:positionV>
                <wp:extent cx="1257300" cy="532765"/>
                <wp:effectExtent l="4445" t="4445" r="14605" b="15240"/>
                <wp:wrapNone/>
                <wp:docPr id="60" name="圆角矩形 60"/>
                <wp:cNvGraphicFramePr/>
                <a:graphic xmlns:a="http://schemas.openxmlformats.org/drawingml/2006/main">
                  <a:graphicData uri="http://schemas.microsoft.com/office/word/2010/wordprocessingShape">
                    <wps:wsp>
                      <wps:cNvSpPr/>
                      <wps:spPr>
                        <a:xfrm flipV="1">
                          <a:off x="0" y="0"/>
                          <a:ext cx="1257300" cy="53276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sz w:val="18"/>
                                <w:szCs w:val="18"/>
                              </w:rPr>
                            </w:pPr>
                            <w:r>
                              <w:rPr>
                                <w:rFonts w:hint="eastAsia"/>
                                <w:sz w:val="18"/>
                                <w:szCs w:val="18"/>
                              </w:rPr>
                              <w:t>不予受理或补充材料（一次性告知）</w:t>
                            </w:r>
                          </w:p>
                        </w:txbxContent>
                      </wps:txbx>
                      <wps:bodyPr upright="1"/>
                    </wps:wsp>
                  </a:graphicData>
                </a:graphic>
              </wp:anchor>
            </w:drawing>
          </mc:Choice>
          <mc:Fallback>
            <w:pict>
              <v:roundrect id="_x0000_s1026" o:spid="_x0000_s1026" o:spt="2" style="position:absolute;left:0pt;flip:y;margin-left:-12.2pt;margin-top:21.25pt;height:41.95pt;width:99pt;z-index:251692032;mso-width-relative:page;mso-height-relative:page;" fillcolor="#FFFFFF" filled="t" stroked="t" coordsize="21600,21600" arcsize="0.166666666666667" o:gfxdata="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40HRjZAAAACgEAAA8AAAAAAAAAAQAgAAAAIgAAAGRycy9kb3ducmV2LnhtbFBLAQIU&#10;ABQAAAAIAIdO4kDuK9jDKwIAAGIEAAAOAAAAAAAAAAEAIAAAACgBAABkcnMvZTJvRG9jLnhtbFBL&#10;BQYAAAAABgAGAFkBAADFBQAAAAA=&#10;">
                <v:fill on="t" focussize="0,0"/>
                <v:stroke color="#000000" joinstyle="round"/>
                <v:imagedata o:title=""/>
                <o:lock v:ext="edit" aspectratio="f"/>
                <v:textbox>
                  <w:txbxContent>
                    <w:p>
                      <w:pPr>
                        <w:rPr>
                          <w:sz w:val="18"/>
                          <w:szCs w:val="18"/>
                        </w:rPr>
                      </w:pPr>
                      <w:r>
                        <w:rPr>
                          <w:rFonts w:hint="eastAsia"/>
                          <w:sz w:val="18"/>
                          <w:szCs w:val="18"/>
                        </w:rPr>
                        <w:t>不予受理或补充材料（一次性告知）</w:t>
                      </w:r>
                    </w:p>
                  </w:txbxContent>
                </v:textbox>
              </v:roundrect>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377190</wp:posOffset>
                </wp:positionH>
                <wp:positionV relativeFrom="paragraph">
                  <wp:posOffset>15875</wp:posOffset>
                </wp:positionV>
                <wp:extent cx="635" cy="201295"/>
                <wp:effectExtent l="4445" t="0" r="13970" b="8255"/>
                <wp:wrapNone/>
                <wp:docPr id="58" name="直接连接符 58"/>
                <wp:cNvGraphicFramePr/>
                <a:graphic xmlns:a="http://schemas.openxmlformats.org/drawingml/2006/main">
                  <a:graphicData uri="http://schemas.microsoft.com/office/word/2010/wordprocessingShape">
                    <wps:wsp>
                      <wps:cNvCnPr/>
                      <wps:spPr>
                        <a:xfrm>
                          <a:off x="0" y="0"/>
                          <a:ext cx="635" cy="20129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9.7pt;margin-top:1.25pt;height:15.85pt;width:0.05pt;z-index:251694080;mso-width-relative:page;mso-height-relative:page;" filled="f" stroked="t" coordsize="21600,21600" o:gfxdata="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Zbg&#10;TtUAAAAGAQAADwAAAAAAAAABACAAAAAiAAAAZHJzL2Rvd25yZXYueG1sUEsBAhQAFAAAAAgAh07i&#10;QL9kbprsAQAA2wMAAA4AAAAAAAAAAQAgAAAAJAEAAGRycy9lMm9Eb2MueG1sUEsFBgAAAAAGAAYA&#10;WQEAAII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377190</wp:posOffset>
                </wp:positionH>
                <wp:positionV relativeFrom="paragraph">
                  <wp:posOffset>15875</wp:posOffset>
                </wp:positionV>
                <wp:extent cx="754380" cy="0"/>
                <wp:effectExtent l="0" t="38100" r="7620" b="38100"/>
                <wp:wrapNone/>
                <wp:docPr id="62" name="直接连接符 62"/>
                <wp:cNvGraphicFramePr/>
                <a:graphic xmlns:a="http://schemas.openxmlformats.org/drawingml/2006/main">
                  <a:graphicData uri="http://schemas.microsoft.com/office/word/2010/wordprocessingShape">
                    <wps:wsp>
                      <wps:cNvCnPr/>
                      <wps:spPr>
                        <a:xfrm>
                          <a:off x="0" y="0"/>
                          <a:ext cx="75438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9.7pt;margin-top:1.25pt;height:0pt;width:59.4pt;z-index:251691008;mso-width-relative:page;mso-height-relative:page;" filled="f" stroked="t" coordsize="21600,21600" o:gfxdata="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MrEe71QAAAAYBAAAPAAAAAAAAAAEAIAAAACIAAABkcnMvZG93bnJldi54bWxQSwECFAAU&#10;AAAACACHTuJAfp8BZ/QBAADdAwAADgAAAAAAAAABACAAAAAk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2451735</wp:posOffset>
                </wp:positionH>
                <wp:positionV relativeFrom="paragraph">
                  <wp:posOffset>62230</wp:posOffset>
                </wp:positionV>
                <wp:extent cx="565785" cy="0"/>
                <wp:effectExtent l="0" t="38100" r="5715" b="38100"/>
                <wp:wrapNone/>
                <wp:docPr id="61" name="直接连接符 61"/>
                <wp:cNvGraphicFramePr/>
                <a:graphic xmlns:a="http://schemas.openxmlformats.org/drawingml/2006/main">
                  <a:graphicData uri="http://schemas.microsoft.com/office/word/2010/wordprocessingShape">
                    <wps:wsp>
                      <wps:cNvCnPr/>
                      <wps:spPr>
                        <a:xfrm>
                          <a:off x="0" y="0"/>
                          <a:ext cx="56578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93.05pt;margin-top:4.9pt;height:0pt;width:44.55pt;z-index:251697152;mso-width-relative:page;mso-height-relative:page;" filled="f" stroked="t" coordsize="21600,21600" o:gfxdata="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0zQIZ9cAAAAHAQAADwAAAAAAAAABACAAAAAiAAAAZHJzL2Rvd25yZXYueG1sUEsBAhQA&#10;FAAAAAgAh07iQId5qzPzAQAA3QMAAA4AAAAAAAAAAQAgAAAAJgEAAGRycy9lMm9Eb2MueG1sUEsF&#10;BgAAAAAGAAYAWQEAAIsFA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1686912" behindDoc="0" locked="0" layoutInCell="1" allowOverlap="1">
                <wp:simplePos x="0" y="0"/>
                <wp:positionH relativeFrom="column">
                  <wp:posOffset>1217930</wp:posOffset>
                </wp:positionH>
                <wp:positionV relativeFrom="paragraph">
                  <wp:posOffset>335915</wp:posOffset>
                </wp:positionV>
                <wp:extent cx="1449070" cy="411480"/>
                <wp:effectExtent l="4445" t="4445" r="13335" b="22225"/>
                <wp:wrapNone/>
                <wp:docPr id="57" name="圆角矩形 57"/>
                <wp:cNvGraphicFramePr/>
                <a:graphic xmlns:a="http://schemas.openxmlformats.org/drawingml/2006/main">
                  <a:graphicData uri="http://schemas.microsoft.com/office/word/2010/wordprocessingShape">
                    <wps:wsp>
                      <wps:cNvSpPr/>
                      <wps:spPr>
                        <a:xfrm>
                          <a:off x="0" y="0"/>
                          <a:ext cx="1449070" cy="4114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ascii="仿宋_GB2312" w:hAnsi="仿宋_GB2312" w:eastAsia="仿宋_GB2312" w:cs="仿宋_GB2312"/>
                                <w:b/>
                                <w:bCs/>
                                <w:sz w:val="24"/>
                              </w:rPr>
                            </w:pPr>
                            <w:r>
                              <w:rPr>
                                <w:rFonts w:hint="eastAsia" w:ascii="仿宋_GB2312" w:hAnsi="仿宋_GB2312" w:eastAsia="仿宋_GB2312" w:cs="仿宋_GB2312"/>
                                <w:b/>
                                <w:bCs/>
                                <w:sz w:val="24"/>
                              </w:rPr>
                              <w:t>新区项目局</w:t>
                            </w:r>
                          </w:p>
                          <w:p>
                            <w:pPr>
                              <w:rPr>
                                <w:sz w:val="18"/>
                                <w:szCs w:val="18"/>
                              </w:rPr>
                            </w:pPr>
                          </w:p>
                        </w:txbxContent>
                      </wps:txbx>
                      <wps:bodyPr lIns="91440" tIns="82800" rIns="91440" bIns="45720" upright="1"/>
                    </wps:wsp>
                  </a:graphicData>
                </a:graphic>
              </wp:anchor>
            </w:drawing>
          </mc:Choice>
          <mc:Fallback>
            <w:pict>
              <v:roundrect id="_x0000_s1026" o:spid="_x0000_s1026" o:spt="2" style="position:absolute;left:0pt;margin-left:95.9pt;margin-top:26.45pt;height:32.4pt;width:114.1pt;z-index:251686912;mso-width-relative:page;mso-height-relative:page;" fillcolor="#FFFFFF" filled="t" stroked="t" coordsize="21600,21600" arcsize="0.166666666666667" o:gfxdata="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&#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0G5Yr2AAAAAoBAAAPAAAAAAAAAAEAIAAAACIAAABk&#10;cnMvZG93bnJldi54bWxQSwECFAAUAAAACACHTuJAm/MhST8CAACMBAAADgAAAAAAAAABACAAAAAn&#10;AQAAZHJzL2Uyb0RvYy54bWxQSwUGAAAAAAYABgBZAQAA2AUAAAAA&#10;">
                <v:fill on="t" focussize="0,0"/>
                <v:stroke color="#000000" joinstyle="round"/>
                <v:imagedata o:title=""/>
                <o:lock v:ext="edit" aspectratio="f"/>
                <v:textbox inset="2.54mm,2.3mm,2.54mm,1.27mm">
                  <w:txbxContent>
                    <w:p>
                      <w:pPr>
                        <w:jc w:val="center"/>
                        <w:rPr>
                          <w:rFonts w:ascii="仿宋_GB2312" w:hAnsi="仿宋_GB2312" w:eastAsia="仿宋_GB2312" w:cs="仿宋_GB2312"/>
                          <w:b/>
                          <w:bCs/>
                          <w:sz w:val="24"/>
                        </w:rPr>
                      </w:pPr>
                      <w:r>
                        <w:rPr>
                          <w:rFonts w:hint="eastAsia" w:ascii="仿宋_GB2312" w:hAnsi="仿宋_GB2312" w:eastAsia="仿宋_GB2312" w:cs="仿宋_GB2312"/>
                          <w:b/>
                          <w:bCs/>
                          <w:sz w:val="24"/>
                        </w:rPr>
                        <w:t>新区项目局</w:t>
                      </w:r>
                    </w:p>
                    <w:p>
                      <w:pPr>
                        <w:rPr>
                          <w:sz w:val="18"/>
                          <w:szCs w:val="18"/>
                        </w:rPr>
                      </w:pPr>
                    </w:p>
                  </w:txbxContent>
                </v:textbox>
              </v:roundrect>
            </w:pict>
          </mc:Fallback>
        </mc:AlternateContent>
      </w:r>
      <w:r>
        <w:rPr>
          <w:rFonts w:hint="eastAsia"/>
        </w:rPr>
        <mc:AlternateContent>
          <mc:Choice Requires="wps">
            <w:drawing>
              <wp:anchor distT="0" distB="0" distL="114300" distR="114300" simplePos="0" relativeHeight="251695104" behindDoc="0" locked="0" layoutInCell="1" allowOverlap="1">
                <wp:simplePos x="0" y="0"/>
                <wp:positionH relativeFrom="column">
                  <wp:posOffset>377190</wp:posOffset>
                </wp:positionH>
                <wp:positionV relativeFrom="paragraph">
                  <wp:posOffset>186055</wp:posOffset>
                </wp:positionV>
                <wp:extent cx="635" cy="316865"/>
                <wp:effectExtent l="0" t="0" r="0" b="0"/>
                <wp:wrapNone/>
                <wp:docPr id="63" name="直接连接符 63"/>
                <wp:cNvGraphicFramePr/>
                <a:graphic xmlns:a="http://schemas.openxmlformats.org/drawingml/2006/main">
                  <a:graphicData uri="http://schemas.microsoft.com/office/word/2010/wordprocessingShape">
                    <wps:wsp>
                      <wps:cNvCnPr/>
                      <wps:spPr>
                        <a:xfrm flipH="1">
                          <a:off x="0" y="0"/>
                          <a:ext cx="635" cy="31686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x;margin-left:29.7pt;margin-top:14.65pt;height:24.95pt;width:0.05pt;z-index:251695104;mso-width-relative:page;mso-height-relative:page;" filled="f" stroked="t" coordsize="21600,21600" o:gfxdata="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dZb+h1QAAAAcBAAAPAAAAAAAAAAEAIAAAACIAAABkcnMvZG93bnJldi54bWxQSwECFAAU&#10;AAAACACHTuJAE8O5+fQBAADlAwAADgAAAAAAAAABACAAAAAkAQAAZHJzL2Uyb0RvYy54bWxQSwUG&#10;AAAAAAYABgBZAQAAigUAAAAA&#10;">
                <v:fill on="f" focussize="0,0"/>
                <v:stroke color="#000000" joinstyle="round"/>
                <v:imagedata o:title=""/>
                <o:lock v:ext="edit" aspectratio="f"/>
              </v:line>
            </w:pict>
          </mc:Fallback>
        </mc:AlternateContent>
      </w:r>
    </w:p>
    <w:p>
      <w:r>
        <w:rPr>
          <w:rFonts w:hint="eastAsia"/>
        </w:rPr>
        <mc:AlternateContent>
          <mc:Choice Requires="wps">
            <w:drawing>
              <wp:anchor distT="0" distB="0" distL="114300" distR="114300" simplePos="0" relativeHeight="251696128" behindDoc="0" locked="0" layoutInCell="1" allowOverlap="1">
                <wp:simplePos x="0" y="0"/>
                <wp:positionH relativeFrom="column">
                  <wp:posOffset>377190</wp:posOffset>
                </wp:positionH>
                <wp:positionV relativeFrom="paragraph">
                  <wp:posOffset>102870</wp:posOffset>
                </wp:positionV>
                <wp:extent cx="754380" cy="0"/>
                <wp:effectExtent l="0" t="0" r="0" b="0"/>
                <wp:wrapNone/>
                <wp:docPr id="56" name="直接连接符 56"/>
                <wp:cNvGraphicFramePr/>
                <a:graphic xmlns:a="http://schemas.openxmlformats.org/drawingml/2006/main">
                  <a:graphicData uri="http://schemas.microsoft.com/office/word/2010/wordprocessingShape">
                    <wps:wsp>
                      <wps:cNvCnPr/>
                      <wps:spPr>
                        <a:xfrm flipH="1">
                          <a:off x="0" y="0"/>
                          <a:ext cx="75438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x;margin-left:29.7pt;margin-top:8.1pt;height:0pt;width:59.4pt;z-index:251696128;mso-width-relative:page;mso-height-relative:page;" filled="f" stroked="t" coordsize="21600,21600" o:gfxdata="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9+rqdUAAAAIAQAADwAAAAAAAAABACAAAAAiAAAAZHJzL2Rvd25yZXYueG1sUEsBAhQA&#10;FAAAAAgAh07iQO153c71AQAA4wMAAA4AAAAAAAAAAQAgAAAAJAEAAGRycy9lMm9Eb2MueG1sUEsF&#10;BgAAAAAGAAYAWQEAAIsFA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1698176" behindDoc="0" locked="0" layoutInCell="1" allowOverlap="1">
                <wp:simplePos x="0" y="0"/>
                <wp:positionH relativeFrom="column">
                  <wp:posOffset>1795780</wp:posOffset>
                </wp:positionH>
                <wp:positionV relativeFrom="paragraph">
                  <wp:posOffset>78105</wp:posOffset>
                </wp:positionV>
                <wp:extent cx="635" cy="614680"/>
                <wp:effectExtent l="71120" t="0" r="80645" b="13970"/>
                <wp:wrapNone/>
                <wp:docPr id="54" name="直接连接符 54"/>
                <wp:cNvGraphicFramePr/>
                <a:graphic xmlns:a="http://schemas.openxmlformats.org/drawingml/2006/main">
                  <a:graphicData uri="http://schemas.microsoft.com/office/word/2010/wordprocessingShape">
                    <wps:wsp>
                      <wps:cNvCnPr/>
                      <wps:spPr>
                        <a:xfrm>
                          <a:off x="0" y="0"/>
                          <a:ext cx="635" cy="614680"/>
                        </a:xfrm>
                        <a:prstGeom prst="line">
                          <a:avLst/>
                        </a:prstGeom>
                        <a:ln w="47625" cap="flat" cmpd="thickThin">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41.4pt;margin-top:6.15pt;height:48.4pt;width:0.05pt;z-index:251698176;mso-width-relative:page;mso-height-relative:page;" filled="f" stroked="t" coordsize="21600,21600" o:gfxdata="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OV7ydoAAAAKAQAADwAAAAAAAAABACAAAAAiAAAAZHJzL2Rvd25y&#10;ZXYueG1sUEsBAhQAFAAAAAgAh07iQHt1PlH8AQAA5gMAAA4AAAAAAAAAAQAgAAAAKQEAAGRycy9l&#10;Mm9Eb2MueG1sUEsFBgAAAAAGAAYAWQEAAJcFAAAAAA==&#10;">
                <v:fill on="f" focussize="0,0"/>
                <v:stroke weight="3.75pt" color="#000000" linestyle="thickThin" joinstyle="round" endarrow="block"/>
                <v:imagedata o:title=""/>
                <o:lock v:ext="edit" aspectratio="f"/>
              </v:line>
            </w:pict>
          </mc:Fallback>
        </mc:AlternateContent>
      </w:r>
    </w:p>
    <w:p/>
    <w:p>
      <w:r>
        <mc:AlternateContent>
          <mc:Choice Requires="wps">
            <w:drawing>
              <wp:anchor distT="0" distB="0" distL="114300" distR="114300" simplePos="0" relativeHeight="251685888" behindDoc="0" locked="0" layoutInCell="1" allowOverlap="1">
                <wp:simplePos x="0" y="0"/>
                <wp:positionH relativeFrom="column">
                  <wp:posOffset>1069340</wp:posOffset>
                </wp:positionH>
                <wp:positionV relativeFrom="paragraph">
                  <wp:posOffset>130175</wp:posOffset>
                </wp:positionV>
                <wp:extent cx="2226310" cy="508000"/>
                <wp:effectExtent l="4445" t="5080" r="17145" b="20320"/>
                <wp:wrapNone/>
                <wp:docPr id="55" name="圆角矩形 55"/>
                <wp:cNvGraphicFramePr/>
                <a:graphic xmlns:a="http://schemas.openxmlformats.org/drawingml/2006/main">
                  <a:graphicData uri="http://schemas.microsoft.com/office/word/2010/wordprocessingShape">
                    <wps:wsp>
                      <wps:cNvSpPr/>
                      <wps:spPr>
                        <a:xfrm>
                          <a:off x="0" y="0"/>
                          <a:ext cx="2226310" cy="5080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b/>
                                <w:szCs w:val="21"/>
                              </w:rPr>
                            </w:pPr>
                            <w:r>
                              <w:rPr>
                                <w:rFonts w:hint="eastAsia"/>
                                <w:b/>
                                <w:szCs w:val="21"/>
                              </w:rPr>
                              <w:t>环保局政务大厅窗口</w:t>
                            </w:r>
                          </w:p>
                        </w:txbxContent>
                      </wps:txbx>
                      <wps:bodyPr lIns="91440" tIns="82800" rIns="91440" bIns="45720" upright="1"/>
                    </wps:wsp>
                  </a:graphicData>
                </a:graphic>
              </wp:anchor>
            </w:drawing>
          </mc:Choice>
          <mc:Fallback>
            <w:pict>
              <v:roundrect id="_x0000_s1026" o:spid="_x0000_s1026" o:spt="2" style="position:absolute;left:0pt;margin-left:84.2pt;margin-top:10.25pt;height:40pt;width:175.3pt;z-index:251685888;mso-width-relative:page;mso-height-relative:page;" fillcolor="#FFFFFF" filled="t" stroked="t" coordsize="21600,21600" arcsize="0.166666666666667" o:gfxdata="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CwQW2AAAAAoBAAAPAAAAAAAAAAEAIAAAACIA&#10;AABkcnMvZG93bnJldi54bWxQSwECFAAUAAAACACHTuJAaO4ZXUICAACMBAAADgAAAAAAAAABACAA&#10;AAAnAQAAZHJzL2Uyb0RvYy54bWxQSwUGAAAAAAYABgBZAQAA2wUAAAAA&#10;">
                <v:fill on="t" focussize="0,0"/>
                <v:stroke color="#000000" joinstyle="round"/>
                <v:imagedata o:title=""/>
                <o:lock v:ext="edit" aspectratio="f"/>
                <v:textbox inset="2.54mm,2.3mm,2.54mm,1.27mm">
                  <w:txbxContent>
                    <w:p>
                      <w:pPr>
                        <w:jc w:val="center"/>
                        <w:rPr>
                          <w:b/>
                          <w:szCs w:val="21"/>
                        </w:rPr>
                      </w:pPr>
                      <w:r>
                        <w:rPr>
                          <w:rFonts w:hint="eastAsia"/>
                          <w:b/>
                          <w:szCs w:val="21"/>
                        </w:rPr>
                        <w:t>环保局政务大厅窗口</w:t>
                      </w:r>
                    </w:p>
                  </w:txbxContent>
                </v:textbox>
              </v:roundrect>
            </w:pict>
          </mc:Fallback>
        </mc:AlternateContent>
      </w:r>
    </w:p>
    <w:p/>
    <w:p>
      <w:r>
        <w:rPr>
          <w:rFonts w:hint="eastAsia"/>
        </w:rPr>
        <mc:AlternateContent>
          <mc:Choice Requires="wps">
            <w:drawing>
              <wp:anchor distT="0" distB="0" distL="114300" distR="114300" simplePos="0" relativeHeight="251699200" behindDoc="0" locked="0" layoutInCell="1" allowOverlap="1">
                <wp:simplePos x="0" y="0"/>
                <wp:positionH relativeFrom="column">
                  <wp:posOffset>1813560</wp:posOffset>
                </wp:positionH>
                <wp:positionV relativeFrom="paragraph">
                  <wp:posOffset>38100</wp:posOffset>
                </wp:positionV>
                <wp:extent cx="17145" cy="591185"/>
                <wp:effectExtent l="67310" t="635" r="67945" b="17780"/>
                <wp:wrapNone/>
                <wp:docPr id="52" name="直接连接符 52"/>
                <wp:cNvGraphicFramePr/>
                <a:graphic xmlns:a="http://schemas.openxmlformats.org/drawingml/2006/main">
                  <a:graphicData uri="http://schemas.microsoft.com/office/word/2010/wordprocessingShape">
                    <wps:wsp>
                      <wps:cNvCnPr/>
                      <wps:spPr>
                        <a:xfrm flipH="1">
                          <a:off x="0" y="0"/>
                          <a:ext cx="17145" cy="591185"/>
                        </a:xfrm>
                        <a:prstGeom prst="line">
                          <a:avLst/>
                        </a:prstGeom>
                        <a:ln w="47625" cap="flat" cmpd="thickThin">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42.8pt;margin-top:3pt;height:46.55pt;width:1.35pt;z-index:251699200;mso-width-relative:page;mso-height-relative:page;" filled="f" stroked="t" coordsize="21600,21600" o:gfxdata="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xunw9UAAAAIAQAADwAAAAAAAAABACAAAAAiAAAAZHJzL2Rv&#10;d25yZXYueG1sUEsBAhQAFAAAAAgAh07iQHuvtwEEAgAA8gMAAA4AAAAAAAAAAQAgAAAAJAEAAGRy&#10;cy9lMm9Eb2MueG1sUEsFBgAAAAAGAAYAWQEAAJoFAAAAAA==&#10;">
                <v:fill on="f" focussize="0,0"/>
                <v:stroke weight="3.75pt" color="#000000" linestyle="thickThin" joinstyle="round" endarrow="block"/>
                <v:imagedata o:title=""/>
                <o:lock v:ext="edit" aspectratio="f"/>
              </v:line>
            </w:pict>
          </mc:Fallback>
        </mc:AlternateContent>
      </w:r>
    </w:p>
    <w:p>
      <w:r>
        <mc:AlternateContent>
          <mc:Choice Requires="wps">
            <w:drawing>
              <wp:anchor distT="0" distB="0" distL="114300" distR="114300" simplePos="0" relativeHeight="251688960" behindDoc="0" locked="0" layoutInCell="1" allowOverlap="1">
                <wp:simplePos x="0" y="0"/>
                <wp:positionH relativeFrom="column">
                  <wp:posOffset>970280</wp:posOffset>
                </wp:positionH>
                <wp:positionV relativeFrom="paragraph">
                  <wp:posOffset>153670</wp:posOffset>
                </wp:positionV>
                <wp:extent cx="3831590" cy="612140"/>
                <wp:effectExtent l="4445" t="4445" r="12065" b="12065"/>
                <wp:wrapNone/>
                <wp:docPr id="53" name="圆角矩形 53"/>
                <wp:cNvGraphicFramePr/>
                <a:graphic xmlns:a="http://schemas.openxmlformats.org/drawingml/2006/main">
                  <a:graphicData uri="http://schemas.microsoft.com/office/word/2010/wordprocessingShape">
                    <wps:wsp>
                      <wps:cNvSpPr/>
                      <wps:spPr>
                        <a:xfrm>
                          <a:off x="0" y="0"/>
                          <a:ext cx="3831590" cy="6121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b/>
                                <w:szCs w:val="21"/>
                              </w:rPr>
                            </w:pPr>
                            <w:r>
                              <w:rPr>
                                <w:rFonts w:hint="eastAsia"/>
                                <w:b/>
                                <w:szCs w:val="21"/>
                              </w:rPr>
                              <w:t>环保部门相关科室进行受理并出具批文</w:t>
                            </w:r>
                          </w:p>
                          <w:p/>
                        </w:txbxContent>
                      </wps:txbx>
                      <wps:bodyPr lIns="91440" tIns="82800" rIns="91440" bIns="45720" upright="1"/>
                    </wps:wsp>
                  </a:graphicData>
                </a:graphic>
              </wp:anchor>
            </w:drawing>
          </mc:Choice>
          <mc:Fallback>
            <w:pict>
              <v:roundrect id="_x0000_s1026" o:spid="_x0000_s1026" o:spt="2" style="position:absolute;left:0pt;margin-left:76.4pt;margin-top:12.1pt;height:48.2pt;width:301.7pt;z-index:251688960;mso-width-relative:page;mso-height-relative:page;" fillcolor="#FFFFFF" filled="t" stroked="t" coordsize="21600,21600" arcsize="0.166666666666667" o:gfxdata="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BzEn7YAAAACgEAAA8AAAAAAAAAAQAgAAAAIgAA&#10;AGRycy9kb3ducmV2LnhtbFBLAQIUABQAAAAIAIdO4kD53GeoQQIAAIwEAAAOAAAAAAAAAAEAIAAA&#10;ACcBAABkcnMvZTJvRG9jLnhtbFBLBQYAAAAABgAGAFkBAADaBQAAAAA=&#10;">
                <v:fill on="t" focussize="0,0"/>
                <v:stroke color="#000000" joinstyle="round"/>
                <v:imagedata o:title=""/>
                <o:lock v:ext="edit" aspectratio="f"/>
                <v:textbox inset="2.54mm,2.3mm,2.54mm,1.27mm">
                  <w:txbxContent>
                    <w:p>
                      <w:pPr>
                        <w:jc w:val="center"/>
                        <w:rPr>
                          <w:b/>
                          <w:szCs w:val="21"/>
                        </w:rPr>
                      </w:pPr>
                      <w:r>
                        <w:rPr>
                          <w:rFonts w:hint="eastAsia"/>
                          <w:b/>
                          <w:szCs w:val="21"/>
                        </w:rPr>
                        <w:t>环保部门相关科室进行受理并出具批文</w:t>
                      </w:r>
                    </w:p>
                    <w:p/>
                  </w:txbxContent>
                </v:textbox>
              </v:roundrect>
            </w:pict>
          </mc:Fallback>
        </mc:AlternateContent>
      </w:r>
    </w:p>
    <w:p/>
    <w:p>
      <w:r>
        <w:rPr>
          <w:rFonts w:hint="eastAsia"/>
        </w:rPr>
        <mc:AlternateContent>
          <mc:Choice Requires="wps">
            <w:drawing>
              <wp:anchor distT="0" distB="0" distL="114300" distR="114300" simplePos="0" relativeHeight="251700224" behindDoc="0" locked="0" layoutInCell="1" allowOverlap="1">
                <wp:simplePos x="0" y="0"/>
                <wp:positionH relativeFrom="column">
                  <wp:posOffset>1844675</wp:posOffset>
                </wp:positionH>
                <wp:positionV relativeFrom="paragraph">
                  <wp:posOffset>11430</wp:posOffset>
                </wp:positionV>
                <wp:extent cx="6985" cy="694055"/>
                <wp:effectExtent l="69850" t="0" r="75565" b="10795"/>
                <wp:wrapNone/>
                <wp:docPr id="66" name="直接连接符 66"/>
                <wp:cNvGraphicFramePr/>
                <a:graphic xmlns:a="http://schemas.openxmlformats.org/drawingml/2006/main">
                  <a:graphicData uri="http://schemas.microsoft.com/office/word/2010/wordprocessingShape">
                    <wps:wsp>
                      <wps:cNvCnPr/>
                      <wps:spPr>
                        <a:xfrm flipH="1">
                          <a:off x="0" y="0"/>
                          <a:ext cx="6985" cy="694055"/>
                        </a:xfrm>
                        <a:prstGeom prst="line">
                          <a:avLst/>
                        </a:prstGeom>
                        <a:ln w="47625" cap="flat" cmpd="thickThin">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45.25pt;margin-top:0.9pt;height:54.65pt;width:0.55pt;z-index:251700224;mso-width-relative:page;mso-height-relative:page;" filled="f" stroked="t" coordsize="21600,21600" o:gfxdata="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3tqENMAAAAJAQAADwAAAAAAAAABACAAAAAiAAAAZHJzL2Rvd25y&#10;ZXYueG1sUEsBAhQAFAAAAAgAh07iQH+pAbYDAgAA8QMAAA4AAAAAAAAAAQAgAAAAIgEAAGRycy9l&#10;Mm9Eb2MueG1sUEsFBgAAAAAGAAYAWQEAAJcFAAAAAA==&#10;">
                <v:fill on="f" focussize="0,0"/>
                <v:stroke weight="3.75pt" color="#000000" linestyle="thickThin" joinstyle="round" endarrow="block"/>
                <v:imagedata o:title=""/>
                <o:lock v:ext="edit" aspectratio="f"/>
              </v:line>
            </w:pict>
          </mc:Fallback>
        </mc:AlternateContent>
      </w:r>
    </w:p>
    <w:p/>
    <w:p>
      <w:r>
        <mc:AlternateContent>
          <mc:Choice Requires="wps">
            <w:drawing>
              <wp:anchor distT="0" distB="0" distL="114300" distR="114300" simplePos="0" relativeHeight="251701248" behindDoc="0" locked="0" layoutInCell="1" allowOverlap="1">
                <wp:simplePos x="0" y="0"/>
                <wp:positionH relativeFrom="column">
                  <wp:posOffset>899160</wp:posOffset>
                </wp:positionH>
                <wp:positionV relativeFrom="paragraph">
                  <wp:posOffset>90170</wp:posOffset>
                </wp:positionV>
                <wp:extent cx="2924810" cy="686435"/>
                <wp:effectExtent l="4445" t="4445" r="23495" b="13970"/>
                <wp:wrapNone/>
                <wp:docPr id="65" name="圆角矩形 65"/>
                <wp:cNvGraphicFramePr/>
                <a:graphic xmlns:a="http://schemas.openxmlformats.org/drawingml/2006/main">
                  <a:graphicData uri="http://schemas.microsoft.com/office/word/2010/wordprocessingShape">
                    <wps:wsp>
                      <wps:cNvSpPr/>
                      <wps:spPr>
                        <a:xfrm>
                          <a:off x="0" y="0"/>
                          <a:ext cx="2924810" cy="6864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b/>
                                <w:szCs w:val="21"/>
                              </w:rPr>
                            </w:pPr>
                            <w:r>
                              <w:rPr>
                                <w:rFonts w:hint="eastAsia"/>
                                <w:b/>
                                <w:szCs w:val="21"/>
                              </w:rPr>
                              <w:t>由新区项目局转给项目单位</w:t>
                            </w:r>
                          </w:p>
                          <w:p/>
                        </w:txbxContent>
                      </wps:txbx>
                      <wps:bodyPr lIns="91440" tIns="82800" rIns="91440" bIns="45720" upright="1"/>
                    </wps:wsp>
                  </a:graphicData>
                </a:graphic>
              </wp:anchor>
            </w:drawing>
          </mc:Choice>
          <mc:Fallback>
            <w:pict>
              <v:roundrect id="_x0000_s1026" o:spid="_x0000_s1026" o:spt="2" style="position:absolute;left:0pt;margin-left:70.8pt;margin-top:7.1pt;height:54.05pt;width:230.3pt;z-index:251701248;mso-width-relative:page;mso-height-relative:page;" fillcolor="#FFFFFF" filled="t" stroked="t" coordsize="21600,21600" arcsize="0.166666666666667" o:gfxdata="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IevRH1gAAAAoBAAAPAAAAAAAAAAEAIAAAACIAAABk&#10;cnMvZG93bnJldi54bWxQSwECFAAUAAAACACHTuJAXNr5OEECAACMBAAADgAAAAAAAAABACAAAAAl&#10;AQAAZHJzL2Uyb0RvYy54bWxQSwUGAAAAAAYABgBZAQAA2AUAAAAA&#10;">
                <v:fill on="t" focussize="0,0"/>
                <v:stroke color="#000000" joinstyle="round"/>
                <v:imagedata o:title=""/>
                <o:lock v:ext="edit" aspectratio="f"/>
                <v:textbox inset="2.54mm,2.3mm,2.54mm,1.27mm">
                  <w:txbxContent>
                    <w:p>
                      <w:pPr>
                        <w:jc w:val="center"/>
                        <w:rPr>
                          <w:b/>
                          <w:szCs w:val="21"/>
                        </w:rPr>
                      </w:pPr>
                      <w:r>
                        <w:rPr>
                          <w:rFonts w:hint="eastAsia"/>
                          <w:b/>
                          <w:szCs w:val="21"/>
                        </w:rPr>
                        <w:t>由新区项目局转给项目单位</w:t>
                      </w:r>
                    </w:p>
                    <w:p/>
                  </w:txbxContent>
                </v:textbox>
              </v:roundrect>
            </w:pict>
          </mc:Fallback>
        </mc:AlternateContent>
      </w:r>
    </w:p>
    <w:p/>
    <w:p>
      <w:pPr>
        <w:rPr>
          <w:b/>
          <w:bCs/>
        </w:rPr>
      </w:pPr>
      <w:r>
        <w:rPr>
          <w:rFonts w:hint="eastAsia"/>
        </w:rPr>
        <w:t xml:space="preserve">　　　 </w:t>
      </w:r>
      <w:r>
        <w:rPr>
          <w:rFonts w:hint="eastAsia"/>
          <w:b/>
          <w:bCs/>
        </w:rPr>
        <w:t>固定资产投资项目节能评估和审查</w:t>
      </w:r>
      <w:bookmarkStart w:id="362" w:name="_Toc28377"/>
      <w:r>
        <w:rPr>
          <w:rFonts w:hint="eastAsia"/>
          <w:b/>
          <w:bCs/>
        </w:rPr>
        <w:t>转报流程</w:t>
      </w:r>
      <w:bookmarkEnd w:id="362"/>
    </w:p>
    <w:p>
      <w:pPr>
        <w:jc w:val="center"/>
        <w:rPr>
          <w:rFonts w:ascii="宋体" w:hAnsi="宋体" w:eastAsia="宋体" w:cs="宋体"/>
          <w:b/>
          <w:sz w:val="44"/>
          <w:szCs w:val="44"/>
        </w:rPr>
      </w:pPr>
    </w:p>
    <w:p>
      <w:pPr>
        <w:rPr>
          <w:rFonts w:ascii="楷体_GB2312" w:eastAsia="楷体_GB2312"/>
          <w:b/>
          <w:szCs w:val="32"/>
        </w:rPr>
      </w:pPr>
    </w:p>
    <w:p>
      <w:pPr>
        <w:rPr>
          <w:rFonts w:ascii="楷体_GB2312" w:eastAsia="楷体_GB2312"/>
          <w:b/>
          <w:szCs w:val="32"/>
        </w:rPr>
      </w:pPr>
      <w:r>
        <w:rPr>
          <w:rFonts w:hint="eastAsia"/>
        </w:rPr>
        <mc:AlternateContent>
          <mc:Choice Requires="wps">
            <w:drawing>
              <wp:anchor distT="0" distB="0" distL="114300" distR="114300" simplePos="0" relativeHeight="251709440" behindDoc="0" locked="0" layoutInCell="1" allowOverlap="1">
                <wp:simplePos x="0" y="0"/>
                <wp:positionH relativeFrom="column">
                  <wp:posOffset>3017520</wp:posOffset>
                </wp:positionH>
                <wp:positionV relativeFrom="paragraph">
                  <wp:posOffset>165100</wp:posOffset>
                </wp:positionV>
                <wp:extent cx="2887980" cy="3729990"/>
                <wp:effectExtent l="4445" t="5080" r="22225" b="17780"/>
                <wp:wrapNone/>
                <wp:docPr id="83" name="圆角矩形 83"/>
                <wp:cNvGraphicFramePr/>
                <a:graphic xmlns:a="http://schemas.openxmlformats.org/drawingml/2006/main">
                  <a:graphicData uri="http://schemas.microsoft.com/office/word/2010/wordprocessingShape">
                    <wps:wsp>
                      <wps:cNvSpPr/>
                      <wps:spPr>
                        <a:xfrm>
                          <a:off x="0" y="0"/>
                          <a:ext cx="2887980" cy="372999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widowControl/>
                              <w:spacing w:line="300" w:lineRule="exact"/>
                              <w:jc w:val="left"/>
                              <w:rPr>
                                <w:rFonts w:ascii="宋体" w:hAnsi="宋体"/>
                                <w:b/>
                                <w:sz w:val="18"/>
                                <w:szCs w:val="18"/>
                              </w:rPr>
                            </w:pPr>
                            <w:r>
                              <w:rPr>
                                <w:rFonts w:hint="eastAsia" w:ascii="宋体" w:hAnsi="宋体"/>
                                <w:b/>
                                <w:sz w:val="18"/>
                                <w:szCs w:val="18"/>
                              </w:rPr>
                              <w:t>企业</w:t>
                            </w:r>
                            <w:r>
                              <w:rPr>
                                <w:rFonts w:ascii="宋体" w:hAnsi="宋体"/>
                                <w:b/>
                                <w:sz w:val="18"/>
                                <w:szCs w:val="18"/>
                              </w:rPr>
                              <w:t>申</w:t>
                            </w:r>
                            <w:r>
                              <w:rPr>
                                <w:rFonts w:hint="eastAsia" w:ascii="宋体" w:hAnsi="宋体"/>
                                <w:b/>
                                <w:sz w:val="18"/>
                                <w:szCs w:val="18"/>
                              </w:rPr>
                              <w:t>请</w:t>
                            </w:r>
                            <w:r>
                              <w:rPr>
                                <w:rFonts w:ascii="宋体" w:hAnsi="宋体"/>
                                <w:b/>
                                <w:sz w:val="18"/>
                                <w:szCs w:val="18"/>
                              </w:rPr>
                              <w:t>材料</w:t>
                            </w:r>
                            <w:r>
                              <w:rPr>
                                <w:rFonts w:hint="eastAsia" w:ascii="宋体" w:hAnsi="宋体"/>
                                <w:b/>
                                <w:sz w:val="18"/>
                                <w:szCs w:val="18"/>
                              </w:rPr>
                              <w:t>目录：</w:t>
                            </w:r>
                          </w:p>
                          <w:p>
                            <w:pPr>
                              <w:rPr>
                                <w:rFonts w:ascii="仿宋_GB2312" w:hAnsi="仿宋_GB2312" w:eastAsia="仿宋_GB2312" w:cs="仿宋_GB2312"/>
                                <w:szCs w:val="21"/>
                              </w:rPr>
                            </w:pPr>
                            <w:r>
                              <w:rPr>
                                <w:rFonts w:hint="eastAsia" w:ascii="仿宋_GB2312" w:hAnsi="仿宋_GB2312" w:eastAsia="仿宋_GB2312" w:cs="仿宋_GB2312"/>
                                <w:szCs w:val="21"/>
                              </w:rPr>
                              <w:t>1、项目可行性研究报告</w:t>
                            </w:r>
                          </w:p>
                          <w:p>
                            <w:pPr>
                              <w:rPr>
                                <w:rFonts w:ascii="仿宋_GB2312" w:hAnsi="仿宋_GB2312" w:eastAsia="仿宋_GB2312" w:cs="仿宋_GB2312"/>
                                <w:szCs w:val="21"/>
                              </w:rPr>
                            </w:pPr>
                            <w:r>
                              <w:rPr>
                                <w:rFonts w:hint="eastAsia" w:ascii="仿宋_GB2312" w:hAnsi="仿宋_GB2312" w:eastAsia="仿宋_GB2312" w:cs="仿宋_GB2312"/>
                                <w:szCs w:val="21"/>
                              </w:rPr>
                              <w:t>2、报送节能登记表或节能评估文件（节能评估报告表或节能评估报告书）的请示</w:t>
                            </w:r>
                          </w:p>
                          <w:p>
                            <w:pPr>
                              <w:rPr>
                                <w:rFonts w:ascii="仿宋_GB2312" w:hAnsi="仿宋_GB2312" w:eastAsia="仿宋_GB2312" w:cs="仿宋_GB2312"/>
                                <w:sz w:val="24"/>
                              </w:rPr>
                            </w:pPr>
                            <w:r>
                              <w:rPr>
                                <w:rFonts w:hint="eastAsia" w:ascii="仿宋_GB2312" w:hAnsi="仿宋_GB2312" w:eastAsia="仿宋_GB2312" w:cs="仿宋_GB2312"/>
                                <w:szCs w:val="21"/>
                              </w:rPr>
                              <w:t>3、按照规定委托有能力的机构编制节能评估文件，或项目建设单位自行填写节能登记表。</w:t>
                            </w:r>
                          </w:p>
                          <w:p>
                            <w:pPr>
                              <w:widowControl/>
                              <w:spacing w:line="300" w:lineRule="exact"/>
                              <w:ind w:firstLine="640" w:firstLineChars="200"/>
                              <w:jc w:val="left"/>
                              <w:rPr>
                                <w:rFonts w:ascii="仿宋_GB2312" w:eastAsia="仿宋_GB2312"/>
                                <w:szCs w:val="32"/>
                              </w:rPr>
                            </w:pPr>
                          </w:p>
                        </w:txbxContent>
                      </wps:txbx>
                      <wps:bodyPr upright="1"/>
                    </wps:wsp>
                  </a:graphicData>
                </a:graphic>
              </wp:anchor>
            </w:drawing>
          </mc:Choice>
          <mc:Fallback>
            <w:pict>
              <v:roundrect id="_x0000_s1026" o:spid="_x0000_s1026" o:spt="2" style="position:absolute;left:0pt;margin-left:237.6pt;margin-top:13pt;height:293.7pt;width:227.4pt;z-index:251709440;mso-width-relative:page;mso-height-relative:page;" fillcolor="#FFFFFF" filled="t" stroked="t" coordsize="21600,21600" arcsize="0.166666666666667" o:gfxdata="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0;2Vo+1wAAAAoBAAAPAAAAAAAAAAEAIAAAACIAAABkcnMvZG93bnJldi54bWxQSwECFAAUAAAACACH&#10;TuJA/bFggCUCAABZBAAADgAAAAAAAAABACAAAAAmAQAAZHJzL2Uyb0RvYy54bWxQSwUGAAAAAAYA&#10;BgBZAQAAvQUAAAAA&#10;">
                <v:fill on="t" focussize="0,0"/>
                <v:stroke color="#000000" joinstyle="round"/>
                <v:imagedata o:title=""/>
                <o:lock v:ext="edit" aspectratio="f"/>
                <v:textbox>
                  <w:txbxContent>
                    <w:p>
                      <w:pPr>
                        <w:widowControl/>
                        <w:spacing w:line="300" w:lineRule="exact"/>
                        <w:jc w:val="left"/>
                        <w:rPr>
                          <w:rFonts w:ascii="宋体" w:hAnsi="宋体"/>
                          <w:b/>
                          <w:sz w:val="18"/>
                          <w:szCs w:val="18"/>
                        </w:rPr>
                      </w:pPr>
                      <w:r>
                        <w:rPr>
                          <w:rFonts w:hint="eastAsia" w:ascii="宋体" w:hAnsi="宋体"/>
                          <w:b/>
                          <w:sz w:val="18"/>
                          <w:szCs w:val="18"/>
                        </w:rPr>
                        <w:t>企业</w:t>
                      </w:r>
                      <w:r>
                        <w:rPr>
                          <w:rFonts w:ascii="宋体" w:hAnsi="宋体"/>
                          <w:b/>
                          <w:sz w:val="18"/>
                          <w:szCs w:val="18"/>
                        </w:rPr>
                        <w:t>申</w:t>
                      </w:r>
                      <w:r>
                        <w:rPr>
                          <w:rFonts w:hint="eastAsia" w:ascii="宋体" w:hAnsi="宋体"/>
                          <w:b/>
                          <w:sz w:val="18"/>
                          <w:szCs w:val="18"/>
                        </w:rPr>
                        <w:t>请</w:t>
                      </w:r>
                      <w:r>
                        <w:rPr>
                          <w:rFonts w:ascii="宋体" w:hAnsi="宋体"/>
                          <w:b/>
                          <w:sz w:val="18"/>
                          <w:szCs w:val="18"/>
                        </w:rPr>
                        <w:t>材料</w:t>
                      </w:r>
                      <w:r>
                        <w:rPr>
                          <w:rFonts w:hint="eastAsia" w:ascii="宋体" w:hAnsi="宋体"/>
                          <w:b/>
                          <w:sz w:val="18"/>
                          <w:szCs w:val="18"/>
                        </w:rPr>
                        <w:t>目录：</w:t>
                      </w:r>
                    </w:p>
                    <w:p>
                      <w:pPr>
                        <w:rPr>
                          <w:rFonts w:ascii="仿宋_GB2312" w:hAnsi="仿宋_GB2312" w:eastAsia="仿宋_GB2312" w:cs="仿宋_GB2312"/>
                          <w:szCs w:val="21"/>
                        </w:rPr>
                      </w:pPr>
                      <w:r>
                        <w:rPr>
                          <w:rFonts w:hint="eastAsia" w:ascii="仿宋_GB2312" w:hAnsi="仿宋_GB2312" w:eastAsia="仿宋_GB2312" w:cs="仿宋_GB2312"/>
                          <w:szCs w:val="21"/>
                        </w:rPr>
                        <w:t>1、项目可行性研究报告</w:t>
                      </w:r>
                    </w:p>
                    <w:p>
                      <w:pPr>
                        <w:rPr>
                          <w:rFonts w:ascii="仿宋_GB2312" w:hAnsi="仿宋_GB2312" w:eastAsia="仿宋_GB2312" w:cs="仿宋_GB2312"/>
                          <w:szCs w:val="21"/>
                        </w:rPr>
                      </w:pPr>
                      <w:r>
                        <w:rPr>
                          <w:rFonts w:hint="eastAsia" w:ascii="仿宋_GB2312" w:hAnsi="仿宋_GB2312" w:eastAsia="仿宋_GB2312" w:cs="仿宋_GB2312"/>
                          <w:szCs w:val="21"/>
                        </w:rPr>
                        <w:t>2、报送节能登记表或节能评估文件（节能评估报告表或节能评估报告书）的请示</w:t>
                      </w:r>
                    </w:p>
                    <w:p>
                      <w:pPr>
                        <w:rPr>
                          <w:rFonts w:ascii="仿宋_GB2312" w:hAnsi="仿宋_GB2312" w:eastAsia="仿宋_GB2312" w:cs="仿宋_GB2312"/>
                          <w:sz w:val="24"/>
                        </w:rPr>
                      </w:pPr>
                      <w:r>
                        <w:rPr>
                          <w:rFonts w:hint="eastAsia" w:ascii="仿宋_GB2312" w:hAnsi="仿宋_GB2312" w:eastAsia="仿宋_GB2312" w:cs="仿宋_GB2312"/>
                          <w:szCs w:val="21"/>
                        </w:rPr>
                        <w:t>3、按照规定委托有能力的机构编制节能评估文件，或项目建设单位自行填写节能登记表。</w:t>
                      </w:r>
                    </w:p>
                    <w:p>
                      <w:pPr>
                        <w:widowControl/>
                        <w:spacing w:line="300" w:lineRule="exact"/>
                        <w:ind w:firstLine="640" w:firstLineChars="200"/>
                        <w:jc w:val="left"/>
                        <w:rPr>
                          <w:rFonts w:ascii="仿宋_GB2312" w:eastAsia="仿宋_GB2312"/>
                          <w:szCs w:val="32"/>
                        </w:rPr>
                      </w:pPr>
                    </w:p>
                  </w:txbxContent>
                </v:textbox>
              </v:roundrect>
            </w:pict>
          </mc:Fallback>
        </mc:AlternateContent>
      </w:r>
    </w:p>
    <w:p/>
    <w:p>
      <w:r>
        <mc:AlternateContent>
          <mc:Choice Requires="wps">
            <w:drawing>
              <wp:anchor distT="0" distB="0" distL="114300" distR="114300" simplePos="0" relativeHeight="251704320" behindDoc="0" locked="0" layoutInCell="1" allowOverlap="1">
                <wp:simplePos x="0" y="0"/>
                <wp:positionH relativeFrom="column">
                  <wp:posOffset>1132205</wp:posOffset>
                </wp:positionH>
                <wp:positionV relativeFrom="paragraph">
                  <wp:posOffset>3175</wp:posOffset>
                </wp:positionV>
                <wp:extent cx="1319530" cy="611505"/>
                <wp:effectExtent l="5080" t="4445" r="8890" b="12700"/>
                <wp:wrapNone/>
                <wp:docPr id="76" name="圆角矩形 76"/>
                <wp:cNvGraphicFramePr/>
                <a:graphic xmlns:a="http://schemas.openxmlformats.org/drawingml/2006/main">
                  <a:graphicData uri="http://schemas.microsoft.com/office/word/2010/wordprocessingShape">
                    <wps:wsp>
                      <wps:cNvSpPr/>
                      <wps:spPr>
                        <a:xfrm>
                          <a:off x="0" y="0"/>
                          <a:ext cx="1319530" cy="6115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eastAsia="宋体"/>
                                <w:b/>
                                <w:szCs w:val="21"/>
                              </w:rPr>
                            </w:pPr>
                            <w:r>
                              <w:rPr>
                                <w:rFonts w:hint="eastAsia"/>
                                <w:b/>
                                <w:szCs w:val="21"/>
                              </w:rPr>
                              <w:t>项目单位</w:t>
                            </w:r>
                          </w:p>
                        </w:txbxContent>
                      </wps:txbx>
                      <wps:bodyPr lIns="91440" tIns="82800" rIns="91440" bIns="45720" upright="1"/>
                    </wps:wsp>
                  </a:graphicData>
                </a:graphic>
              </wp:anchor>
            </w:drawing>
          </mc:Choice>
          <mc:Fallback>
            <w:pict>
              <v:roundrect id="_x0000_s1026" o:spid="_x0000_s1026" o:spt="2" style="position:absolute;left:0pt;margin-left:89.15pt;margin-top:0.25pt;height:48.15pt;width:103.9pt;z-index:251704320;mso-width-relative:page;mso-height-relative:page;" fillcolor="#FFFFFF" filled="t" stroked="t" coordsize="21600,21600" arcsize="0.166666666666667" o:gfxdata="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&#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3lF0t1gAAAAcBAAAPAAAAAAAAAAEAIAAAACIAAABk&#10;cnMvZG93bnJldi54bWxQSwECFAAUAAAACACHTuJAWP6nEEECAACMBAAADgAAAAAAAAABACAAAAAl&#10;AQAAZHJzL2Uyb0RvYy54bWxQSwUGAAAAAAYABgBZAQAA2AUAAAAA&#10;">
                <v:fill on="t" focussize="0,0"/>
                <v:stroke color="#000000" joinstyle="round"/>
                <v:imagedata o:title=""/>
                <o:lock v:ext="edit" aspectratio="f"/>
                <v:textbox inset="2.54mm,2.3mm,2.54mm,1.27mm">
                  <w:txbxContent>
                    <w:p>
                      <w:pPr>
                        <w:jc w:val="center"/>
                        <w:rPr>
                          <w:rFonts w:eastAsia="宋体"/>
                          <w:b/>
                          <w:szCs w:val="21"/>
                        </w:rPr>
                      </w:pPr>
                      <w:r>
                        <w:rPr>
                          <w:rFonts w:hint="eastAsia"/>
                          <w:b/>
                          <w:szCs w:val="21"/>
                        </w:rPr>
                        <w:t>项目单位</w:t>
                      </w:r>
                    </w:p>
                  </w:txbxContent>
                </v:textbox>
              </v:roundrect>
            </w:pict>
          </mc:Fallback>
        </mc:AlternateContent>
      </w:r>
    </w:p>
    <w:p>
      <w:r>
        <mc:AlternateContent>
          <mc:Choice Requires="wps">
            <w:drawing>
              <wp:anchor distT="0" distB="0" distL="114300" distR="114300" simplePos="0" relativeHeight="251710464" behindDoc="0" locked="0" layoutInCell="1" allowOverlap="1">
                <wp:simplePos x="0" y="0"/>
                <wp:positionH relativeFrom="column">
                  <wp:posOffset>377190</wp:posOffset>
                </wp:positionH>
                <wp:positionV relativeFrom="paragraph">
                  <wp:posOffset>15875</wp:posOffset>
                </wp:positionV>
                <wp:extent cx="635" cy="201295"/>
                <wp:effectExtent l="4445" t="0" r="13970" b="8255"/>
                <wp:wrapNone/>
                <wp:docPr id="78" name="直接连接符 78"/>
                <wp:cNvGraphicFramePr/>
                <a:graphic xmlns:a="http://schemas.openxmlformats.org/drawingml/2006/main">
                  <a:graphicData uri="http://schemas.microsoft.com/office/word/2010/wordprocessingShape">
                    <wps:wsp>
                      <wps:cNvCnPr/>
                      <wps:spPr>
                        <a:xfrm>
                          <a:off x="0" y="0"/>
                          <a:ext cx="635" cy="20129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9.7pt;margin-top:1.25pt;height:15.85pt;width:0.05pt;z-index:251710464;mso-width-relative:page;mso-height-relative:page;" filled="f" stroked="t" coordsize="21600,21600" o:gfxdata="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Zbg&#10;TtUAAAAGAQAADwAAAAAAAAABACAAAAAiAAAAZHJzL2Rvd25yZXYueG1sUEsBAhQAFAAAAAgAh07i&#10;QMzdM0bsAQAA2wMAAA4AAAAAAAAAAQAgAAAAJAEAAGRycy9lMm9Eb2MueG1sUEsFBgAAAAAGAAYA&#10;WQEAAII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377190</wp:posOffset>
                </wp:positionH>
                <wp:positionV relativeFrom="paragraph">
                  <wp:posOffset>15875</wp:posOffset>
                </wp:positionV>
                <wp:extent cx="754380" cy="0"/>
                <wp:effectExtent l="0" t="38100" r="7620" b="38100"/>
                <wp:wrapNone/>
                <wp:docPr id="79" name="直接连接符 79"/>
                <wp:cNvGraphicFramePr/>
                <a:graphic xmlns:a="http://schemas.openxmlformats.org/drawingml/2006/main">
                  <a:graphicData uri="http://schemas.microsoft.com/office/word/2010/wordprocessingShape">
                    <wps:wsp>
                      <wps:cNvCnPr/>
                      <wps:spPr>
                        <a:xfrm>
                          <a:off x="0" y="0"/>
                          <a:ext cx="75438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9.7pt;margin-top:1.25pt;height:0pt;width:59.4pt;z-index:251707392;mso-width-relative:page;mso-height-relative:page;" filled="f" stroked="t" coordsize="21600,21600" o:gfxdata="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MrEe71QAAAAYBAAAPAAAAAAAAAAEAIAAAACIAAABkcnMvZG93bnJldi54bWxQSwECFAAU&#10;AAAACACHTuJAIFl17fQBAADdAwAADgAAAAAAAAABACAAAAAk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2451735</wp:posOffset>
                </wp:positionH>
                <wp:positionV relativeFrom="paragraph">
                  <wp:posOffset>62230</wp:posOffset>
                </wp:positionV>
                <wp:extent cx="565785" cy="0"/>
                <wp:effectExtent l="0" t="38100" r="5715" b="38100"/>
                <wp:wrapNone/>
                <wp:docPr id="75" name="直接连接符 75"/>
                <wp:cNvGraphicFramePr/>
                <a:graphic xmlns:a="http://schemas.openxmlformats.org/drawingml/2006/main">
                  <a:graphicData uri="http://schemas.microsoft.com/office/word/2010/wordprocessingShape">
                    <wps:wsp>
                      <wps:cNvCnPr/>
                      <wps:spPr>
                        <a:xfrm>
                          <a:off x="0" y="0"/>
                          <a:ext cx="56578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93.05pt;margin-top:4.9pt;height:0pt;width:44.55pt;z-index:251713536;mso-width-relative:page;mso-height-relative:page;" filled="f" stroked="t" coordsize="21600,21600" o:gfxdata="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0zQIZ9cAAAAHAQAADwAAAAAAAAABACAAAAAiAAAAZHJzL2Rvd25yZXYueG1sUEsBAhQA&#10;FAAAAAgAh07iQBh7LSDzAQAA3QMAAA4AAAAAAAAAAQAgAAAAJgEAAGRycy9lMm9Eb2MueG1sUEsF&#10;BgAAAAAGAAYAWQEAAIsFAAAAAA==&#10;">
                <v:fill on="f" focussize="0,0"/>
                <v:stroke color="#000000" joinstyle="round" endarrow="block"/>
                <v:imagedata o:title=""/>
                <o:lock v:ext="edit" aspectratio="f"/>
              </v:line>
            </w:pict>
          </mc:Fallback>
        </mc:AlternateContent>
      </w:r>
    </w:p>
    <w:p>
      <w:r>
        <w:rPr>
          <w:rFonts w:hint="eastAsia"/>
        </w:rPr>
        <mc:AlternateContent>
          <mc:Choice Requires="wps">
            <w:drawing>
              <wp:anchor distT="0" distB="0" distL="114300" distR="114300" simplePos="0" relativeHeight="251708416" behindDoc="0" locked="0" layoutInCell="1" allowOverlap="1">
                <wp:simplePos x="0" y="0"/>
                <wp:positionH relativeFrom="column">
                  <wp:posOffset>-154940</wp:posOffset>
                </wp:positionH>
                <wp:positionV relativeFrom="paragraph">
                  <wp:posOffset>34925</wp:posOffset>
                </wp:positionV>
                <wp:extent cx="1257300" cy="561340"/>
                <wp:effectExtent l="4445" t="4445" r="14605" b="5715"/>
                <wp:wrapNone/>
                <wp:docPr id="77" name="圆角矩形 77"/>
                <wp:cNvGraphicFramePr/>
                <a:graphic xmlns:a="http://schemas.openxmlformats.org/drawingml/2006/main">
                  <a:graphicData uri="http://schemas.microsoft.com/office/word/2010/wordprocessingShape">
                    <wps:wsp>
                      <wps:cNvSpPr/>
                      <wps:spPr>
                        <a:xfrm flipV="1">
                          <a:off x="0" y="0"/>
                          <a:ext cx="1257300" cy="5613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rPr>
                                <w:sz w:val="18"/>
                                <w:szCs w:val="18"/>
                              </w:rPr>
                            </w:pPr>
                            <w:r>
                              <w:rPr>
                                <w:rFonts w:hint="eastAsia"/>
                                <w:sz w:val="18"/>
                                <w:szCs w:val="18"/>
                              </w:rPr>
                              <w:t>不予受理或补充材料（一次性告知）</w:t>
                            </w:r>
                          </w:p>
                        </w:txbxContent>
                      </wps:txbx>
                      <wps:bodyPr upright="1"/>
                    </wps:wsp>
                  </a:graphicData>
                </a:graphic>
              </wp:anchor>
            </w:drawing>
          </mc:Choice>
          <mc:Fallback>
            <w:pict>
              <v:roundrect id="_x0000_s1026" o:spid="_x0000_s1026" o:spt="2" style="position:absolute;left:0pt;flip:y;margin-left:-12.2pt;margin-top:2.75pt;height:44.2pt;width:99pt;z-index:251708416;mso-width-relative:page;mso-height-relative:page;" fillcolor="#FFFFFF" filled="t" stroked="t" coordsize="21600,21600" arcsize="0.166666666666667" o:gfxdata="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UowXz2AAAAAgBAAAPAAAAAAAAAAEAIAAAACIAAABkcnMvZG93bnJldi54bWxQSwEC&#10;FAAUAAAACACHTuJA7GGWnS0CAABiBAAADgAAAAAAAAABACAAAAAnAQAAZHJzL2Uyb0RvYy54bWxQ&#10;SwUGAAAAAAYABgBZAQAAxgUAAAAA&#10;">
                <v:fill on="t" focussize="0,0"/>
                <v:stroke color="#000000" joinstyle="round"/>
                <v:imagedata o:title=""/>
                <o:lock v:ext="edit" aspectratio="f"/>
                <v:textbox>
                  <w:txbxContent>
                    <w:p>
                      <w:pPr>
                        <w:rPr>
                          <w:sz w:val="18"/>
                          <w:szCs w:val="18"/>
                        </w:rPr>
                      </w:pPr>
                      <w:r>
                        <w:rPr>
                          <w:rFonts w:hint="eastAsia"/>
                          <w:sz w:val="18"/>
                          <w:szCs w:val="18"/>
                        </w:rPr>
                        <w:t>不予受理或补充材料（一次性告知）</w:t>
                      </w:r>
                    </w:p>
                  </w:txbxContent>
                </v:textbox>
              </v:roundrect>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1795780</wp:posOffset>
                </wp:positionH>
                <wp:positionV relativeFrom="paragraph">
                  <wp:posOffset>65405</wp:posOffset>
                </wp:positionV>
                <wp:extent cx="635" cy="614680"/>
                <wp:effectExtent l="71120" t="0" r="80645" b="13970"/>
                <wp:wrapNone/>
                <wp:docPr id="81" name="直接连接符 81"/>
                <wp:cNvGraphicFramePr/>
                <a:graphic xmlns:a="http://schemas.openxmlformats.org/drawingml/2006/main">
                  <a:graphicData uri="http://schemas.microsoft.com/office/word/2010/wordprocessingShape">
                    <wps:wsp>
                      <wps:cNvCnPr/>
                      <wps:spPr>
                        <a:xfrm>
                          <a:off x="0" y="0"/>
                          <a:ext cx="635" cy="614680"/>
                        </a:xfrm>
                        <a:prstGeom prst="line">
                          <a:avLst/>
                        </a:prstGeom>
                        <a:ln w="47625" cap="flat" cmpd="thickThin">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41.4pt;margin-top:5.15pt;height:48.4pt;width:0.05pt;z-index:251706368;mso-width-relative:page;mso-height-relative:page;" filled="f" stroked="t" coordsize="21600,21600" o:gfxdata="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lPjENoAAAAKAQAADwAAAAAAAAABACAAAAAiAAAAZHJzL2Rvd25y&#10;ZXYueG1sUEsBAhQAFAAAAAgAh07iQGDdTVT8AQAA5gMAAA4AAAAAAAAAAQAgAAAAKQEAAGRycy9l&#10;Mm9Eb2MueG1sUEsFBgAAAAAGAAYAWQEAAJcFAAAAAA==&#10;">
                <v:fill on="f" focussize="0,0"/>
                <v:stroke weight="3.75pt" color="#000000" linestyle="thickThin" joinstyle="round" endarrow="block"/>
                <v:imagedata o:title=""/>
                <o:lock v:ext="edit" aspectratio="f"/>
              </v:line>
            </w:pict>
          </mc:Fallback>
        </mc:AlternateContent>
      </w:r>
    </w:p>
    <w:p>
      <w:r>
        <mc:AlternateContent>
          <mc:Choice Requires="wps">
            <w:drawing>
              <wp:anchor distT="0" distB="0" distL="114300" distR="114300" simplePos="0" relativeHeight="251703296" behindDoc="0" locked="0" layoutInCell="1" allowOverlap="1">
                <wp:simplePos x="0" y="0"/>
                <wp:positionH relativeFrom="column">
                  <wp:posOffset>1160780</wp:posOffset>
                </wp:positionH>
                <wp:positionV relativeFrom="paragraph">
                  <wp:posOffset>300990</wp:posOffset>
                </wp:positionV>
                <wp:extent cx="1449070" cy="401955"/>
                <wp:effectExtent l="4445" t="4445" r="13335" b="12700"/>
                <wp:wrapNone/>
                <wp:docPr id="80" name="圆角矩形 80"/>
                <wp:cNvGraphicFramePr/>
                <a:graphic xmlns:a="http://schemas.openxmlformats.org/drawingml/2006/main">
                  <a:graphicData uri="http://schemas.microsoft.com/office/word/2010/wordprocessingShape">
                    <wps:wsp>
                      <wps:cNvSpPr/>
                      <wps:spPr>
                        <a:xfrm>
                          <a:off x="0" y="0"/>
                          <a:ext cx="1449070" cy="40195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ascii="仿宋_GB2312" w:hAnsi="仿宋_GB2312" w:eastAsia="仿宋_GB2312" w:cs="仿宋_GB2312"/>
                                <w:b/>
                                <w:bCs/>
                                <w:sz w:val="24"/>
                              </w:rPr>
                            </w:pPr>
                            <w:r>
                              <w:rPr>
                                <w:rFonts w:hint="eastAsia" w:ascii="仿宋_GB2312" w:hAnsi="仿宋_GB2312" w:eastAsia="仿宋_GB2312" w:cs="仿宋_GB2312"/>
                                <w:b/>
                                <w:bCs/>
                                <w:sz w:val="24"/>
                              </w:rPr>
                              <w:t>新区项目局</w:t>
                            </w:r>
                          </w:p>
                          <w:p>
                            <w:pPr>
                              <w:rPr>
                                <w:sz w:val="18"/>
                                <w:szCs w:val="18"/>
                              </w:rPr>
                            </w:pPr>
                          </w:p>
                        </w:txbxContent>
                      </wps:txbx>
                      <wps:bodyPr lIns="91440" tIns="82800" rIns="91440" bIns="45720" upright="1"/>
                    </wps:wsp>
                  </a:graphicData>
                </a:graphic>
              </wp:anchor>
            </w:drawing>
          </mc:Choice>
          <mc:Fallback>
            <w:pict>
              <v:roundrect id="_x0000_s1026" o:spid="_x0000_s1026" o:spt="2" style="position:absolute;left:0pt;margin-left:91.4pt;margin-top:23.7pt;height:31.65pt;width:114.1pt;z-index:251703296;mso-width-relative:page;mso-height-relative:page;" fillcolor="#FFFFFF" filled="t" stroked="t" coordsize="21600,21600" arcsize="0.166666666666667" o:gfxdata="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UB467YAAAACgEAAA8AAAAAAAAAAQAgAAAAIgAAAGRy&#10;cy9kb3ducmV2LnhtbFBLAQIUABQAAAAIAIdO4kAo7DUiPgIAAIwEAAAOAAAAAAAAAAEAIAAAACcB&#10;AABkcnMvZTJvRG9jLnhtbFBLBQYAAAAABgAGAFkBAADXBQAAAAA=&#10;">
                <v:fill on="t" focussize="0,0"/>
                <v:stroke color="#000000" joinstyle="round"/>
                <v:imagedata o:title=""/>
                <o:lock v:ext="edit" aspectratio="f"/>
                <v:textbox inset="2.54mm,2.3mm,2.54mm,1.27mm">
                  <w:txbxContent>
                    <w:p>
                      <w:pPr>
                        <w:jc w:val="center"/>
                        <w:rPr>
                          <w:rFonts w:ascii="仿宋_GB2312" w:hAnsi="仿宋_GB2312" w:eastAsia="仿宋_GB2312" w:cs="仿宋_GB2312"/>
                          <w:b/>
                          <w:bCs/>
                          <w:sz w:val="24"/>
                        </w:rPr>
                      </w:pPr>
                      <w:r>
                        <w:rPr>
                          <w:rFonts w:hint="eastAsia" w:ascii="仿宋_GB2312" w:hAnsi="仿宋_GB2312" w:eastAsia="仿宋_GB2312" w:cs="仿宋_GB2312"/>
                          <w:b/>
                          <w:bCs/>
                          <w:sz w:val="24"/>
                        </w:rPr>
                        <w:t>新区项目局</w:t>
                      </w:r>
                    </w:p>
                    <w:p>
                      <w:pPr>
                        <w:rPr>
                          <w:sz w:val="18"/>
                          <w:szCs w:val="18"/>
                        </w:rPr>
                      </w:pPr>
                    </w:p>
                  </w:txbxContent>
                </v:textbox>
              </v:roundrect>
            </w:pict>
          </mc:Fallback>
        </mc:AlternateContent>
      </w:r>
      <w:r>
        <w:rPr>
          <w:rFonts w:hint="eastAsia"/>
        </w:rPr>
        <mc:AlternateContent>
          <mc:Choice Requires="wps">
            <w:drawing>
              <wp:anchor distT="0" distB="0" distL="114300" distR="114300" simplePos="0" relativeHeight="251711488" behindDoc="0" locked="0" layoutInCell="1" allowOverlap="1">
                <wp:simplePos x="0" y="0"/>
                <wp:positionH relativeFrom="column">
                  <wp:posOffset>377190</wp:posOffset>
                </wp:positionH>
                <wp:positionV relativeFrom="paragraph">
                  <wp:posOffset>186055</wp:posOffset>
                </wp:positionV>
                <wp:extent cx="635" cy="316865"/>
                <wp:effectExtent l="0" t="0" r="0" b="0"/>
                <wp:wrapNone/>
                <wp:docPr id="82" name="直接连接符 82"/>
                <wp:cNvGraphicFramePr/>
                <a:graphic xmlns:a="http://schemas.openxmlformats.org/drawingml/2006/main">
                  <a:graphicData uri="http://schemas.microsoft.com/office/word/2010/wordprocessingShape">
                    <wps:wsp>
                      <wps:cNvCnPr/>
                      <wps:spPr>
                        <a:xfrm flipH="1">
                          <a:off x="0" y="0"/>
                          <a:ext cx="635" cy="31686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x;margin-left:29.7pt;margin-top:14.65pt;height:24.95pt;width:0.05pt;z-index:251711488;mso-width-relative:page;mso-height-relative:page;" filled="f" stroked="t" coordsize="21600,21600" o:gfxdata="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WW/odUAAAAHAQAADwAAAAAAAAABACAAAAAiAAAAZHJzL2Rvd25yZXYueG1sUEsBAhQA&#10;FAAAAAgAh07iQEyhKV/1AQAA5QMAAA4AAAAAAAAAAQAgAAAAJAEAAGRycy9lMm9Eb2MueG1sUEsF&#10;BgAAAAAGAAYAWQEAAIsFAAAAAA==&#10;">
                <v:fill on="f" focussize="0,0"/>
                <v:stroke color="#000000" joinstyle="round"/>
                <v:imagedata o:title=""/>
                <o:lock v:ext="edit" aspectratio="f"/>
              </v:line>
            </w:pict>
          </mc:Fallback>
        </mc:AlternateContent>
      </w:r>
    </w:p>
    <w:p>
      <w:r>
        <w:rPr>
          <w:rFonts w:hint="eastAsia"/>
        </w:rPr>
        <mc:AlternateContent>
          <mc:Choice Requires="wps">
            <w:drawing>
              <wp:anchor distT="0" distB="0" distL="114300" distR="114300" simplePos="0" relativeHeight="251712512" behindDoc="0" locked="0" layoutInCell="1" allowOverlap="1">
                <wp:simplePos x="0" y="0"/>
                <wp:positionH relativeFrom="column">
                  <wp:posOffset>377190</wp:posOffset>
                </wp:positionH>
                <wp:positionV relativeFrom="paragraph">
                  <wp:posOffset>102870</wp:posOffset>
                </wp:positionV>
                <wp:extent cx="754380" cy="0"/>
                <wp:effectExtent l="0" t="0" r="0" b="0"/>
                <wp:wrapNone/>
                <wp:docPr id="72" name="直接连接符 72"/>
                <wp:cNvGraphicFramePr/>
                <a:graphic xmlns:a="http://schemas.openxmlformats.org/drawingml/2006/main">
                  <a:graphicData uri="http://schemas.microsoft.com/office/word/2010/wordprocessingShape">
                    <wps:wsp>
                      <wps:cNvCnPr/>
                      <wps:spPr>
                        <a:xfrm flipH="1">
                          <a:off x="0" y="0"/>
                          <a:ext cx="75438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x;margin-left:29.7pt;margin-top:8.1pt;height:0pt;width:59.4pt;z-index:251712512;mso-width-relative:page;mso-height-relative:page;" filled="f" stroked="t" coordsize="21600,21600" o:gfxdata="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9+rqdUAAAAIAQAADwAAAAAAAAABACAAAAAiAAAAZHJzL2Rvd25yZXYueG1sUEsBAhQA&#10;FAAAAAgAh07iQDxmcz31AQAA4wMAAA4AAAAAAAAAAQAgAAAAJAEAAGRycy9lMm9Eb2MueG1sUEsF&#10;BgAAAAAGAAYAWQEAAIsFAAAAAA==&#10;">
                <v:fill on="f" focussize="0,0"/>
                <v:stroke color="#000000" joinstyle="round"/>
                <v:imagedata o:title=""/>
                <o:lock v:ext="edit" aspectratio="f"/>
              </v:line>
            </w:pict>
          </mc:Fallback>
        </mc:AlternateContent>
      </w:r>
    </w:p>
    <w:p>
      <w:r>
        <mc:AlternateContent>
          <mc:Choice Requires="wps">
            <w:drawing>
              <wp:anchor distT="0" distB="0" distL="114300" distR="114300" simplePos="0" relativeHeight="251714560" behindDoc="0" locked="0" layoutInCell="1" allowOverlap="1">
                <wp:simplePos x="0" y="0"/>
                <wp:positionH relativeFrom="column">
                  <wp:posOffset>1805305</wp:posOffset>
                </wp:positionH>
                <wp:positionV relativeFrom="paragraph">
                  <wp:posOffset>125730</wp:posOffset>
                </wp:positionV>
                <wp:extent cx="635" cy="614680"/>
                <wp:effectExtent l="71120" t="0" r="80645" b="13970"/>
                <wp:wrapNone/>
                <wp:docPr id="73" name="直接连接符 73"/>
                <wp:cNvGraphicFramePr/>
                <a:graphic xmlns:a="http://schemas.openxmlformats.org/drawingml/2006/main">
                  <a:graphicData uri="http://schemas.microsoft.com/office/word/2010/wordprocessingShape">
                    <wps:wsp>
                      <wps:cNvCnPr/>
                      <wps:spPr>
                        <a:xfrm>
                          <a:off x="0" y="0"/>
                          <a:ext cx="635" cy="614680"/>
                        </a:xfrm>
                        <a:prstGeom prst="line">
                          <a:avLst/>
                        </a:prstGeom>
                        <a:ln w="47625" cap="flat" cmpd="thickThin">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42.15pt;margin-top:9.9pt;height:48.4pt;width:0.05pt;z-index:251714560;mso-width-relative:page;mso-height-relative:page;" filled="f" stroked="t" coordsize="21600,21600" o:gfxdata="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rQLf9oAAAAKAQAADwAAAAAAAAABACAAAAAiAAAAZHJzL2Rvd25y&#10;ZXYueG1sUEsBAhQAFAAAAAgAh07iQBgN/Lr8AQAA5gMAAA4AAAAAAAAAAQAgAAAAKQEAAGRycy9l&#10;Mm9Eb2MueG1sUEsFBgAAAAAGAAYAWQEAAJcFAAAAAA==&#10;">
                <v:fill on="f" focussize="0,0"/>
                <v:stroke weight="3.75pt" color="#000000" linestyle="thickThin" joinstyle="round" endarrow="block"/>
                <v:imagedata o:title=""/>
                <o:lock v:ext="edit" aspectratio="f"/>
              </v:line>
            </w:pict>
          </mc:Fallback>
        </mc:AlternateContent>
      </w:r>
    </w:p>
    <w:p/>
    <w:p>
      <w:r>
        <mc:AlternateContent>
          <mc:Choice Requires="wps">
            <w:drawing>
              <wp:anchor distT="0" distB="0" distL="114300" distR="114300" simplePos="0" relativeHeight="251702272" behindDoc="0" locked="0" layoutInCell="1" allowOverlap="1">
                <wp:simplePos x="0" y="0"/>
                <wp:positionH relativeFrom="column">
                  <wp:posOffset>1050290</wp:posOffset>
                </wp:positionH>
                <wp:positionV relativeFrom="paragraph">
                  <wp:posOffset>196850</wp:posOffset>
                </wp:positionV>
                <wp:extent cx="2188845" cy="565785"/>
                <wp:effectExtent l="4445" t="4445" r="16510" b="20320"/>
                <wp:wrapNone/>
                <wp:docPr id="74" name="圆角矩形 74"/>
                <wp:cNvGraphicFramePr/>
                <a:graphic xmlns:a="http://schemas.openxmlformats.org/drawingml/2006/main">
                  <a:graphicData uri="http://schemas.microsoft.com/office/word/2010/wordprocessingShape">
                    <wps:wsp>
                      <wps:cNvSpPr/>
                      <wps:spPr>
                        <a:xfrm>
                          <a:off x="0" y="0"/>
                          <a:ext cx="2188845" cy="56578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b/>
                                <w:szCs w:val="21"/>
                              </w:rPr>
                            </w:pPr>
                            <w:r>
                              <w:rPr>
                                <w:rFonts w:hint="eastAsia"/>
                                <w:b/>
                                <w:szCs w:val="21"/>
                              </w:rPr>
                              <w:t>发改委政务大厅窗口</w:t>
                            </w:r>
                          </w:p>
                        </w:txbxContent>
                      </wps:txbx>
                      <wps:bodyPr lIns="91440" tIns="82800" rIns="91440" bIns="45720" upright="1"/>
                    </wps:wsp>
                  </a:graphicData>
                </a:graphic>
              </wp:anchor>
            </w:drawing>
          </mc:Choice>
          <mc:Fallback>
            <w:pict>
              <v:roundrect id="_x0000_s1026" o:spid="_x0000_s1026" o:spt="2" style="position:absolute;left:0pt;margin-left:82.7pt;margin-top:15.5pt;height:44.55pt;width:172.35pt;z-index:251702272;mso-width-relative:page;mso-height-relative:page;" fillcolor="#FFFFFF" filled="t" stroked="t" coordsize="21600,21600" arcsize="0.166666666666667" o:gfxdata="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&#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7clTp1wAAAAoBAAAPAAAAAAAAAAEAIAAAACIAAABk&#10;cnMvZG93bnJldi54bWxQSwECFAAUAAAACACHTuJAuW0PTEACAACMBAAADgAAAAAAAAABACAAAAAm&#10;AQAAZHJzL2Uyb0RvYy54bWxQSwUGAAAAAAYABgBZAQAA2AUAAAAA&#10;">
                <v:fill on="t" focussize="0,0"/>
                <v:stroke color="#000000" joinstyle="round"/>
                <v:imagedata o:title=""/>
                <o:lock v:ext="edit" aspectratio="f"/>
                <v:textbox inset="2.54mm,2.3mm,2.54mm,1.27mm">
                  <w:txbxContent>
                    <w:p>
                      <w:pPr>
                        <w:jc w:val="center"/>
                        <w:rPr>
                          <w:b/>
                          <w:szCs w:val="21"/>
                        </w:rPr>
                      </w:pPr>
                      <w:r>
                        <w:rPr>
                          <w:rFonts w:hint="eastAsia"/>
                          <w:b/>
                          <w:szCs w:val="21"/>
                        </w:rPr>
                        <w:t>发改委政务大厅窗口</w:t>
                      </w:r>
                    </w:p>
                  </w:txbxContent>
                </v:textbox>
              </v:roundrect>
            </w:pict>
          </mc:Fallback>
        </mc:AlternateContent>
      </w:r>
    </w:p>
    <w:p/>
    <w:p>
      <w:r>
        <w:rPr>
          <w:rFonts w:hint="eastAsia"/>
        </w:rPr>
        <mc:AlternateContent>
          <mc:Choice Requires="wps">
            <w:drawing>
              <wp:anchor distT="0" distB="0" distL="114300" distR="114300" simplePos="0" relativeHeight="251715584" behindDoc="0" locked="0" layoutInCell="1" allowOverlap="1">
                <wp:simplePos x="0" y="0"/>
                <wp:positionH relativeFrom="column">
                  <wp:posOffset>1792605</wp:posOffset>
                </wp:positionH>
                <wp:positionV relativeFrom="paragraph">
                  <wp:posOffset>38100</wp:posOffset>
                </wp:positionV>
                <wp:extent cx="20955" cy="581660"/>
                <wp:effectExtent l="55880" t="635" r="75565" b="8255"/>
                <wp:wrapNone/>
                <wp:docPr id="68" name="直接连接符 68"/>
                <wp:cNvGraphicFramePr/>
                <a:graphic xmlns:a="http://schemas.openxmlformats.org/drawingml/2006/main">
                  <a:graphicData uri="http://schemas.microsoft.com/office/word/2010/wordprocessingShape">
                    <wps:wsp>
                      <wps:cNvCnPr/>
                      <wps:spPr>
                        <a:xfrm>
                          <a:off x="0" y="0"/>
                          <a:ext cx="20955" cy="581660"/>
                        </a:xfrm>
                        <a:prstGeom prst="line">
                          <a:avLst/>
                        </a:prstGeom>
                        <a:ln w="47625" cap="flat" cmpd="thickThin">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41.15pt;margin-top:3pt;height:45.8pt;width:1.65pt;z-index:251715584;mso-width-relative:page;mso-height-relative:page;" filled="f" stroked="t" coordsize="21600,21600" o:gfxdata="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sJ2yjaAAAACAEAAA8AAAAAAAAAAQAgAAAAIgAAAGRycy9kb3du&#10;cmV2LnhtbFBLAQIUABQAAAAIAIdO4kB1jx3m/QEAAOgDAAAOAAAAAAAAAAEAIAAAACkBAABkcnMv&#10;ZTJvRG9jLnhtbFBLBQYAAAAABgAGAFkBAACYBQAAAAA=&#10;">
                <v:fill on="f" focussize="0,0"/>
                <v:stroke weight="3.75pt" color="#000000" linestyle="thickThin" joinstyle="round" endarrow="block"/>
                <v:imagedata o:title=""/>
                <o:lock v:ext="edit" aspectratio="f"/>
              </v:line>
            </w:pict>
          </mc:Fallback>
        </mc:AlternateContent>
      </w:r>
    </w:p>
    <w:p>
      <w:r>
        <mc:AlternateContent>
          <mc:Choice Requires="wps">
            <w:drawing>
              <wp:anchor distT="0" distB="0" distL="114300" distR="114300" simplePos="0" relativeHeight="251705344" behindDoc="0" locked="0" layoutInCell="1" allowOverlap="1">
                <wp:simplePos x="0" y="0"/>
                <wp:positionH relativeFrom="column">
                  <wp:posOffset>817880</wp:posOffset>
                </wp:positionH>
                <wp:positionV relativeFrom="paragraph">
                  <wp:posOffset>172720</wp:posOffset>
                </wp:positionV>
                <wp:extent cx="2364105" cy="916940"/>
                <wp:effectExtent l="4445" t="4445" r="12700" b="12065"/>
                <wp:wrapNone/>
                <wp:docPr id="70" name="圆角矩形 70"/>
                <wp:cNvGraphicFramePr/>
                <a:graphic xmlns:a="http://schemas.openxmlformats.org/drawingml/2006/main">
                  <a:graphicData uri="http://schemas.microsoft.com/office/word/2010/wordprocessingShape">
                    <wps:wsp>
                      <wps:cNvSpPr/>
                      <wps:spPr>
                        <a:xfrm>
                          <a:off x="0" y="0"/>
                          <a:ext cx="2364105" cy="9169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b/>
                                <w:szCs w:val="21"/>
                              </w:rPr>
                            </w:pPr>
                            <w:r>
                              <w:rPr>
                                <w:rFonts w:hint="eastAsia"/>
                                <w:b/>
                                <w:szCs w:val="21"/>
                              </w:rPr>
                              <w:t>发改委相关科室进行受理并出具批文</w:t>
                            </w:r>
                          </w:p>
                          <w:p/>
                        </w:txbxContent>
                      </wps:txbx>
                      <wps:bodyPr lIns="91440" tIns="82800" rIns="91440" bIns="45720" upright="1"/>
                    </wps:wsp>
                  </a:graphicData>
                </a:graphic>
              </wp:anchor>
            </w:drawing>
          </mc:Choice>
          <mc:Fallback>
            <w:pict>
              <v:roundrect id="_x0000_s1026" o:spid="_x0000_s1026" o:spt="2" style="position:absolute;left:0pt;margin-left:64.4pt;margin-top:13.6pt;height:72.2pt;width:186.15pt;z-index:251705344;mso-width-relative:page;mso-height-relative:page;" fillcolor="#FFFFFF" filled="t" stroked="t" coordsize="21600,21600" arcsize="0.166666666666667" o:gfxdata="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KuCYnXAAAACgEAAA8AAAAAAAAAAQAgAAAAIgAAAGRy&#10;cy9kb3ducmV2LnhtbFBLAQIUABQAAAAIAIdO4kCimKr6PwIAAIwEAAAOAAAAAAAAAAEAIAAAACYB&#10;AABkcnMvZTJvRG9jLnhtbFBLBQYAAAAABgAGAFkBAADXBQAAAAA=&#10;">
                <v:fill on="t" focussize="0,0"/>
                <v:stroke color="#000000" joinstyle="round"/>
                <v:imagedata o:title=""/>
                <o:lock v:ext="edit" aspectratio="f"/>
                <v:textbox inset="2.54mm,2.3mm,2.54mm,1.27mm">
                  <w:txbxContent>
                    <w:p>
                      <w:pPr>
                        <w:jc w:val="center"/>
                        <w:rPr>
                          <w:b/>
                          <w:szCs w:val="21"/>
                        </w:rPr>
                      </w:pPr>
                      <w:r>
                        <w:rPr>
                          <w:rFonts w:hint="eastAsia"/>
                          <w:b/>
                          <w:szCs w:val="21"/>
                        </w:rPr>
                        <w:t>发改委相关科室进行受理并出具批文</w:t>
                      </w:r>
                    </w:p>
                    <w:p/>
                  </w:txbxContent>
                </v:textbox>
              </v:roundrect>
            </w:pict>
          </mc:Fallback>
        </mc:AlternateContent>
      </w:r>
    </w:p>
    <w:p/>
    <w:p/>
    <w:p>
      <w:r>
        <w:rPr>
          <w:rFonts w:hint="eastAsia"/>
        </w:rPr>
        <mc:AlternateContent>
          <mc:Choice Requires="wps">
            <w:drawing>
              <wp:anchor distT="0" distB="0" distL="114300" distR="114300" simplePos="0" relativeHeight="251716608" behindDoc="0" locked="0" layoutInCell="1" allowOverlap="1">
                <wp:simplePos x="0" y="0"/>
                <wp:positionH relativeFrom="column">
                  <wp:posOffset>1844675</wp:posOffset>
                </wp:positionH>
                <wp:positionV relativeFrom="paragraph">
                  <wp:posOffset>11430</wp:posOffset>
                </wp:positionV>
                <wp:extent cx="6985" cy="694055"/>
                <wp:effectExtent l="69850" t="0" r="75565" b="10795"/>
                <wp:wrapNone/>
                <wp:docPr id="69" name="直接连接符 69"/>
                <wp:cNvGraphicFramePr/>
                <a:graphic xmlns:a="http://schemas.openxmlformats.org/drawingml/2006/main">
                  <a:graphicData uri="http://schemas.microsoft.com/office/word/2010/wordprocessingShape">
                    <wps:wsp>
                      <wps:cNvCnPr/>
                      <wps:spPr>
                        <a:xfrm flipH="1">
                          <a:off x="0" y="0"/>
                          <a:ext cx="6985" cy="694055"/>
                        </a:xfrm>
                        <a:prstGeom prst="line">
                          <a:avLst/>
                        </a:prstGeom>
                        <a:ln w="47625" cap="flat" cmpd="thickThin">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45.25pt;margin-top:0.9pt;height:54.65pt;width:0.55pt;z-index:251716608;mso-width-relative:page;mso-height-relative:page;" filled="f" stroked="t" coordsize="21600,21600" o:gfxdata="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3tqENMAAAAJAQAADwAAAAAAAAABACAAAAAiAAAAZHJzL2Rvd25y&#10;ZXYueG1sUEsBAhQAFAAAAAgAh07iQJuEoh0DAgAA8QMAAA4AAAAAAAAAAQAgAAAAIgEAAGRycy9l&#10;Mm9Eb2MueG1sUEsFBgAAAAAGAAYAWQEAAJcFAAAAAA==&#10;">
                <v:fill on="f" focussize="0,0"/>
                <v:stroke weight="3.75pt" color="#000000" linestyle="thickThin" joinstyle="round" endarrow="block"/>
                <v:imagedata o:title=""/>
                <o:lock v:ext="edit" aspectratio="f"/>
              </v:line>
            </w:pict>
          </mc:Fallback>
        </mc:AlternateContent>
      </w:r>
    </w:p>
    <w:p/>
    <w:p>
      <w:r>
        <mc:AlternateContent>
          <mc:Choice Requires="wps">
            <w:drawing>
              <wp:anchor distT="0" distB="0" distL="114300" distR="114300" simplePos="0" relativeHeight="251717632" behindDoc="0" locked="0" layoutInCell="1" allowOverlap="1">
                <wp:simplePos x="0" y="0"/>
                <wp:positionH relativeFrom="column">
                  <wp:posOffset>899160</wp:posOffset>
                </wp:positionH>
                <wp:positionV relativeFrom="paragraph">
                  <wp:posOffset>90170</wp:posOffset>
                </wp:positionV>
                <wp:extent cx="2716530" cy="686435"/>
                <wp:effectExtent l="4445" t="4445" r="22225" b="13970"/>
                <wp:wrapNone/>
                <wp:docPr id="71" name="圆角矩形 71"/>
                <wp:cNvGraphicFramePr/>
                <a:graphic xmlns:a="http://schemas.openxmlformats.org/drawingml/2006/main">
                  <a:graphicData uri="http://schemas.microsoft.com/office/word/2010/wordprocessingShape">
                    <wps:wsp>
                      <wps:cNvSpPr/>
                      <wps:spPr>
                        <a:xfrm>
                          <a:off x="0" y="0"/>
                          <a:ext cx="2716530" cy="6864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b/>
                                <w:szCs w:val="21"/>
                              </w:rPr>
                            </w:pPr>
                            <w:r>
                              <w:rPr>
                                <w:rFonts w:hint="eastAsia"/>
                                <w:b/>
                                <w:szCs w:val="21"/>
                              </w:rPr>
                              <w:t>由新区项目局转给项目单位</w:t>
                            </w:r>
                          </w:p>
                          <w:p/>
                        </w:txbxContent>
                      </wps:txbx>
                      <wps:bodyPr lIns="91440" tIns="82800" rIns="91440" bIns="45720" upright="1"/>
                    </wps:wsp>
                  </a:graphicData>
                </a:graphic>
              </wp:anchor>
            </w:drawing>
          </mc:Choice>
          <mc:Fallback>
            <w:pict>
              <v:roundrect id="_x0000_s1026" o:spid="_x0000_s1026" o:spt="2" style="position:absolute;left:0pt;margin-left:70.8pt;margin-top:7.1pt;height:54.05pt;width:213.9pt;z-index:251717632;mso-width-relative:page;mso-height-relative:page;" fillcolor="#FFFFFF" filled="t" stroked="t" coordsize="21600,21600" arcsize="0.166666666666667" o:gfxdata="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up9tPYAAAACgEAAA8AAAAAAAAAAQAgAAAAIgAA&#10;AGRycy9kb3ducmV2LnhtbFBLAQIUABQAAAAIAIdO4kBUl6y4QQIAAIwEAAAOAAAAAAAAAAEAIAAA&#10;ACcBAABkcnMvZTJvRG9jLnhtbFBLBQYAAAAABgAGAFkBAADaBQAAAAA=&#10;">
                <v:fill on="t" focussize="0,0"/>
                <v:stroke color="#000000" joinstyle="round"/>
                <v:imagedata o:title=""/>
                <o:lock v:ext="edit" aspectratio="f"/>
                <v:textbox inset="2.54mm,2.3mm,2.54mm,1.27mm">
                  <w:txbxContent>
                    <w:p>
                      <w:pPr>
                        <w:jc w:val="center"/>
                        <w:rPr>
                          <w:b/>
                          <w:szCs w:val="21"/>
                        </w:rPr>
                      </w:pPr>
                      <w:r>
                        <w:rPr>
                          <w:rFonts w:hint="eastAsia"/>
                          <w:b/>
                          <w:szCs w:val="21"/>
                        </w:rPr>
                        <w:t>由新区项目局转给项目单位</w:t>
                      </w:r>
                    </w:p>
                    <w:p/>
                  </w:txbxContent>
                </v:textbox>
              </v:roundrect>
            </w:pict>
          </mc:Fallback>
        </mc:AlternateContent>
      </w:r>
    </w:p>
    <w:p/>
    <w:p>
      <w:pPr>
        <w:pStyle w:val="2"/>
        <w:rPr>
          <w:rFonts w:eastAsia="仿宋"/>
          <w:sz w:val="32"/>
          <w:szCs w:val="32"/>
        </w:rPr>
      </w:pPr>
      <w:bookmarkStart w:id="363" w:name="_Toc19565"/>
      <w:r>
        <w:rPr>
          <w:rFonts w:hint="eastAsia"/>
        </w:rPr>
        <w:t>17、</w:t>
      </w:r>
      <w:r>
        <w:t>建设工程安全</w:t>
      </w:r>
      <w:r>
        <w:rPr>
          <w:rFonts w:hint="eastAsia"/>
        </w:rPr>
        <w:t>生产</w:t>
      </w:r>
      <w:r>
        <w:t>检查工作制度</w:t>
      </w:r>
      <w:bookmarkEnd w:id="363"/>
    </w:p>
    <w:p>
      <w:pPr>
        <w:spacing w:line="360" w:lineRule="auto"/>
        <w:ind w:firstLine="640" w:firstLineChars="200"/>
        <w:rPr>
          <w:rFonts w:ascii="仿宋" w:hAnsi="仿宋" w:cs="仿宋"/>
          <w:szCs w:val="32"/>
        </w:rPr>
      </w:pPr>
      <w:r>
        <w:rPr>
          <w:rFonts w:hint="eastAsia" w:ascii="仿宋" w:hAnsi="仿宋" w:cs="仿宋"/>
          <w:szCs w:val="32"/>
        </w:rPr>
        <w:t>为确保建设工程施工安全，根据《建设工程安全生产管理条例》和《中华人民共和国行政处罚法》等法律法规，结合工作实际，制定本安全检查制度。</w:t>
      </w:r>
    </w:p>
    <w:p>
      <w:pPr>
        <w:spacing w:line="360" w:lineRule="auto"/>
        <w:ind w:firstLine="640" w:firstLineChars="200"/>
        <w:rPr>
          <w:rFonts w:ascii="仿宋" w:hAnsi="仿宋" w:cs="仿宋"/>
          <w:szCs w:val="32"/>
        </w:rPr>
      </w:pPr>
      <w:r>
        <w:rPr>
          <w:rFonts w:hint="eastAsia" w:ascii="黑体" w:hAnsi="黑体" w:eastAsia="黑体" w:cs="黑体"/>
          <w:szCs w:val="32"/>
        </w:rPr>
        <w:t>一、带队检查工作人员范围</w:t>
      </w:r>
      <w:r>
        <w:rPr>
          <w:rFonts w:hint="eastAsia" w:ascii="黑体" w:hAnsi="黑体" w:eastAsia="黑体" w:cs="黑体"/>
          <w:szCs w:val="32"/>
        </w:rPr>
        <w:br w:type="textWrapping"/>
      </w:r>
      <w:r>
        <w:rPr>
          <w:rFonts w:hint="eastAsia" w:ascii="仿宋" w:hAnsi="仿宋" w:cs="仿宋"/>
          <w:szCs w:val="32"/>
        </w:rPr>
        <w:t>      局领导及相关工作人员。</w:t>
      </w:r>
    </w:p>
    <w:p>
      <w:pPr>
        <w:spacing w:line="360" w:lineRule="auto"/>
        <w:ind w:firstLine="640" w:firstLineChars="200"/>
        <w:rPr>
          <w:rFonts w:ascii="仿宋" w:hAnsi="仿宋" w:cs="仿宋"/>
          <w:szCs w:val="32"/>
        </w:rPr>
      </w:pPr>
      <w:r>
        <w:rPr>
          <w:rFonts w:hint="eastAsia" w:ascii="黑体" w:hAnsi="黑体" w:eastAsia="黑体" w:cs="黑体"/>
          <w:szCs w:val="32"/>
        </w:rPr>
        <w:t>二、工作频次</w:t>
      </w:r>
      <w:r>
        <w:rPr>
          <w:rFonts w:hint="eastAsia" w:ascii="黑体" w:hAnsi="黑体" w:eastAsia="黑体" w:cs="黑体"/>
          <w:szCs w:val="32"/>
        </w:rPr>
        <w:br w:type="textWrapping"/>
      </w:r>
      <w:r>
        <w:rPr>
          <w:rFonts w:hint="eastAsia" w:ascii="仿宋" w:hAnsi="仿宋" w:cs="仿宋"/>
          <w:szCs w:val="32"/>
        </w:rPr>
        <w:t xml:space="preserve">    按上级主管部门要求执行。</w:t>
      </w:r>
      <w:r>
        <w:rPr>
          <w:rFonts w:hint="eastAsia" w:ascii="仿宋" w:hAnsi="仿宋" w:cs="仿宋"/>
          <w:szCs w:val="32"/>
        </w:rPr>
        <w:br w:type="textWrapping"/>
      </w:r>
      <w:r>
        <w:rPr>
          <w:rFonts w:hint="eastAsia" w:ascii="仿宋" w:hAnsi="仿宋" w:cs="仿宋"/>
          <w:szCs w:val="32"/>
        </w:rPr>
        <w:t xml:space="preserve">    </w:t>
      </w:r>
      <w:r>
        <w:rPr>
          <w:rFonts w:hint="eastAsia" w:ascii="黑体" w:hAnsi="黑体" w:eastAsia="黑体" w:cs="黑体"/>
          <w:szCs w:val="32"/>
        </w:rPr>
        <w:t>三、主要内容 </w:t>
      </w:r>
      <w:r>
        <w:rPr>
          <w:rFonts w:hint="eastAsia" w:ascii="黑体" w:hAnsi="黑体" w:eastAsia="黑体" w:cs="黑体"/>
          <w:szCs w:val="32"/>
        </w:rPr>
        <w:br w:type="textWrapping"/>
      </w:r>
      <w:r>
        <w:rPr>
          <w:rFonts w:hint="eastAsia" w:ascii="仿宋" w:hAnsi="仿宋" w:cs="仿宋"/>
          <w:szCs w:val="32"/>
        </w:rPr>
        <w:t xml:space="preserve">    1、对新区范围内建设工程安全生产监管职责的履行情况。</w:t>
      </w:r>
      <w:r>
        <w:rPr>
          <w:rFonts w:hint="eastAsia" w:ascii="仿宋" w:hAnsi="仿宋" w:cs="仿宋"/>
          <w:szCs w:val="32"/>
        </w:rPr>
        <w:br w:type="textWrapping"/>
      </w:r>
      <w:r>
        <w:rPr>
          <w:rFonts w:hint="eastAsia" w:ascii="仿宋" w:hAnsi="仿宋" w:cs="仿宋"/>
          <w:szCs w:val="32"/>
        </w:rPr>
        <w:t xml:space="preserve">    2、安全生产法律法规、安全生产工作会议等决策部署的贯彻落实情况。</w:t>
      </w:r>
      <w:r>
        <w:rPr>
          <w:rFonts w:hint="eastAsia" w:ascii="仿宋" w:hAnsi="仿宋" w:cs="仿宋"/>
          <w:szCs w:val="32"/>
        </w:rPr>
        <w:br w:type="textWrapping"/>
      </w:r>
      <w:r>
        <w:rPr>
          <w:rFonts w:hint="eastAsia" w:ascii="仿宋" w:hAnsi="仿宋" w:cs="仿宋"/>
          <w:szCs w:val="32"/>
        </w:rPr>
        <w:t xml:space="preserve">    3、安全生产行政检查、隐患治理、重点部位安全生产专项整治开展情况。</w:t>
      </w:r>
    </w:p>
    <w:p>
      <w:pPr>
        <w:spacing w:line="360" w:lineRule="auto"/>
        <w:ind w:firstLine="640" w:firstLineChars="200"/>
        <w:rPr>
          <w:rFonts w:ascii="仿宋" w:hAnsi="仿宋" w:cs="仿宋"/>
          <w:szCs w:val="32"/>
        </w:rPr>
      </w:pPr>
      <w:r>
        <w:rPr>
          <w:rFonts w:hint="eastAsia" w:ascii="仿宋" w:hAnsi="仿宋" w:cs="仿宋"/>
          <w:szCs w:val="32"/>
        </w:rPr>
        <w:t>4、安全生产投入、监督管理队伍、安全生产长效机制的建立及运行情况。</w:t>
      </w:r>
    </w:p>
    <w:p>
      <w:pPr>
        <w:spacing w:line="360" w:lineRule="auto"/>
        <w:ind w:firstLine="640" w:firstLineChars="200"/>
        <w:rPr>
          <w:rFonts w:ascii="仿宋" w:hAnsi="仿宋" w:cs="仿宋"/>
          <w:szCs w:val="32"/>
        </w:rPr>
      </w:pPr>
      <w:r>
        <w:rPr>
          <w:rFonts w:hint="eastAsia" w:ascii="仿宋" w:hAnsi="仿宋" w:cs="仿宋"/>
          <w:szCs w:val="32"/>
        </w:rPr>
        <w:t>5、建筑施工、供水、燃气、公共设施、关键部位的监管情况。</w:t>
      </w:r>
    </w:p>
    <w:p>
      <w:pPr>
        <w:spacing w:line="360" w:lineRule="auto"/>
        <w:ind w:firstLine="640" w:firstLineChars="200"/>
        <w:rPr>
          <w:rFonts w:ascii="仿宋" w:hAnsi="仿宋" w:cs="仿宋"/>
          <w:szCs w:val="32"/>
        </w:rPr>
      </w:pPr>
      <w:r>
        <w:rPr>
          <w:rFonts w:hint="eastAsia" w:ascii="黑体" w:hAnsi="黑体" w:eastAsia="黑体" w:cs="黑体"/>
          <w:szCs w:val="32"/>
        </w:rPr>
        <w:t>四、工作要求</w:t>
      </w:r>
      <w:r>
        <w:rPr>
          <w:rFonts w:hint="eastAsia" w:ascii="黑体" w:hAnsi="黑体" w:eastAsia="黑体" w:cs="黑体"/>
          <w:szCs w:val="32"/>
        </w:rPr>
        <w:br w:type="textWrapping"/>
      </w:r>
      <w:r>
        <w:rPr>
          <w:rFonts w:hint="eastAsia" w:ascii="仿宋" w:hAnsi="仿宋" w:cs="仿宋"/>
          <w:szCs w:val="32"/>
        </w:rPr>
        <w:t xml:space="preserve">    1、规范检查方式。必须依法依规及上级部门要求进行相关安全生产检查，检查人员2名以上。</w:t>
      </w:r>
      <w:r>
        <w:rPr>
          <w:rFonts w:hint="eastAsia" w:ascii="仿宋" w:hAnsi="仿宋" w:cs="仿宋"/>
          <w:szCs w:val="32"/>
        </w:rPr>
        <w:br w:type="textWrapping"/>
      </w:r>
      <w:r>
        <w:rPr>
          <w:rFonts w:hint="eastAsia" w:ascii="仿宋" w:hAnsi="仿宋" w:cs="仿宋"/>
          <w:szCs w:val="32"/>
        </w:rPr>
        <w:t xml:space="preserve">    2、严格检查程序。检查做到有方案、有重点、有记录、有总结、有措施、有跟踪。对检查发现的问题和隐患及重大事故隐患要督促严格按照整改措施、责任、资金、时限和预案的要求进行整改，并制定专人跟踪督促整改到位。</w:t>
      </w:r>
      <w:r>
        <w:rPr>
          <w:rFonts w:hint="eastAsia" w:ascii="仿宋" w:hAnsi="仿宋" w:cs="仿宋"/>
          <w:szCs w:val="32"/>
        </w:rPr>
        <w:br w:type="textWrapping"/>
      </w:r>
      <w:r>
        <w:rPr>
          <w:rFonts w:hint="eastAsia" w:ascii="仿宋" w:hAnsi="仿宋" w:cs="仿宋"/>
          <w:szCs w:val="32"/>
        </w:rPr>
        <w:t xml:space="preserve">    3、强化检查责任。坚持“谁检查、谁负责”、“谁督办、谁负责”。对安全生产检查走过场、搞形式的，要通报批评，发生事故的要倒查责任。现场检查时，不得有倾向性地选择特定企业；不得降低检查标准；不得瞒报漏报检查情况，确保公正。</w:t>
      </w:r>
      <w:r>
        <w:rPr>
          <w:rFonts w:hint="eastAsia" w:ascii="仿宋" w:hAnsi="仿宋" w:cs="仿宋"/>
          <w:szCs w:val="32"/>
        </w:rPr>
        <w:br w:type="textWrapping"/>
      </w:r>
      <w:r>
        <w:rPr>
          <w:rFonts w:hint="eastAsia" w:ascii="仿宋" w:hAnsi="仿宋" w:cs="仿宋"/>
          <w:szCs w:val="32"/>
        </w:rPr>
        <w:t xml:space="preserve">    4、检查情况报送。对检查建设工程名称、现场数量、内容要完整、详实进行准确记录；排查隐患情况要详细具体，现场整改和限期整改的隐患数据要准确，能现场整改的要立即整改，不能现场整改的，要上报市住建局进行相关处理；隐患整改和复查要明确责任人，检查及整改落实情况。</w:t>
      </w:r>
    </w:p>
    <w:p>
      <w:pPr>
        <w:spacing w:line="580" w:lineRule="exact"/>
        <w:ind w:firstLine="640" w:firstLineChars="200"/>
        <w:rPr>
          <w:rFonts w:ascii="仿宋" w:hAnsi="仿宋" w:cs="仿宋"/>
          <w:szCs w:val="32"/>
        </w:rPr>
      </w:pPr>
    </w:p>
    <w:p>
      <w:pPr>
        <w:spacing w:line="580" w:lineRule="exact"/>
        <w:ind w:firstLine="640" w:firstLineChars="200"/>
        <w:rPr>
          <w:rFonts w:ascii="仿宋" w:hAnsi="仿宋" w:cs="仿宋"/>
          <w:szCs w:val="32"/>
        </w:rPr>
      </w:pPr>
    </w:p>
    <w:p>
      <w:pPr>
        <w:spacing w:line="580" w:lineRule="exact"/>
        <w:ind w:firstLine="640" w:firstLineChars="200"/>
        <w:rPr>
          <w:rFonts w:ascii="仿宋" w:hAnsi="仿宋" w:cs="仿宋"/>
          <w:szCs w:val="32"/>
        </w:rPr>
      </w:pPr>
    </w:p>
    <w:p>
      <w:pPr>
        <w:spacing w:line="580" w:lineRule="exact"/>
        <w:ind w:firstLine="640" w:firstLineChars="200"/>
        <w:rPr>
          <w:rFonts w:ascii="仿宋" w:hAnsi="仿宋" w:cs="仿宋"/>
          <w:szCs w:val="32"/>
        </w:rPr>
      </w:pPr>
    </w:p>
    <w:p>
      <w:pPr>
        <w:spacing w:line="580" w:lineRule="exact"/>
        <w:ind w:firstLine="640" w:firstLineChars="200"/>
        <w:rPr>
          <w:rFonts w:ascii="仿宋" w:hAnsi="仿宋" w:cs="仿宋"/>
          <w:szCs w:val="32"/>
        </w:rPr>
      </w:pPr>
    </w:p>
    <w:p>
      <w:pPr>
        <w:spacing w:line="580" w:lineRule="exact"/>
        <w:ind w:firstLine="640" w:firstLineChars="200"/>
        <w:rPr>
          <w:rFonts w:ascii="仿宋" w:hAnsi="仿宋" w:cs="仿宋"/>
          <w:szCs w:val="32"/>
        </w:rPr>
      </w:pPr>
    </w:p>
    <w:p>
      <w:pPr>
        <w:spacing w:line="580" w:lineRule="exact"/>
        <w:ind w:firstLine="640" w:firstLineChars="200"/>
        <w:rPr>
          <w:rFonts w:ascii="仿宋" w:hAnsi="仿宋" w:cs="仿宋"/>
          <w:szCs w:val="32"/>
        </w:rPr>
      </w:pPr>
    </w:p>
    <w:p>
      <w:pPr>
        <w:spacing w:line="580" w:lineRule="exact"/>
        <w:ind w:firstLine="640" w:firstLineChars="200"/>
        <w:rPr>
          <w:rFonts w:ascii="仿宋" w:hAnsi="仿宋" w:cs="仿宋"/>
          <w:szCs w:val="32"/>
        </w:rPr>
      </w:pPr>
    </w:p>
    <w:p>
      <w:pPr>
        <w:ind w:firstLine="320" w:firstLineChars="100"/>
      </w:pPr>
    </w:p>
    <w:p>
      <w:pPr>
        <w:ind w:firstLine="321" w:firstLineChars="100"/>
        <w:jc w:val="center"/>
        <w:rPr>
          <w:b/>
          <w:bCs/>
        </w:rPr>
      </w:pPr>
      <w:r>
        <w:rPr>
          <w:rFonts w:hint="eastAsia"/>
          <w:b/>
          <w:bCs/>
        </w:rPr>
        <w:t>白城市生态新区建设局行政权力运行流程图</w:t>
      </w:r>
    </w:p>
    <w:p>
      <w:pPr>
        <w:jc w:val="center"/>
        <w:rPr>
          <w:b/>
          <w:bCs/>
          <w:szCs w:val="36"/>
        </w:rPr>
      </w:pPr>
      <w:r>
        <w:rPr>
          <w:rFonts w:hint="eastAsia"/>
          <w:b/>
          <w:bCs/>
        </w:rPr>
        <w:t>建设工程安全生产检查</w:t>
      </w:r>
    </w:p>
    <w:p>
      <w:pPr>
        <w:jc w:val="center"/>
        <w:rPr>
          <w:b/>
          <w:bCs/>
          <w:sz w:val="36"/>
          <w:szCs w:val="36"/>
        </w:rPr>
      </w:pPr>
      <w:r>
        <w:rPr>
          <w:sz w:val="36"/>
        </w:rPr>
        <mc:AlternateContent>
          <mc:Choice Requires="wps">
            <w:drawing>
              <wp:anchor distT="0" distB="0" distL="114300" distR="114300" simplePos="0" relativeHeight="251718656" behindDoc="0" locked="0" layoutInCell="1" allowOverlap="1">
                <wp:simplePos x="0" y="0"/>
                <wp:positionH relativeFrom="column">
                  <wp:posOffset>1288415</wp:posOffset>
                </wp:positionH>
                <wp:positionV relativeFrom="paragraph">
                  <wp:posOffset>367030</wp:posOffset>
                </wp:positionV>
                <wp:extent cx="1592580" cy="556260"/>
                <wp:effectExtent l="6350" t="6350" r="20320" b="8890"/>
                <wp:wrapNone/>
                <wp:docPr id="104" name="圆角矩形 104"/>
                <wp:cNvGraphicFramePr/>
                <a:graphic xmlns:a="http://schemas.openxmlformats.org/drawingml/2006/main">
                  <a:graphicData uri="http://schemas.microsoft.com/office/word/2010/wordprocessingShape">
                    <wps:wsp>
                      <wps:cNvSpPr/>
                      <wps:spPr>
                        <a:xfrm>
                          <a:off x="2431415" y="2083435"/>
                          <a:ext cx="1592580" cy="5562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2"/>
                                <w:szCs w:val="20"/>
                              </w:rPr>
                            </w:pPr>
                            <w:r>
                              <w:rPr>
                                <w:rFonts w:hint="eastAsia"/>
                                <w:sz w:val="22"/>
                                <w:szCs w:val="20"/>
                              </w:rPr>
                              <w:t>建筑工程安全生产施工检查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45pt;margin-top:28.9pt;height:43.8pt;width:125.4pt;z-index:251718656;v-text-anchor:middle;mso-width-relative:page;mso-height-relative:page;" fillcolor="#FFFFFF [3201]" filled="t" stroked="t" coordsize="21600,21600" arcsize="0.166666666666667" o:gfxdata="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L&#10;P2j91wAAAAoBAAAPAAAAAAAAAAEAIAAAACIAAABkcnMvZG93bnJldi54bWxQSwECFAAUAAAACACH&#10;TuJA/5HypZcCAAAaBQAADgAAAAAAAAABACAAAAAmAQAAZHJzL2Uyb0RvYy54bWxQSwUGAAAAAAYA&#10;BgBZAQAALwYAAAAA&#10;">
                <v:fill on="t" focussize="0,0"/>
                <v:stroke weight="1pt" color="#000000 [3213]" miterlimit="8" joinstyle="miter"/>
                <v:imagedata o:title=""/>
                <o:lock v:ext="edit" aspectratio="f"/>
                <v:textbox>
                  <w:txbxContent>
                    <w:p>
                      <w:pPr>
                        <w:jc w:val="center"/>
                        <w:rPr>
                          <w:sz w:val="22"/>
                          <w:szCs w:val="20"/>
                        </w:rPr>
                      </w:pPr>
                      <w:r>
                        <w:rPr>
                          <w:rFonts w:hint="eastAsia"/>
                          <w:sz w:val="22"/>
                          <w:szCs w:val="20"/>
                        </w:rPr>
                        <w:t>建筑工程安全生产施工检查</w:t>
                      </w:r>
                    </w:p>
                  </w:txbxContent>
                </v:textbox>
              </v:roundrect>
            </w:pict>
          </mc:Fallback>
        </mc:AlternateContent>
      </w:r>
      <w:r>
        <w:rPr>
          <w:sz w:val="36"/>
        </w:rPr>
        <mc:AlternateContent>
          <mc:Choice Requires="wps">
            <w:drawing>
              <wp:anchor distT="0" distB="0" distL="114300" distR="114300" simplePos="0" relativeHeight="251721728" behindDoc="0" locked="0" layoutInCell="1" allowOverlap="1">
                <wp:simplePos x="0" y="0"/>
                <wp:positionH relativeFrom="column">
                  <wp:posOffset>3573780</wp:posOffset>
                </wp:positionH>
                <wp:positionV relativeFrom="paragraph">
                  <wp:posOffset>1001395</wp:posOffset>
                </wp:positionV>
                <wp:extent cx="2298700" cy="1697355"/>
                <wp:effectExtent l="6350" t="6350" r="19050" b="10795"/>
                <wp:wrapNone/>
                <wp:docPr id="84" name="圆角矩形 84"/>
                <wp:cNvGraphicFramePr/>
                <a:graphic xmlns:a="http://schemas.openxmlformats.org/drawingml/2006/main">
                  <a:graphicData uri="http://schemas.microsoft.com/office/word/2010/wordprocessingShape">
                    <wps:wsp>
                      <wps:cNvSpPr/>
                      <wps:spPr>
                        <a:xfrm>
                          <a:off x="0" y="0"/>
                          <a:ext cx="2298700" cy="169735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2"/>
                                <w:szCs w:val="20"/>
                              </w:rPr>
                            </w:pPr>
                            <w:r>
                              <w:rPr>
                                <w:rFonts w:hint="eastAsia"/>
                                <w:sz w:val="22"/>
                                <w:szCs w:val="20"/>
                              </w:rPr>
                              <w:t>《中华人民共和国建筑法》</w:t>
                            </w:r>
                          </w:p>
                          <w:p>
                            <w:pPr>
                              <w:jc w:val="center"/>
                              <w:rPr>
                                <w:sz w:val="22"/>
                                <w:szCs w:val="20"/>
                              </w:rPr>
                            </w:pPr>
                            <w:r>
                              <w:rPr>
                                <w:rFonts w:hint="eastAsia"/>
                                <w:sz w:val="22"/>
                                <w:szCs w:val="20"/>
                              </w:rPr>
                              <w:t>《建设工程安全生产管理条例》</w:t>
                            </w:r>
                          </w:p>
                          <w:p>
                            <w:pPr>
                              <w:jc w:val="center"/>
                              <w:rPr>
                                <w:sz w:val="22"/>
                                <w:szCs w:val="20"/>
                              </w:rPr>
                            </w:pPr>
                            <w:r>
                              <w:rPr>
                                <w:rFonts w:hint="eastAsia"/>
                                <w:sz w:val="22"/>
                                <w:szCs w:val="20"/>
                              </w:rPr>
                              <w:t>《中华人民共和国安全生产法》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81.4pt;margin-top:78.85pt;height:133.65pt;width:181pt;z-index:251721728;v-text-anchor:middle;mso-width-relative:page;mso-height-relative:page;" fillcolor="#FFFFFF [3201]" filled="t" stroked="t" coordsize="21600,21600" arcsize="0.166666666666667" o:gfxdata="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z67/xNgAAAALAQAADwAAAAAA&#10;AAABACAAAAAiAAAAZHJzL2Rvd25yZXYueG1sUEsBAhQAFAAAAAgAh07iQAqZ+xqFAgAADQUAAA4A&#10;AAAAAAAAAQAgAAAAJwEAAGRycy9lMm9Eb2MueG1sUEsFBgAAAAAGAAYAWQEAAB4GAAAAAA==&#10;">
                <v:fill on="t" focussize="0,0"/>
                <v:stroke weight="1pt" color="#000000 [3213]" miterlimit="8" joinstyle="miter"/>
                <v:imagedata o:title=""/>
                <o:lock v:ext="edit" aspectratio="f"/>
                <v:textbox>
                  <w:txbxContent>
                    <w:p>
                      <w:pPr>
                        <w:jc w:val="center"/>
                        <w:rPr>
                          <w:sz w:val="22"/>
                          <w:szCs w:val="20"/>
                        </w:rPr>
                      </w:pPr>
                      <w:r>
                        <w:rPr>
                          <w:rFonts w:hint="eastAsia"/>
                          <w:sz w:val="22"/>
                          <w:szCs w:val="20"/>
                        </w:rPr>
                        <w:t>《中华人民共和国建筑法》</w:t>
                      </w:r>
                    </w:p>
                    <w:p>
                      <w:pPr>
                        <w:jc w:val="center"/>
                        <w:rPr>
                          <w:sz w:val="22"/>
                          <w:szCs w:val="20"/>
                        </w:rPr>
                      </w:pPr>
                      <w:r>
                        <w:rPr>
                          <w:rFonts w:hint="eastAsia"/>
                          <w:sz w:val="22"/>
                          <w:szCs w:val="20"/>
                        </w:rPr>
                        <w:t>《建设工程安全生产管理条例》</w:t>
                      </w:r>
                    </w:p>
                    <w:p>
                      <w:pPr>
                        <w:jc w:val="center"/>
                        <w:rPr>
                          <w:sz w:val="22"/>
                          <w:szCs w:val="20"/>
                        </w:rPr>
                      </w:pPr>
                      <w:r>
                        <w:rPr>
                          <w:rFonts w:hint="eastAsia"/>
                          <w:sz w:val="22"/>
                          <w:szCs w:val="20"/>
                        </w:rPr>
                        <w:t>《中华人民共和国安全生产法》</w:t>
                      </w:r>
                    </w:p>
                  </w:txbxContent>
                </v:textbox>
              </v:roundrect>
            </w:pict>
          </mc:Fallback>
        </mc:AlternateContent>
      </w:r>
      <w:r>
        <w:rPr>
          <w:sz w:val="36"/>
        </w:rPr>
        <mc:AlternateContent>
          <mc:Choice Requires="wps">
            <w:drawing>
              <wp:anchor distT="0" distB="0" distL="114300" distR="114300" simplePos="0" relativeHeight="251739136" behindDoc="0" locked="0" layoutInCell="1" allowOverlap="1">
                <wp:simplePos x="0" y="0"/>
                <wp:positionH relativeFrom="column">
                  <wp:posOffset>-45085</wp:posOffset>
                </wp:positionH>
                <wp:positionV relativeFrom="paragraph">
                  <wp:posOffset>6884035</wp:posOffset>
                </wp:positionV>
                <wp:extent cx="2118360" cy="556260"/>
                <wp:effectExtent l="0" t="0" r="15240" b="15240"/>
                <wp:wrapNone/>
                <wp:docPr id="85" name="圆角矩形 85"/>
                <wp:cNvGraphicFramePr/>
                <a:graphic xmlns:a="http://schemas.openxmlformats.org/drawingml/2006/main">
                  <a:graphicData uri="http://schemas.microsoft.com/office/word/2010/wordprocessingShape">
                    <wps:wsp>
                      <wps:cNvSpPr/>
                      <wps:spPr>
                        <a:xfrm>
                          <a:off x="0" y="0"/>
                          <a:ext cx="2118360" cy="556260"/>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eastAsiaTheme="minorEastAsia"/>
                              </w:rPr>
                            </w:pPr>
                            <w:r>
                              <w:rPr>
                                <w:rFonts w:hint="eastAsia"/>
                                <w:sz w:val="22"/>
                                <w:szCs w:val="20"/>
                              </w:rPr>
                              <w:t>（承诺时限：3个工作日）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55pt;margin-top:542.05pt;height:43.8pt;width:166.8pt;z-index:251739136;v-text-anchor:middle;mso-width-relative:page;mso-height-relative:page;" fillcolor="#FFFFFF [3201]" filled="t" stroked="f" coordsize="21600,21600" arcsize="0.166666666666667" o:gfxdata="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oD9/3ZAAAADAEAAA8AAAAAAAAA&#10;AQAgAAAAIgAAAGRycy9kb3ducmV2LnhtbFBLAQIUABQAAAAIAIdO4kBDZwUdggIAAOMEAAAOAAAA&#10;AAAAAAEAIAAAACgBAABkcnMvZTJvRG9jLnhtbFBLBQYAAAAABgAGAFkBAAAcBgAAAAA=&#10;">
                <v:fill on="t" focussize="0,0"/>
                <v:stroke on="f" weight="1pt" miterlimit="8" joinstyle="miter"/>
                <v:imagedata o:title=""/>
                <o:lock v:ext="edit" aspectratio="f"/>
                <v:textbox>
                  <w:txbxContent>
                    <w:p>
                      <w:pPr>
                        <w:jc w:val="center"/>
                        <w:rPr>
                          <w:rFonts w:eastAsiaTheme="minorEastAsia"/>
                        </w:rPr>
                      </w:pPr>
                      <w:r>
                        <w:rPr>
                          <w:rFonts w:hint="eastAsia"/>
                          <w:sz w:val="22"/>
                          <w:szCs w:val="20"/>
                        </w:rPr>
                        <w:t>（承诺时限：3个工作日）</w:t>
                      </w:r>
                    </w:p>
                  </w:txbxContent>
                </v:textbox>
              </v:roundrect>
            </w:pict>
          </mc:Fallback>
        </mc:AlternateContent>
      </w:r>
      <w:r>
        <w:rPr>
          <w:sz w:val="36"/>
        </w:rPr>
        <mc:AlternateContent>
          <mc:Choice Requires="wps">
            <w:drawing>
              <wp:anchor distT="0" distB="0" distL="114300" distR="114300" simplePos="0" relativeHeight="251738112" behindDoc="0" locked="0" layoutInCell="1" allowOverlap="1">
                <wp:simplePos x="0" y="0"/>
                <wp:positionH relativeFrom="column">
                  <wp:posOffset>-67945</wp:posOffset>
                </wp:positionH>
                <wp:positionV relativeFrom="paragraph">
                  <wp:posOffset>5506720</wp:posOffset>
                </wp:positionV>
                <wp:extent cx="1310640" cy="7620"/>
                <wp:effectExtent l="0" t="48895" r="3810" b="57785"/>
                <wp:wrapNone/>
                <wp:docPr id="86" name="直接箭头连接符 86"/>
                <wp:cNvGraphicFramePr/>
                <a:graphic xmlns:a="http://schemas.openxmlformats.org/drawingml/2006/main">
                  <a:graphicData uri="http://schemas.microsoft.com/office/word/2010/wordprocessingShape">
                    <wps:wsp>
                      <wps:cNvCnPr/>
                      <wps:spPr>
                        <a:xfrm flipV="1">
                          <a:off x="1075055" y="7213600"/>
                          <a:ext cx="1310640" cy="76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5.35pt;margin-top:433.6pt;height:0.6pt;width:103.2pt;z-index:251738112;mso-width-relative:page;mso-height-relative:page;" filled="f" stroked="t" coordsize="21600,21600" o:gfxdata="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2XgKsdkAAAALAQAADwAAAAAAAAABACAAAAAiAAAAZHJzL2Rvd25yZXYueG1sUEsBAhQAFAAAAAgA&#10;h07iQD1kAyckAgAACwQAAA4AAAAAAAAAAQAgAAAAKAEAAGRycy9lMm9Eb2MueG1sUEsFBgAAAAAG&#10;AAYAWQEAAL4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37088" behindDoc="0" locked="0" layoutInCell="1" allowOverlap="1">
                <wp:simplePos x="0" y="0"/>
                <wp:positionH relativeFrom="column">
                  <wp:posOffset>-67310</wp:posOffset>
                </wp:positionH>
                <wp:positionV relativeFrom="paragraph">
                  <wp:posOffset>4796790</wp:posOffset>
                </wp:positionV>
                <wp:extent cx="6985" cy="755650"/>
                <wp:effectExtent l="4445" t="0" r="7620" b="6350"/>
                <wp:wrapNone/>
                <wp:docPr id="87" name="直接连接符 87"/>
                <wp:cNvGraphicFramePr/>
                <a:graphic xmlns:a="http://schemas.openxmlformats.org/drawingml/2006/main">
                  <a:graphicData uri="http://schemas.microsoft.com/office/word/2010/wordprocessingShape">
                    <wps:wsp>
                      <wps:cNvCnPr/>
                      <wps:spPr>
                        <a:xfrm>
                          <a:off x="1075690" y="6503670"/>
                          <a:ext cx="6985" cy="755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3pt;margin-top:377.7pt;height:59.5pt;width:0.55pt;z-index:251737088;mso-width-relative:page;mso-height-relative:page;" filled="f" stroked="t" coordsize="21600,21600" o:gfxdata="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ybrEL2AAAAAoBAAAPAAAAAAAAAAEAIAAAACIAAABkcnMvZG93bnJldi54bWxQSwECFAAU&#10;AAAACACHTuJAQ5dPFfEBAADBAwAADgAAAAAAAAABACAAAAAnAQAAZHJzL2Uyb0RvYy54bWxQSwUG&#10;AAAAAAYABgBZAQAAigUAAAAA&#10;">
                <v:fill on="f" focussize="0,0"/>
                <v:stroke weight="0.5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1736064" behindDoc="0" locked="0" layoutInCell="1" allowOverlap="1">
                <wp:simplePos x="0" y="0"/>
                <wp:positionH relativeFrom="column">
                  <wp:posOffset>-60325</wp:posOffset>
                </wp:positionH>
                <wp:positionV relativeFrom="paragraph">
                  <wp:posOffset>3279775</wp:posOffset>
                </wp:positionV>
                <wp:extent cx="1318260" cy="0"/>
                <wp:effectExtent l="0" t="0" r="0" b="0"/>
                <wp:wrapNone/>
                <wp:docPr id="88" name="直接连接符 88"/>
                <wp:cNvGraphicFramePr/>
                <a:graphic xmlns:a="http://schemas.openxmlformats.org/drawingml/2006/main">
                  <a:graphicData uri="http://schemas.microsoft.com/office/word/2010/wordprocessingShape">
                    <wps:wsp>
                      <wps:cNvCnPr/>
                      <wps:spPr>
                        <a:xfrm>
                          <a:off x="1082675" y="4986655"/>
                          <a:ext cx="13182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75pt;margin-top:258.25pt;height:0pt;width:103.8pt;z-index:251736064;mso-width-relative:page;mso-height-relative:page;" filled="f" stroked="t" coordsize="21600,21600" o:gfxdata="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CNLP9YAAAAKAQAADwAAAAAAAAABACAAAAAiAAAAZHJzL2Rvd25yZXYueG1sUEsBAhQAFAAA&#10;AAgAh07iQC5R7RHxAQAAvwMAAA4AAAAAAAAAAQAgAAAAJQEAAGRycy9lMm9Eb2MueG1sUEsFBgAA&#10;AAAGAAYAWQEAAIgFAAAAAA==&#10;">
                <v:fill on="f" focussize="0,0"/>
                <v:stroke weight="0.5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1735040" behindDoc="0" locked="0" layoutInCell="1" allowOverlap="1">
                <wp:simplePos x="0" y="0"/>
                <wp:positionH relativeFrom="column">
                  <wp:posOffset>-67945</wp:posOffset>
                </wp:positionH>
                <wp:positionV relativeFrom="paragraph">
                  <wp:posOffset>3241675</wp:posOffset>
                </wp:positionV>
                <wp:extent cx="635" cy="518160"/>
                <wp:effectExtent l="4445" t="0" r="13970" b="15240"/>
                <wp:wrapNone/>
                <wp:docPr id="89" name="直接连接符 89"/>
                <wp:cNvGraphicFramePr/>
                <a:graphic xmlns:a="http://schemas.openxmlformats.org/drawingml/2006/main">
                  <a:graphicData uri="http://schemas.microsoft.com/office/word/2010/wordprocessingShape">
                    <wps:wsp>
                      <wps:cNvCnPr/>
                      <wps:spPr>
                        <a:xfrm>
                          <a:off x="1075055" y="4948555"/>
                          <a:ext cx="635" cy="518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35pt;margin-top:255.25pt;height:40.8pt;width:0.05pt;z-index:251735040;mso-width-relative:page;mso-height-relative:page;" filled="f" stroked="t" coordsize="21600,21600" o:gfxdata="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UCuktkAAAALAQAADwAAAAAAAAABACAAAAAiAAAAZHJzL2Rvd25yZXYueG1s&#10;UEsBAhQAFAAAAAgAh07iQBCIsbv3AQAAwAMAAA4AAAAAAAAAAQAgAAAAKAEAAGRycy9lMm9Eb2Mu&#10;eG1sUEsFBgAAAAAGAAYAWQEAAJEFAAAAAA==&#10;">
                <v:fill on="f" focussize="0,0"/>
                <v:stroke weight="0.5pt" color="#5B9BD5 [3204]" miterlimit="8" joinstyle="miter"/>
                <v:imagedata o:title=""/>
                <o:lock v:ext="edit" aspectratio="f"/>
              </v:line>
            </w:pict>
          </mc:Fallback>
        </mc:AlternateContent>
      </w:r>
      <w:r>
        <w:rPr>
          <w:sz w:val="36"/>
        </w:rPr>
        <mc:AlternateContent>
          <mc:Choice Requires="wps">
            <w:drawing>
              <wp:anchor distT="0" distB="0" distL="114300" distR="114300" simplePos="0" relativeHeight="251724800" behindDoc="0" locked="0" layoutInCell="1" allowOverlap="1">
                <wp:simplePos x="0" y="0"/>
                <wp:positionH relativeFrom="column">
                  <wp:posOffset>-586105</wp:posOffset>
                </wp:positionH>
                <wp:positionV relativeFrom="paragraph">
                  <wp:posOffset>3759835</wp:posOffset>
                </wp:positionV>
                <wp:extent cx="1037590" cy="1036955"/>
                <wp:effectExtent l="6350" t="6350" r="22860" b="23495"/>
                <wp:wrapNone/>
                <wp:docPr id="90" name="圆角矩形 90"/>
                <wp:cNvGraphicFramePr/>
                <a:graphic xmlns:a="http://schemas.openxmlformats.org/drawingml/2006/main">
                  <a:graphicData uri="http://schemas.microsoft.com/office/word/2010/wordprocessingShape">
                    <wps:wsp>
                      <wps:cNvSpPr/>
                      <wps:spPr>
                        <a:xfrm>
                          <a:off x="0" y="0"/>
                          <a:ext cx="1037590" cy="103695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2"/>
                                <w:szCs w:val="20"/>
                              </w:rPr>
                            </w:pPr>
                            <w:r>
                              <w:rPr>
                                <w:rFonts w:hint="eastAsia"/>
                                <w:sz w:val="22"/>
                                <w:szCs w:val="20"/>
                              </w:rPr>
                              <w:t>对建设领域企业安全生产检查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6.15pt;margin-top:296.05pt;height:81.65pt;width:81.7pt;z-index:251724800;v-text-anchor:middle;mso-width-relative:page;mso-height-relative:page;" fillcolor="#FFFFFF [3201]" filled="t" stroked="t" coordsize="21600,21600" arcsize="0.166666666666667" o:gfxdata="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4tM722AAAAAoBAAAPAAAAAAAA&#10;AAEAIAAAACIAAABkcnMvZG93bnJldi54bWxQSwECFAAUAAAACACHTuJA6Uc6j4QCAAANBQAADgAA&#10;AAAAAAABACAAAAAnAQAAZHJzL2Uyb0RvYy54bWxQSwUGAAAAAAYABgBZAQAAHQYAAAAA&#10;">
                <v:fill on="t" focussize="0,0"/>
                <v:stroke weight="1pt" color="#000000 [3213]" miterlimit="8" joinstyle="miter"/>
                <v:imagedata o:title=""/>
                <o:lock v:ext="edit" aspectratio="f"/>
                <v:textbox>
                  <w:txbxContent>
                    <w:p>
                      <w:pPr>
                        <w:jc w:val="center"/>
                        <w:rPr>
                          <w:sz w:val="22"/>
                          <w:szCs w:val="20"/>
                        </w:rPr>
                      </w:pPr>
                      <w:r>
                        <w:rPr>
                          <w:rFonts w:hint="eastAsia"/>
                          <w:sz w:val="22"/>
                          <w:szCs w:val="20"/>
                        </w:rPr>
                        <w:t>对建设领域企业安全生产检查</w:t>
                      </w:r>
                    </w:p>
                  </w:txbxContent>
                </v:textbox>
              </v:roundrect>
            </w:pict>
          </mc:Fallback>
        </mc:AlternateContent>
      </w:r>
      <w:r>
        <w:rPr>
          <w:sz w:val="36"/>
        </w:rPr>
        <mc:AlternateContent>
          <mc:Choice Requires="wps">
            <w:drawing>
              <wp:anchor distT="0" distB="0" distL="114300" distR="114300" simplePos="0" relativeHeight="251734016" behindDoc="0" locked="0" layoutInCell="1" allowOverlap="1">
                <wp:simplePos x="0" y="0"/>
                <wp:positionH relativeFrom="column">
                  <wp:posOffset>8255</wp:posOffset>
                </wp:positionH>
                <wp:positionV relativeFrom="paragraph">
                  <wp:posOffset>618490</wp:posOffset>
                </wp:positionV>
                <wp:extent cx="4445" cy="360045"/>
                <wp:effectExtent l="4445" t="0" r="10160" b="1905"/>
                <wp:wrapNone/>
                <wp:docPr id="91" name="直接连接符 91"/>
                <wp:cNvGraphicFramePr/>
                <a:graphic xmlns:a="http://schemas.openxmlformats.org/drawingml/2006/main">
                  <a:graphicData uri="http://schemas.microsoft.com/office/word/2010/wordprocessingShape">
                    <wps:wsp>
                      <wps:cNvCnPr/>
                      <wps:spPr>
                        <a:xfrm>
                          <a:off x="1151255" y="2325370"/>
                          <a:ext cx="4445" cy="360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65pt;margin-top:48.7pt;height:28.35pt;width:0.35pt;z-index:251734016;mso-width-relative:page;mso-height-relative:page;" filled="f" stroked="t" coordsize="21600,21600" o:gfxdata="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AEcktQAAAAGAQAADwAAAAAAAAABACAAAAAiAAAAZHJzL2Rvd25yZXYueG1sUEsBAhQAFAAA&#10;AAgAh07iQI+bBanzAQAAwQMAAA4AAAAAAAAAAQAgAAAAIwEAAGRycy9lMm9Eb2MueG1sUEsFBgAA&#10;AAAGAAYAWQEAAIgFAAAAAA==&#10;">
                <v:fill on="f" focussize="0,0"/>
                <v:stroke weight="0.5pt" color="#000000 [3200]" miterlimit="8" joinstyle="miter"/>
                <v:imagedata o:title=""/>
                <o:lock v:ext="edit" aspectratio="f"/>
              </v:line>
            </w:pict>
          </mc:Fallback>
        </mc:AlternateContent>
      </w:r>
      <w:r>
        <w:rPr>
          <w:sz w:val="36"/>
        </w:rPr>
        <mc:AlternateContent>
          <mc:Choice Requires="wps">
            <w:drawing>
              <wp:anchor distT="0" distB="0" distL="114300" distR="114300" simplePos="0" relativeHeight="251732992" behindDoc="0" locked="0" layoutInCell="1" allowOverlap="1">
                <wp:simplePos x="0" y="0"/>
                <wp:positionH relativeFrom="column">
                  <wp:posOffset>-14605</wp:posOffset>
                </wp:positionH>
                <wp:positionV relativeFrom="paragraph">
                  <wp:posOffset>618490</wp:posOffset>
                </wp:positionV>
                <wp:extent cx="1249680" cy="0"/>
                <wp:effectExtent l="0" t="48895" r="7620" b="65405"/>
                <wp:wrapNone/>
                <wp:docPr id="92" name="直接箭头连接符 92"/>
                <wp:cNvGraphicFramePr/>
                <a:graphic xmlns:a="http://schemas.openxmlformats.org/drawingml/2006/main">
                  <a:graphicData uri="http://schemas.microsoft.com/office/word/2010/wordprocessingShape">
                    <wps:wsp>
                      <wps:cNvCnPr/>
                      <wps:spPr>
                        <a:xfrm>
                          <a:off x="0" y="0"/>
                          <a:ext cx="124968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5pt;margin-top:48.7pt;height:0pt;width:98.4pt;z-index:251732992;mso-width-relative:page;mso-height-relative:page;" filled="f" stroked="t" coordsize="21600,21600" o:gfxdata="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vAjW91wAAAAgBAAAPAAAAAAAAAAEAIAAA&#10;ACIAAABkcnMvZG93bnJldi54bWxQSwECFAAUAAAACACHTuJAq5E9mg0CAADyAwAADgAAAAAAAAAB&#10;ACAAAAAmAQAAZHJzL2Uyb0RvYy54bWxQSwUGAAAAAAYABgBZAQAApQ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31968" behindDoc="0" locked="0" layoutInCell="1" allowOverlap="1">
                <wp:simplePos x="0" y="0"/>
                <wp:positionH relativeFrom="column">
                  <wp:posOffset>747395</wp:posOffset>
                </wp:positionH>
                <wp:positionV relativeFrom="paragraph">
                  <wp:posOffset>1746250</wp:posOffset>
                </wp:positionV>
                <wp:extent cx="464820" cy="0"/>
                <wp:effectExtent l="0" t="48895" r="11430" b="65405"/>
                <wp:wrapNone/>
                <wp:docPr id="93" name="直接箭头连接符 93"/>
                <wp:cNvGraphicFramePr/>
                <a:graphic xmlns:a="http://schemas.openxmlformats.org/drawingml/2006/main">
                  <a:graphicData uri="http://schemas.microsoft.com/office/word/2010/wordprocessingShape">
                    <wps:wsp>
                      <wps:cNvCnPr/>
                      <wps:spPr>
                        <a:xfrm>
                          <a:off x="0" y="0"/>
                          <a:ext cx="46482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58.85pt;margin-top:137.5pt;height:0pt;width:36.6pt;z-index:251731968;mso-width-relative:page;mso-height-relative:page;" filled="f" stroked="t" coordsize="21600,21600" o:gfxdata="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xJjCdgAAAALAQAADwAAAAAAAAABACAA&#10;AAAiAAAAZHJzL2Rvd25yZXYueG1sUEsBAhQAFAAAAAgAh07iQJAPQ1UNAgAA8QMAAA4AAAAAAAAA&#10;AQAgAAAAJwEAAGRycy9lMm9Eb2MueG1sUEsFBgAAAAAGAAYAWQEAAKY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20704" behindDoc="0" locked="0" layoutInCell="1" allowOverlap="1">
                <wp:simplePos x="0" y="0"/>
                <wp:positionH relativeFrom="column">
                  <wp:posOffset>-548005</wp:posOffset>
                </wp:positionH>
                <wp:positionV relativeFrom="paragraph">
                  <wp:posOffset>978535</wp:posOffset>
                </wp:positionV>
                <wp:extent cx="1120775" cy="1310005"/>
                <wp:effectExtent l="6350" t="6350" r="15875" b="17145"/>
                <wp:wrapNone/>
                <wp:docPr id="94" name="圆角矩形 94"/>
                <wp:cNvGraphicFramePr/>
                <a:graphic xmlns:a="http://schemas.openxmlformats.org/drawingml/2006/main">
                  <a:graphicData uri="http://schemas.microsoft.com/office/word/2010/wordprocessingShape">
                    <wps:wsp>
                      <wps:cNvSpPr/>
                      <wps:spPr>
                        <a:xfrm>
                          <a:off x="0" y="0"/>
                          <a:ext cx="1120775" cy="13100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2"/>
                                <w:szCs w:val="20"/>
                              </w:rPr>
                            </w:pPr>
                            <w:r>
                              <w:rPr>
                                <w:rFonts w:hint="eastAsia"/>
                                <w:sz w:val="22"/>
                                <w:szCs w:val="20"/>
                              </w:rPr>
                              <w:t>依据相关法律法规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3.15pt;margin-top:77.05pt;height:103.15pt;width:88.25pt;z-index:251720704;v-text-anchor:middle;mso-width-relative:page;mso-height-relative:page;" fillcolor="#FFFFFF [3201]" filled="t" stroked="t" coordsize="21600,21600" arcsize="0.166666666666667" o:gfxdata="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bNft7YAAAACgEAAA8A&#10;AAAAAAAAAQAgAAAAIgAAAGRycy9kb3ducmV2LnhtbFBLAQIUABQAAAAIAIdO4kDRw8RMiQIAAA0F&#10;AAAOAAAAAAAAAAEAIAAAACcBAABkcnMvZTJvRG9jLnhtbFBLBQYAAAAABgAGAFkBAAAiBgAAAAA=&#10;">
                <v:fill on="t" focussize="0,0"/>
                <v:stroke weight="1pt" color="#000000 [3213]" miterlimit="8" joinstyle="miter"/>
                <v:imagedata o:title=""/>
                <o:lock v:ext="edit" aspectratio="f"/>
                <v:textbox>
                  <w:txbxContent>
                    <w:p>
                      <w:pPr>
                        <w:jc w:val="center"/>
                        <w:rPr>
                          <w:sz w:val="22"/>
                          <w:szCs w:val="20"/>
                        </w:rPr>
                      </w:pPr>
                      <w:r>
                        <w:rPr>
                          <w:rFonts w:hint="eastAsia"/>
                          <w:sz w:val="22"/>
                          <w:szCs w:val="20"/>
                        </w:rPr>
                        <w:t>依据相关法律法规</w:t>
                      </w:r>
                    </w:p>
                  </w:txbxContent>
                </v:textbox>
              </v:roundrect>
            </w:pict>
          </mc:Fallback>
        </mc:AlternateContent>
      </w:r>
      <w:r>
        <w:rPr>
          <w:sz w:val="36"/>
        </w:rPr>
        <mc:AlternateContent>
          <mc:Choice Requires="wps">
            <w:drawing>
              <wp:anchor distT="0" distB="0" distL="114300" distR="114300" simplePos="0" relativeHeight="251730944" behindDoc="0" locked="0" layoutInCell="1" allowOverlap="1">
                <wp:simplePos x="0" y="0"/>
                <wp:positionH relativeFrom="column">
                  <wp:posOffset>3033395</wp:posOffset>
                </wp:positionH>
                <wp:positionV relativeFrom="paragraph">
                  <wp:posOffset>1769110</wp:posOffset>
                </wp:positionV>
                <wp:extent cx="464820" cy="0"/>
                <wp:effectExtent l="0" t="48895" r="11430" b="65405"/>
                <wp:wrapNone/>
                <wp:docPr id="95" name="直接箭头连接符 95"/>
                <wp:cNvGraphicFramePr/>
                <a:graphic xmlns:a="http://schemas.openxmlformats.org/drawingml/2006/main">
                  <a:graphicData uri="http://schemas.microsoft.com/office/word/2010/wordprocessingShape">
                    <wps:wsp>
                      <wps:cNvCnPr/>
                      <wps:spPr>
                        <a:xfrm>
                          <a:off x="4176395" y="3475990"/>
                          <a:ext cx="46482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8.85pt;margin-top:139.3pt;height:0pt;width:36.6pt;z-index:251730944;mso-width-relative:page;mso-height-relative:page;" filled="f" stroked="t" coordsize="21600,21600" o:gfxdata="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WRBX2QAAAAsB&#10;AAAPAAAAAAAAAAEAIAAAACIAAABkcnMvZG93bnJldi54bWxQSwECFAAUAAAACACHTuJAvSO47hoC&#10;AAD9AwAADgAAAAAAAAABACAAAAAoAQAAZHJzL2Uyb0RvYy54bWxQSwUGAAAAAAYABgBZAQAAtAUA&#10;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1729920" behindDoc="0" locked="0" layoutInCell="1" allowOverlap="1">
                <wp:simplePos x="0" y="0"/>
                <wp:positionH relativeFrom="column">
                  <wp:posOffset>1989455</wp:posOffset>
                </wp:positionH>
                <wp:positionV relativeFrom="paragraph">
                  <wp:posOffset>4756150</wp:posOffset>
                </wp:positionV>
                <wp:extent cx="75565" cy="358140"/>
                <wp:effectExtent l="15240" t="6350" r="23495" b="16510"/>
                <wp:wrapNone/>
                <wp:docPr id="96" name="下箭头 96"/>
                <wp:cNvGraphicFramePr/>
                <a:graphic xmlns:a="http://schemas.openxmlformats.org/drawingml/2006/main">
                  <a:graphicData uri="http://schemas.microsoft.com/office/word/2010/wordprocessingShape">
                    <wps:wsp>
                      <wps:cNvSpPr/>
                      <wps:spPr>
                        <a:xfrm>
                          <a:off x="0" y="0"/>
                          <a:ext cx="75565" cy="35814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56.65pt;margin-top:374.5pt;height:28.2pt;width:5.95pt;z-index:251729920;v-text-anchor:middle;mso-width-relative:page;mso-height-relative:page;" fillcolor="#FFFFFF [3201]" filled="t" stroked="t" coordsize="21600,21600" o:gfxdata="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GcdCf2QAAAAsBAAAPAAAAAAAAAAEAIAAAACIA&#10;AABkcnMvZG93bnJldi54bWxQSwECFAAUAAAACACHTuJABHdG9noCAAD8BAAADgAAAAAAAAABACAA&#10;AAAoAQAAZHJzL2Uyb0RvYy54bWxQSwUGAAAAAAYABgBZAQAAFAYAAAAA&#10;" adj="19322,5400">
                <v:fill on="t" focussize="0,0"/>
                <v:stroke weight="1pt" color="#000000 [3213]" miterlimit="8" joinstyle="miter"/>
                <v:imagedata o:title=""/>
                <o:lock v:ext="edit" aspectratio="f"/>
              </v:shape>
            </w:pict>
          </mc:Fallback>
        </mc:AlternateContent>
      </w:r>
      <w:r>
        <w:rPr>
          <w:sz w:val="36"/>
        </w:rPr>
        <mc:AlternateContent>
          <mc:Choice Requires="wps">
            <w:drawing>
              <wp:anchor distT="0" distB="0" distL="114300" distR="114300" simplePos="0" relativeHeight="251728896" behindDoc="0" locked="0" layoutInCell="1" allowOverlap="1">
                <wp:simplePos x="0" y="0"/>
                <wp:positionH relativeFrom="column">
                  <wp:posOffset>2004695</wp:posOffset>
                </wp:positionH>
                <wp:positionV relativeFrom="paragraph">
                  <wp:posOffset>3575050</wp:posOffset>
                </wp:positionV>
                <wp:extent cx="75565" cy="358140"/>
                <wp:effectExtent l="15240" t="6350" r="23495" b="16510"/>
                <wp:wrapNone/>
                <wp:docPr id="97" name="下箭头 97"/>
                <wp:cNvGraphicFramePr/>
                <a:graphic xmlns:a="http://schemas.openxmlformats.org/drawingml/2006/main">
                  <a:graphicData uri="http://schemas.microsoft.com/office/word/2010/wordprocessingShape">
                    <wps:wsp>
                      <wps:cNvSpPr/>
                      <wps:spPr>
                        <a:xfrm>
                          <a:off x="0" y="0"/>
                          <a:ext cx="75565" cy="35814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57.85pt;margin-top:281.5pt;height:28.2pt;width:5.95pt;z-index:251728896;v-text-anchor:middle;mso-width-relative:page;mso-height-relative:page;" fillcolor="#FFFFFF [3201]" filled="t" stroked="t" coordsize="21600,21600" o:gfxdata="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Tko0/2QAAAAsBAAAPAAAAAAAAAAEAIAAAACIA&#10;AABkcnMvZG93bnJldi54bWxQSwECFAAUAAAACACHTuJAlQFsfHoCAAD8BAAADgAAAAAAAAABACAA&#10;AAAoAQAAZHJzL2Uyb0RvYy54bWxQSwUGAAAAAAYABgBZAQAAFAYAAAAA&#10;" adj="19322,5400">
                <v:fill on="t" focussize="0,0"/>
                <v:stroke weight="1pt" color="#000000 [3213]" miterlimit="8" joinstyle="miter"/>
                <v:imagedata o:title=""/>
                <o:lock v:ext="edit" aspectratio="f"/>
              </v:shape>
            </w:pict>
          </mc:Fallback>
        </mc:AlternateContent>
      </w:r>
      <w:r>
        <w:rPr>
          <w:sz w:val="36"/>
        </w:rPr>
        <mc:AlternateContent>
          <mc:Choice Requires="wps">
            <w:drawing>
              <wp:anchor distT="0" distB="0" distL="114300" distR="114300" simplePos="0" relativeHeight="251727872" behindDoc="0" locked="0" layoutInCell="1" allowOverlap="1">
                <wp:simplePos x="0" y="0"/>
                <wp:positionH relativeFrom="column">
                  <wp:posOffset>2027555</wp:posOffset>
                </wp:positionH>
                <wp:positionV relativeFrom="paragraph">
                  <wp:posOffset>2218690</wp:posOffset>
                </wp:positionV>
                <wp:extent cx="75565" cy="358140"/>
                <wp:effectExtent l="15240" t="6350" r="23495" b="16510"/>
                <wp:wrapNone/>
                <wp:docPr id="98" name="下箭头 98"/>
                <wp:cNvGraphicFramePr/>
                <a:graphic xmlns:a="http://schemas.openxmlformats.org/drawingml/2006/main">
                  <a:graphicData uri="http://schemas.microsoft.com/office/word/2010/wordprocessingShape">
                    <wps:wsp>
                      <wps:cNvSpPr/>
                      <wps:spPr>
                        <a:xfrm>
                          <a:off x="0" y="0"/>
                          <a:ext cx="75565" cy="35814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59.65pt;margin-top:174.7pt;height:28.2pt;width:5.95pt;z-index:251727872;v-text-anchor:middle;mso-width-relative:page;mso-height-relative:page;" fillcolor="#FFFFFF [3201]" filled="t" stroked="t" coordsize="21600,21600" o:gfxdata="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4Af9g2QAAAAsBAAAPAAAAAAAAAAEAIAAAACIA&#10;AABkcnMvZG93bnJldi54bWxQSwECFAAUAAAACACHTuJA7u0s9noCAAD8BAAADgAAAAAAAAABACAA&#10;AAAoAQAAZHJzL2Uyb0RvYy54bWxQSwUGAAAAAAYABgBZAQAAFAYAAAAA&#10;" adj="19322,5400">
                <v:fill on="t" focussize="0,0"/>
                <v:stroke weight="1pt" color="#000000 [3213]" miterlimit="8" joinstyle="miter"/>
                <v:imagedata o:title=""/>
                <o:lock v:ext="edit" aspectratio="f"/>
              </v:shape>
            </w:pict>
          </mc:Fallback>
        </mc:AlternateContent>
      </w:r>
      <w:r>
        <w:rPr>
          <w:sz w:val="36"/>
        </w:rPr>
        <mc:AlternateContent>
          <mc:Choice Requires="wps">
            <w:drawing>
              <wp:anchor distT="0" distB="0" distL="114300" distR="114300" simplePos="0" relativeHeight="251726848" behindDoc="0" locked="0" layoutInCell="1" allowOverlap="1">
                <wp:simplePos x="0" y="0"/>
                <wp:positionH relativeFrom="column">
                  <wp:posOffset>2065655</wp:posOffset>
                </wp:positionH>
                <wp:positionV relativeFrom="paragraph">
                  <wp:posOffset>984250</wp:posOffset>
                </wp:positionV>
                <wp:extent cx="75565" cy="358140"/>
                <wp:effectExtent l="15240" t="6350" r="23495" b="16510"/>
                <wp:wrapNone/>
                <wp:docPr id="99" name="下箭头 99"/>
                <wp:cNvGraphicFramePr/>
                <a:graphic xmlns:a="http://schemas.openxmlformats.org/drawingml/2006/main">
                  <a:graphicData uri="http://schemas.microsoft.com/office/word/2010/wordprocessingShape">
                    <wps:wsp>
                      <wps:cNvSpPr/>
                      <wps:spPr>
                        <a:xfrm>
                          <a:off x="3208655" y="2691130"/>
                          <a:ext cx="75565" cy="35814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62.65pt;margin-top:77.5pt;height:28.2pt;width:5.95pt;z-index:251726848;v-text-anchor:middle;mso-width-relative:page;mso-height-relative:page;" fillcolor="#FFFFFF [3201]" filled="t" stroked="t" coordsize="21600,21600" o:gfxdata="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7CDz7XAAAACwEAAA8AAAAA&#10;AAAAAQAgAAAAIgAAAGRycy9kb3ducmV2LnhtbFBLAQIUABQAAAAIAIdO4kBYN9dphwIAAAgFAAAO&#10;AAAAAAAAAAEAIAAAACYBAABkcnMvZTJvRG9jLnhtbFBLBQYAAAAABgAGAFkBAAAfBgAAAAA=&#10;" adj="19322,5400">
                <v:fill on="t" focussize="0,0"/>
                <v:stroke weight="1pt" color="#000000 [3213]" miterlimit="8" joinstyle="miter"/>
                <v:imagedata o:title=""/>
                <o:lock v:ext="edit" aspectratio="f"/>
              </v:shape>
            </w:pict>
          </mc:Fallback>
        </mc:AlternateContent>
      </w:r>
      <w:r>
        <w:rPr>
          <w:sz w:val="36"/>
        </w:rPr>
        <mc:AlternateContent>
          <mc:Choice Requires="wps">
            <w:drawing>
              <wp:anchor distT="0" distB="0" distL="114300" distR="114300" simplePos="0" relativeHeight="251723776" behindDoc="0" locked="0" layoutInCell="1" allowOverlap="1">
                <wp:simplePos x="0" y="0"/>
                <wp:positionH relativeFrom="column">
                  <wp:posOffset>1250315</wp:posOffset>
                </wp:positionH>
                <wp:positionV relativeFrom="paragraph">
                  <wp:posOffset>4102735</wp:posOffset>
                </wp:positionV>
                <wp:extent cx="1592580" cy="556260"/>
                <wp:effectExtent l="6350" t="6350" r="20320" b="8890"/>
                <wp:wrapNone/>
                <wp:docPr id="100" name="圆角矩形 100"/>
                <wp:cNvGraphicFramePr/>
                <a:graphic xmlns:a="http://schemas.openxmlformats.org/drawingml/2006/main">
                  <a:graphicData uri="http://schemas.microsoft.com/office/word/2010/wordprocessingShape">
                    <wps:wsp>
                      <wps:cNvSpPr/>
                      <wps:spPr>
                        <a:xfrm>
                          <a:off x="0" y="0"/>
                          <a:ext cx="1592580" cy="5562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eastAsiaTheme="minorEastAsia"/>
                              </w:rPr>
                            </w:pPr>
                            <w:r>
                              <w:rPr>
                                <w:rFonts w:hint="eastAsia"/>
                                <w:sz w:val="22"/>
                                <w:szCs w:val="20"/>
                              </w:rPr>
                              <w:t>有违法、违规现象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8.45pt;margin-top:323.05pt;height:43.8pt;width:125.4pt;z-index:251723776;v-text-anchor:middle;mso-width-relative:page;mso-height-relative:page;" fillcolor="#FFFFFF [3201]" filled="t" stroked="t" coordsize="21600,21600" arcsize="0.166666666666667" o:gfxdata="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1TpRkdgAAAALAQAADwAA&#10;AAAAAAABACAAAAAiAAAAZHJzL2Rvd25yZXYueG1sUEsBAhQAFAAAAAgAh07iQAUH17WIAgAADgUA&#10;AA4AAAAAAAAAAQAgAAAAJwEAAGRycy9lMm9Eb2MueG1sUEsFBgAAAAAGAAYAWQEAACEGAAAAAA==&#10;">
                <v:fill on="t" focussize="0,0"/>
                <v:stroke weight="1pt" color="#000000 [3213]" miterlimit="8" joinstyle="miter"/>
                <v:imagedata o:title=""/>
                <o:lock v:ext="edit" aspectratio="f"/>
                <v:textbox>
                  <w:txbxContent>
                    <w:p>
                      <w:pPr>
                        <w:jc w:val="center"/>
                        <w:rPr>
                          <w:rFonts w:eastAsiaTheme="minorEastAsia"/>
                        </w:rPr>
                      </w:pPr>
                      <w:r>
                        <w:rPr>
                          <w:rFonts w:hint="eastAsia"/>
                          <w:sz w:val="22"/>
                          <w:szCs w:val="20"/>
                        </w:rPr>
                        <w:t>有违法、违规现象</w:t>
                      </w:r>
                    </w:p>
                  </w:txbxContent>
                </v:textbox>
              </v:roundrect>
            </w:pict>
          </mc:Fallback>
        </mc:AlternateContent>
      </w:r>
      <w:r>
        <w:rPr>
          <w:sz w:val="36"/>
        </w:rPr>
        <mc:AlternateContent>
          <mc:Choice Requires="wps">
            <w:drawing>
              <wp:anchor distT="0" distB="0" distL="114300" distR="114300" simplePos="0" relativeHeight="251725824" behindDoc="0" locked="0" layoutInCell="1" allowOverlap="1">
                <wp:simplePos x="0" y="0"/>
                <wp:positionH relativeFrom="column">
                  <wp:posOffset>1318895</wp:posOffset>
                </wp:positionH>
                <wp:positionV relativeFrom="paragraph">
                  <wp:posOffset>5192395</wp:posOffset>
                </wp:positionV>
                <wp:extent cx="1592580" cy="556260"/>
                <wp:effectExtent l="6350" t="6350" r="20320" b="8890"/>
                <wp:wrapNone/>
                <wp:docPr id="101" name="圆角矩形 101"/>
                <wp:cNvGraphicFramePr/>
                <a:graphic xmlns:a="http://schemas.openxmlformats.org/drawingml/2006/main">
                  <a:graphicData uri="http://schemas.microsoft.com/office/word/2010/wordprocessingShape">
                    <wps:wsp>
                      <wps:cNvSpPr/>
                      <wps:spPr>
                        <a:xfrm>
                          <a:off x="0" y="0"/>
                          <a:ext cx="1592580" cy="5562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2"/>
                                <w:szCs w:val="20"/>
                              </w:rPr>
                            </w:pPr>
                            <w:r>
                              <w:rPr>
                                <w:rFonts w:hint="eastAsia"/>
                                <w:sz w:val="22"/>
                                <w:szCs w:val="20"/>
                              </w:rPr>
                              <w:t>上报市住建局进行相关处理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3.85pt;margin-top:408.85pt;height:43.8pt;width:125.4pt;z-index:251725824;v-text-anchor:middle;mso-width-relative:page;mso-height-relative:page;" fillcolor="#FFFFFF [3201]" filled="t" stroked="t" coordsize="21600,21600" arcsize="0.166666666666667" o:gfxdata="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cL5eLdgAAAALAQAADwAA&#10;AAAAAAABACAAAAAiAAAAZHJzL2Rvd25yZXYueG1sUEsBAhQAFAAAAAgAh07iQPdCK42IAgAADgUA&#10;AA4AAAAAAAAAAQAgAAAAJwEAAGRycy9lMm9Eb2MueG1sUEsFBgAAAAAGAAYAWQEAACEGAAAAAA==&#10;">
                <v:fill on="t" focussize="0,0"/>
                <v:stroke weight="1pt" color="#000000 [3213]" miterlimit="8" joinstyle="miter"/>
                <v:imagedata o:title=""/>
                <o:lock v:ext="edit" aspectratio="f"/>
                <v:textbox>
                  <w:txbxContent>
                    <w:p>
                      <w:pPr>
                        <w:jc w:val="center"/>
                        <w:rPr>
                          <w:sz w:val="22"/>
                          <w:szCs w:val="20"/>
                        </w:rPr>
                      </w:pPr>
                      <w:r>
                        <w:rPr>
                          <w:rFonts w:hint="eastAsia"/>
                          <w:sz w:val="22"/>
                          <w:szCs w:val="20"/>
                        </w:rPr>
                        <w:t>上报市住建局进行相关处理</w:t>
                      </w:r>
                    </w:p>
                  </w:txbxContent>
                </v:textbox>
              </v:roundrect>
            </w:pict>
          </mc:Fallback>
        </mc:AlternateContent>
      </w:r>
      <w:r>
        <w:rPr>
          <w:sz w:val="36"/>
        </w:rPr>
        <mc:AlternateContent>
          <mc:Choice Requires="wps">
            <w:drawing>
              <wp:anchor distT="0" distB="0" distL="114300" distR="114300" simplePos="0" relativeHeight="251722752" behindDoc="0" locked="0" layoutInCell="1" allowOverlap="1">
                <wp:simplePos x="0" y="0"/>
                <wp:positionH relativeFrom="column">
                  <wp:posOffset>1288415</wp:posOffset>
                </wp:positionH>
                <wp:positionV relativeFrom="paragraph">
                  <wp:posOffset>2906395</wp:posOffset>
                </wp:positionV>
                <wp:extent cx="1592580" cy="556260"/>
                <wp:effectExtent l="6350" t="6350" r="20320" b="8890"/>
                <wp:wrapNone/>
                <wp:docPr id="102" name="圆角矩形 102"/>
                <wp:cNvGraphicFramePr/>
                <a:graphic xmlns:a="http://schemas.openxmlformats.org/drawingml/2006/main">
                  <a:graphicData uri="http://schemas.microsoft.com/office/word/2010/wordprocessingShape">
                    <wps:wsp>
                      <wps:cNvSpPr/>
                      <wps:spPr>
                        <a:xfrm>
                          <a:off x="0" y="0"/>
                          <a:ext cx="1592580" cy="5562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2"/>
                                <w:szCs w:val="20"/>
                              </w:rPr>
                            </w:pPr>
                            <w:r>
                              <w:rPr>
                                <w:rFonts w:hint="eastAsia"/>
                                <w:sz w:val="22"/>
                                <w:szCs w:val="20"/>
                              </w:rPr>
                              <w:t>检查内容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45pt;margin-top:228.85pt;height:43.8pt;width:125.4pt;z-index:251722752;v-text-anchor:middle;mso-width-relative:page;mso-height-relative:page;" fillcolor="#FFFFFF [3201]" filled="t" stroked="t" coordsize="21600,21600" arcsize="0.166666666666667" o:gfxdata="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Hse2x3YAAAACwEAAA8A&#10;AAAAAAAAAQAgAAAAIgAAAGRycy9kb3ducmV2LnhtbFBLAQIUABQAAAAIAIdO4kDhjC/EiQIAAA4F&#10;AAAOAAAAAAAAAAEAIAAAACcBAABkcnMvZTJvRG9jLnhtbFBLBQYAAAAABgAGAFkBAAAiBgAAAAA=&#10;">
                <v:fill on="t" focussize="0,0"/>
                <v:stroke weight="1pt" color="#000000 [3213]" miterlimit="8" joinstyle="miter"/>
                <v:imagedata o:title=""/>
                <o:lock v:ext="edit" aspectratio="f"/>
                <v:textbox>
                  <w:txbxContent>
                    <w:p>
                      <w:pPr>
                        <w:jc w:val="center"/>
                        <w:rPr>
                          <w:sz w:val="22"/>
                          <w:szCs w:val="20"/>
                        </w:rPr>
                      </w:pPr>
                      <w:r>
                        <w:rPr>
                          <w:rFonts w:hint="eastAsia"/>
                          <w:sz w:val="22"/>
                          <w:szCs w:val="20"/>
                        </w:rPr>
                        <w:t>检查内容</w:t>
                      </w:r>
                    </w:p>
                  </w:txbxContent>
                </v:textbox>
              </v:roundrect>
            </w:pict>
          </mc:Fallback>
        </mc:AlternateContent>
      </w:r>
      <w:r>
        <w:rPr>
          <w:sz w:val="36"/>
        </w:rPr>
        <mc:AlternateContent>
          <mc:Choice Requires="wps">
            <w:drawing>
              <wp:anchor distT="0" distB="0" distL="114300" distR="114300" simplePos="0" relativeHeight="251719680" behindDoc="0" locked="0" layoutInCell="1" allowOverlap="1">
                <wp:simplePos x="0" y="0"/>
                <wp:positionH relativeFrom="column">
                  <wp:posOffset>1288415</wp:posOffset>
                </wp:positionH>
                <wp:positionV relativeFrom="paragraph">
                  <wp:posOffset>1473835</wp:posOffset>
                </wp:positionV>
                <wp:extent cx="1592580" cy="556260"/>
                <wp:effectExtent l="6350" t="6350" r="20320" b="8890"/>
                <wp:wrapNone/>
                <wp:docPr id="103" name="圆角矩形 103"/>
                <wp:cNvGraphicFramePr/>
                <a:graphic xmlns:a="http://schemas.openxmlformats.org/drawingml/2006/main">
                  <a:graphicData uri="http://schemas.microsoft.com/office/word/2010/wordprocessingShape">
                    <wps:wsp>
                      <wps:cNvSpPr/>
                      <wps:spPr>
                        <a:xfrm>
                          <a:off x="0" y="0"/>
                          <a:ext cx="1592580" cy="5562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sz w:val="22"/>
                                <w:szCs w:val="20"/>
                              </w:rPr>
                            </w:pPr>
                            <w:r>
                              <w:rPr>
                                <w:rFonts w:hint="eastAsia"/>
                                <w:sz w:val="22"/>
                                <w:szCs w:val="20"/>
                              </w:rPr>
                              <w:t>建筑工程安全生产施工现场检查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45pt;margin-top:116.05pt;height:43.8pt;width:125.4pt;z-index:251719680;v-text-anchor:middle;mso-width-relative:page;mso-height-relative:page;" fillcolor="#FFFFFF [3201]" filled="t" stroked="t" coordsize="21600,21600" arcsize="0.166666666666667" o:gfxdata="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Z05OT2QAAAAsBAAAP&#10;AAAAAAAAAAEAIAAAACIAAABkcnMvZG93bnJldi54bWxQSwECFAAUAAAACACHTuJAE8nT/IkCAAAO&#10;BQAADgAAAAAAAAABACAAAAAoAQAAZHJzL2Uyb0RvYy54bWxQSwUGAAAAAAYABgBZAQAAIwYAAAAA&#10;">
                <v:fill on="t" focussize="0,0"/>
                <v:stroke weight="1pt" color="#000000 [3213]" miterlimit="8" joinstyle="miter"/>
                <v:imagedata o:title=""/>
                <o:lock v:ext="edit" aspectratio="f"/>
                <v:textbox>
                  <w:txbxContent>
                    <w:p>
                      <w:pPr>
                        <w:jc w:val="center"/>
                        <w:rPr>
                          <w:sz w:val="22"/>
                          <w:szCs w:val="20"/>
                        </w:rPr>
                      </w:pPr>
                      <w:r>
                        <w:rPr>
                          <w:rFonts w:hint="eastAsia"/>
                          <w:sz w:val="22"/>
                          <w:szCs w:val="20"/>
                        </w:rPr>
                        <w:t>建筑工程安全生产施工现场检查</w:t>
                      </w:r>
                    </w:p>
                  </w:txbxContent>
                </v:textbox>
              </v:roundrect>
            </w:pict>
          </mc:Fallback>
        </mc:AlternateContent>
      </w:r>
    </w:p>
    <w:p>
      <w:pPr>
        <w:spacing w:line="580" w:lineRule="exact"/>
        <w:ind w:firstLine="640" w:firstLineChars="200"/>
        <w:rPr>
          <w:rFonts w:ascii="仿宋" w:hAnsi="仿宋" w:cs="仿宋"/>
          <w:szCs w:val="32"/>
        </w:rPr>
      </w:pPr>
    </w:p>
    <w:p>
      <w:pPr>
        <w:spacing w:line="580" w:lineRule="exact"/>
        <w:ind w:firstLine="640" w:firstLineChars="200"/>
        <w:rPr>
          <w:rFonts w:ascii="仿宋" w:hAnsi="仿宋" w:cs="仿宋"/>
          <w:szCs w:val="32"/>
        </w:rPr>
      </w:pPr>
    </w:p>
    <w:p>
      <w:pPr>
        <w:spacing w:line="580" w:lineRule="exact"/>
        <w:ind w:firstLine="640" w:firstLineChars="200"/>
        <w:rPr>
          <w:rFonts w:ascii="仿宋" w:hAnsi="仿宋" w:cs="仿宋"/>
          <w:szCs w:val="32"/>
        </w:rPr>
      </w:pPr>
    </w:p>
    <w:p>
      <w:pPr>
        <w:spacing w:line="580" w:lineRule="exact"/>
        <w:ind w:firstLine="640" w:firstLineChars="200"/>
        <w:rPr>
          <w:rFonts w:ascii="仿宋" w:hAnsi="仿宋" w:cs="仿宋"/>
          <w:szCs w:val="32"/>
        </w:rPr>
      </w:pPr>
    </w:p>
    <w:p>
      <w:pPr>
        <w:spacing w:line="580" w:lineRule="exact"/>
        <w:ind w:firstLine="640" w:firstLineChars="200"/>
        <w:rPr>
          <w:rFonts w:ascii="仿宋" w:hAnsi="仿宋" w:cs="仿宋"/>
          <w:szCs w:val="32"/>
        </w:rPr>
      </w:pPr>
    </w:p>
    <w:p>
      <w:pPr>
        <w:spacing w:line="580" w:lineRule="exact"/>
        <w:ind w:firstLine="640" w:firstLineChars="200"/>
        <w:rPr>
          <w:rFonts w:ascii="仿宋" w:hAnsi="仿宋" w:cs="仿宋"/>
          <w:szCs w:val="32"/>
        </w:rPr>
      </w:pPr>
    </w:p>
    <w:p>
      <w:pPr>
        <w:spacing w:line="580" w:lineRule="exact"/>
        <w:ind w:firstLine="640" w:firstLineChars="200"/>
        <w:rPr>
          <w:rFonts w:ascii="仿宋" w:hAnsi="仿宋" w:cs="仿宋"/>
          <w:szCs w:val="32"/>
        </w:rPr>
      </w:pPr>
    </w:p>
    <w:p>
      <w:pPr>
        <w:spacing w:line="580" w:lineRule="exact"/>
        <w:ind w:firstLine="640" w:firstLineChars="200"/>
        <w:rPr>
          <w:rFonts w:ascii="仿宋" w:hAnsi="仿宋" w:cs="仿宋"/>
          <w:szCs w:val="32"/>
        </w:rPr>
      </w:pPr>
    </w:p>
    <w:p>
      <w:pPr>
        <w:spacing w:line="580" w:lineRule="exact"/>
        <w:ind w:firstLine="640" w:firstLineChars="200"/>
        <w:rPr>
          <w:rFonts w:ascii="仿宋" w:hAnsi="仿宋" w:cs="仿宋"/>
          <w:szCs w:val="32"/>
        </w:rPr>
      </w:pPr>
    </w:p>
    <w:p>
      <w:pPr>
        <w:spacing w:line="580" w:lineRule="exact"/>
        <w:ind w:firstLine="640" w:firstLineChars="200"/>
        <w:rPr>
          <w:rFonts w:ascii="仿宋" w:hAnsi="仿宋" w:cs="仿宋"/>
          <w:szCs w:val="32"/>
        </w:rPr>
      </w:pPr>
    </w:p>
    <w:p>
      <w:pPr>
        <w:spacing w:line="580" w:lineRule="exact"/>
        <w:ind w:firstLine="640" w:firstLineChars="200"/>
        <w:rPr>
          <w:rFonts w:ascii="仿宋" w:hAnsi="仿宋" w:cs="仿宋"/>
          <w:szCs w:val="32"/>
        </w:rPr>
      </w:pPr>
    </w:p>
    <w:p>
      <w:pPr>
        <w:spacing w:line="580" w:lineRule="exact"/>
        <w:ind w:firstLine="640" w:firstLineChars="200"/>
        <w:rPr>
          <w:rFonts w:ascii="仿宋" w:hAnsi="仿宋" w:cs="仿宋"/>
          <w:szCs w:val="32"/>
        </w:rPr>
      </w:pPr>
    </w:p>
    <w:p>
      <w:pPr>
        <w:spacing w:line="580" w:lineRule="exact"/>
        <w:ind w:firstLine="640" w:firstLineChars="200"/>
        <w:rPr>
          <w:rFonts w:ascii="仿宋" w:hAnsi="仿宋" w:cs="仿宋"/>
          <w:szCs w:val="32"/>
        </w:rPr>
      </w:pPr>
    </w:p>
    <w:p>
      <w:pPr>
        <w:spacing w:line="580" w:lineRule="exact"/>
        <w:ind w:firstLine="640" w:firstLineChars="200"/>
        <w:rPr>
          <w:rFonts w:ascii="仿宋" w:hAnsi="仿宋" w:cs="仿宋"/>
          <w:szCs w:val="32"/>
        </w:rPr>
      </w:pPr>
    </w:p>
    <w:p>
      <w:pPr>
        <w:spacing w:line="580" w:lineRule="exact"/>
        <w:ind w:firstLine="640" w:firstLineChars="200"/>
        <w:rPr>
          <w:rFonts w:ascii="仿宋" w:hAnsi="仿宋" w:cs="仿宋"/>
          <w:szCs w:val="32"/>
        </w:rPr>
      </w:pPr>
    </w:p>
    <w:p>
      <w:pPr>
        <w:spacing w:line="580" w:lineRule="exact"/>
        <w:ind w:firstLine="640" w:firstLineChars="200"/>
        <w:rPr>
          <w:rFonts w:ascii="仿宋" w:hAnsi="仿宋" w:cs="仿宋"/>
          <w:szCs w:val="32"/>
        </w:rPr>
      </w:pPr>
    </w:p>
    <w:p>
      <w:pPr>
        <w:spacing w:line="580" w:lineRule="exact"/>
        <w:ind w:firstLine="640" w:firstLineChars="200"/>
        <w:rPr>
          <w:rFonts w:ascii="仿宋" w:hAnsi="仿宋" w:cs="仿宋"/>
          <w:szCs w:val="32"/>
        </w:rPr>
      </w:pPr>
    </w:p>
    <w:p>
      <w:pPr>
        <w:spacing w:line="600" w:lineRule="exact"/>
        <w:rPr>
          <w:rFonts w:ascii="方正小标宋简体" w:eastAsia="方正小标宋简体"/>
          <w:sz w:val="44"/>
          <w:szCs w:val="44"/>
        </w:rPr>
      </w:pPr>
    </w:p>
    <w:p>
      <w:pPr>
        <w:pStyle w:val="2"/>
        <w:rPr>
          <w:rFonts w:ascii="方正小标宋简体" w:eastAsia="方正小标宋简体"/>
          <w:szCs w:val="44"/>
        </w:rPr>
      </w:pPr>
      <w:bookmarkStart w:id="364" w:name="_Toc2739"/>
      <w:r>
        <w:rPr>
          <w:rFonts w:hint="eastAsia"/>
        </w:rPr>
        <w:t>18、土地、房屋征收补偿工作制度</w:t>
      </w:r>
      <w:bookmarkEnd w:id="364"/>
    </w:p>
    <w:p>
      <w:pPr>
        <w:spacing w:line="360" w:lineRule="auto"/>
        <w:ind w:firstLine="640" w:firstLineChars="200"/>
        <w:rPr>
          <w:rFonts w:ascii="仿宋" w:hAnsi="仿宋" w:cs="仿宋"/>
          <w:szCs w:val="32"/>
        </w:rPr>
      </w:pPr>
      <w:r>
        <w:rPr>
          <w:rFonts w:hint="eastAsia" w:ascii="仿宋" w:hAnsi="仿宋" w:cs="仿宋"/>
          <w:szCs w:val="32"/>
        </w:rPr>
        <w:t>为全面规范土地、房屋征收补偿工作，维护公共利益、确保征收补偿双方利益不受损失，根据《国有土地上房屋征收与补偿条例》《吉林省国有土地上房屋征收与补偿办法》《吉林省土地管理条例》等规定，结合生态新区实际，制定本制度。</w:t>
      </w:r>
    </w:p>
    <w:p>
      <w:pPr>
        <w:numPr>
          <w:ilvl w:val="0"/>
          <w:numId w:val="6"/>
        </w:numPr>
        <w:spacing w:line="360" w:lineRule="auto"/>
        <w:ind w:firstLine="640" w:firstLineChars="200"/>
        <w:rPr>
          <w:rFonts w:ascii="仿宋" w:hAnsi="仿宋" w:cs="仿宋"/>
          <w:szCs w:val="32"/>
        </w:rPr>
      </w:pPr>
      <w:r>
        <w:rPr>
          <w:rFonts w:hint="eastAsia" w:ascii="仿宋" w:hAnsi="仿宋" w:cs="仿宋"/>
          <w:szCs w:val="32"/>
        </w:rPr>
        <w:t>根据新区项目规划，确定项目实施范围，上报新区党委会研究决定后由新区征收办组织实施土地、房屋征收工作。</w:t>
      </w:r>
    </w:p>
    <w:p>
      <w:pPr>
        <w:numPr>
          <w:ilvl w:val="0"/>
          <w:numId w:val="6"/>
        </w:numPr>
        <w:spacing w:line="360" w:lineRule="auto"/>
        <w:ind w:firstLine="640" w:firstLineChars="200"/>
        <w:rPr>
          <w:rFonts w:ascii="仿宋" w:hAnsi="仿宋" w:cs="仿宋"/>
          <w:szCs w:val="32"/>
        </w:rPr>
      </w:pPr>
      <w:r>
        <w:rPr>
          <w:rFonts w:hint="eastAsia" w:ascii="仿宋" w:hAnsi="仿宋" w:cs="仿宋"/>
          <w:szCs w:val="32"/>
        </w:rPr>
        <w:t>新区征收办和新区财政部门对征收范围内的土地和房屋的权属、区位、用途、建筑面积等情况组织调查登记，调查结果上报到市财政部门进行复核并予以公示。</w:t>
      </w:r>
    </w:p>
    <w:p>
      <w:pPr>
        <w:numPr>
          <w:ilvl w:val="0"/>
          <w:numId w:val="6"/>
        </w:numPr>
        <w:spacing w:line="360" w:lineRule="auto"/>
        <w:ind w:firstLine="640" w:firstLineChars="200"/>
        <w:rPr>
          <w:rFonts w:ascii="仿宋" w:hAnsi="仿宋" w:cs="仿宋"/>
          <w:szCs w:val="32"/>
        </w:rPr>
      </w:pPr>
      <w:r>
        <w:rPr>
          <w:rFonts w:hint="eastAsia" w:ascii="仿宋" w:hAnsi="仿宋" w:cs="仿宋"/>
          <w:szCs w:val="32"/>
        </w:rPr>
        <w:t>新区征收办拟定征收补偿方案上报洮北区政府，由洮北区政府组织论证通过后，报市政府审核，由市征收办代市政府出具审核意见，新区办公布征求意见和公众意见修改期满后，将征收补偿方案报市政府（市征收办）审核。洮北区政府协助新区办做出征收决定并公告。</w:t>
      </w:r>
    </w:p>
    <w:p>
      <w:pPr>
        <w:numPr>
          <w:ilvl w:val="0"/>
          <w:numId w:val="6"/>
        </w:numPr>
        <w:spacing w:line="360" w:lineRule="auto"/>
        <w:ind w:firstLine="640" w:firstLineChars="200"/>
        <w:rPr>
          <w:rFonts w:ascii="仿宋" w:hAnsi="仿宋" w:cs="仿宋"/>
          <w:szCs w:val="32"/>
        </w:rPr>
      </w:pPr>
      <w:r>
        <w:rPr>
          <w:rFonts w:hint="eastAsia" w:ascii="仿宋" w:hAnsi="仿宋" w:cs="仿宋"/>
          <w:szCs w:val="32"/>
        </w:rPr>
        <w:t>在征收决定发布前，新区办组织进行社会稳定风险评估，未经社会稳定风险评估和评估结论不可实施的，不得做出房屋征收决定。</w:t>
      </w:r>
    </w:p>
    <w:p>
      <w:pPr>
        <w:numPr>
          <w:ilvl w:val="0"/>
          <w:numId w:val="6"/>
        </w:numPr>
        <w:spacing w:line="360" w:lineRule="auto"/>
        <w:ind w:firstLine="640" w:firstLineChars="200"/>
        <w:rPr>
          <w:rFonts w:ascii="仿宋" w:hAnsi="仿宋" w:cs="仿宋"/>
          <w:szCs w:val="32"/>
        </w:rPr>
      </w:pPr>
      <w:r>
        <w:rPr>
          <w:rFonts w:hint="eastAsia" w:ascii="仿宋" w:hAnsi="仿宋" w:cs="仿宋"/>
          <w:szCs w:val="32"/>
        </w:rPr>
        <w:t>做出房屋征收决定前，征收补偿费用应当足额到位、专户存储、专款专用。</w:t>
      </w:r>
    </w:p>
    <w:p>
      <w:pPr>
        <w:spacing w:line="360" w:lineRule="auto"/>
        <w:ind w:firstLine="640" w:firstLineChars="200"/>
        <w:rPr>
          <w:rFonts w:ascii="仿宋" w:hAnsi="仿宋" w:cs="仿宋"/>
          <w:szCs w:val="32"/>
        </w:rPr>
      </w:pPr>
      <w:r>
        <w:rPr>
          <w:rFonts w:hint="eastAsia" w:ascii="仿宋" w:hAnsi="仿宋" w:cs="仿宋"/>
          <w:szCs w:val="32"/>
        </w:rPr>
        <w:t>第六条  征收补偿决定和公告发布后，对征收范围内涉及被征收人的土地、房屋及地上物进行评估和测绘并依法、依规进行征收。对达成一致意见的上报新区党委会通过，上报市财政部门同意后，与被征收人签订征收补偿协议。</w:t>
      </w:r>
    </w:p>
    <w:p>
      <w:pPr>
        <w:spacing w:line="360" w:lineRule="auto"/>
        <w:ind w:firstLine="640" w:firstLineChars="200"/>
        <w:rPr>
          <w:rFonts w:ascii="仿宋" w:hAnsi="仿宋" w:cs="仿宋"/>
          <w:szCs w:val="32"/>
        </w:rPr>
      </w:pPr>
      <w:r>
        <w:rPr>
          <w:rFonts w:hint="eastAsia" w:ascii="仿宋" w:hAnsi="仿宋" w:cs="仿宋"/>
          <w:szCs w:val="32"/>
        </w:rPr>
        <w:t>第七条  补偿可采取货币补偿和产权调换两种方式进行，补偿方式的选择由被征收人自行决定。</w:t>
      </w:r>
    </w:p>
    <w:p>
      <w:pPr>
        <w:spacing w:line="360" w:lineRule="auto"/>
        <w:ind w:firstLine="640" w:firstLineChars="200"/>
        <w:rPr>
          <w:rFonts w:ascii="仿宋" w:hAnsi="仿宋" w:cs="仿宋"/>
          <w:szCs w:val="32"/>
        </w:rPr>
      </w:pPr>
      <w:r>
        <w:rPr>
          <w:rFonts w:hint="eastAsia" w:ascii="仿宋" w:hAnsi="仿宋" w:cs="仿宋"/>
          <w:szCs w:val="32"/>
        </w:rPr>
        <w:t>第八条  被征收人选择货币补偿的，需由征收部门按照《吉林省国有土地上房屋征收与补偿办法》第三章征收评估的规定委托具有相应房地产评估资质的评估机构评估。被征收人对评估结果不认同，可申请复估。复估后仍不认同的，申请评估专家鉴定委员会进行鉴定。只有经市财政部门审核鉴定认可的评估结果才可以作为支付货币补偿的依据。</w:t>
      </w:r>
    </w:p>
    <w:p>
      <w:pPr>
        <w:spacing w:line="360" w:lineRule="auto"/>
        <w:ind w:firstLine="640" w:firstLineChars="200"/>
        <w:rPr>
          <w:rFonts w:ascii="仿宋" w:hAnsi="仿宋" w:cs="仿宋"/>
          <w:szCs w:val="32"/>
        </w:rPr>
      </w:pPr>
      <w:r>
        <w:rPr>
          <w:rFonts w:hint="eastAsia" w:ascii="仿宋" w:hAnsi="仿宋" w:cs="仿宋"/>
          <w:szCs w:val="32"/>
        </w:rPr>
        <w:t>第九条  被征收人选择产权调换的，根据该项目征收补偿方案规定计算的安置面积安置。</w:t>
      </w:r>
    </w:p>
    <w:p>
      <w:pPr>
        <w:spacing w:line="360" w:lineRule="auto"/>
        <w:ind w:firstLine="640" w:firstLineChars="200"/>
        <w:rPr>
          <w:rFonts w:ascii="仿宋" w:hAnsi="仿宋" w:cs="仿宋"/>
          <w:szCs w:val="32"/>
        </w:rPr>
      </w:pPr>
      <w:r>
        <w:rPr>
          <w:rFonts w:hint="eastAsia" w:ascii="仿宋" w:hAnsi="仿宋" w:cs="仿宋"/>
          <w:szCs w:val="32"/>
        </w:rPr>
        <w:t>第十条  无论选择货币补偿或产权调换，都必须严格依据测绘和鉴定结果进行，并严格按照该征收项目的征收补偿方案规定办法、标准实施补偿。</w:t>
      </w:r>
    </w:p>
    <w:p>
      <w:pPr>
        <w:spacing w:line="360" w:lineRule="auto"/>
        <w:ind w:firstLine="640" w:firstLineChars="200"/>
        <w:rPr>
          <w:rFonts w:ascii="仿宋" w:hAnsi="仿宋" w:cs="仿宋"/>
          <w:szCs w:val="32"/>
        </w:rPr>
      </w:pPr>
      <w:r>
        <w:rPr>
          <w:rFonts w:hint="eastAsia" w:ascii="仿宋" w:hAnsi="仿宋" w:cs="仿宋"/>
          <w:szCs w:val="32"/>
        </w:rPr>
        <w:t>第十一条 选择货币补偿的按所属项目计划范围报请市财政或市保障办申请专项资金，按协议约定期限支付补偿款。</w:t>
      </w:r>
    </w:p>
    <w:p>
      <w:pPr>
        <w:spacing w:line="360" w:lineRule="auto"/>
        <w:ind w:firstLine="640" w:firstLineChars="200"/>
        <w:rPr>
          <w:rFonts w:ascii="仿宋" w:hAnsi="仿宋" w:cs="仿宋"/>
          <w:szCs w:val="32"/>
        </w:rPr>
      </w:pPr>
      <w:r>
        <w:rPr>
          <w:rFonts w:hint="eastAsia" w:ascii="仿宋" w:hAnsi="仿宋" w:cs="仿宋"/>
          <w:szCs w:val="32"/>
        </w:rPr>
        <w:t>第十二条  选择产权调换确认工作程序</w:t>
      </w:r>
    </w:p>
    <w:p>
      <w:pPr>
        <w:spacing w:line="360" w:lineRule="auto"/>
        <w:ind w:firstLine="640" w:firstLineChars="200"/>
        <w:rPr>
          <w:rFonts w:ascii="仿宋" w:hAnsi="仿宋" w:cs="仿宋"/>
          <w:szCs w:val="32"/>
        </w:rPr>
      </w:pPr>
      <w:r>
        <w:rPr>
          <w:rFonts w:hint="eastAsia" w:ascii="仿宋" w:hAnsi="仿宋" w:cs="仿宋"/>
          <w:szCs w:val="32"/>
        </w:rPr>
        <w:t>（一）对产权主体明确的，根据房屋所有权证照、土地使用权证、建设工程规划许可证等证件或批准手续确定被征收人房屋的所有权人，房屋所有权人作为被征收人签订征收补偿协议。</w:t>
      </w:r>
    </w:p>
    <w:p>
      <w:pPr>
        <w:spacing w:line="360" w:lineRule="auto"/>
        <w:ind w:firstLine="640" w:firstLineChars="200"/>
        <w:rPr>
          <w:rFonts w:ascii="仿宋" w:hAnsi="仿宋" w:cs="仿宋"/>
          <w:szCs w:val="32"/>
        </w:rPr>
      </w:pPr>
      <w:r>
        <w:rPr>
          <w:rFonts w:hint="eastAsia" w:ascii="仿宋" w:hAnsi="仿宋" w:cs="仿宋"/>
          <w:szCs w:val="32"/>
        </w:rPr>
        <w:t>（二）被征收房屋所有权人不明确的，需根据房屋买卖协议、遗嘱以及街道、社区、乡镇、村民委员会提供的材料确定产权；被征收人是国家机关或事业单位的，其单位出具的证明材料也可以作为确权依据。没有以上佐证依据的，不得擅自确定产权。</w:t>
      </w:r>
    </w:p>
    <w:p>
      <w:pPr>
        <w:spacing w:line="360" w:lineRule="auto"/>
        <w:ind w:firstLine="640" w:firstLineChars="200"/>
        <w:rPr>
          <w:rFonts w:ascii="仿宋" w:hAnsi="仿宋" w:cs="仿宋"/>
          <w:szCs w:val="32"/>
        </w:rPr>
      </w:pPr>
      <w:r>
        <w:rPr>
          <w:rFonts w:hint="eastAsia" w:ascii="仿宋" w:hAnsi="仿宋" w:cs="仿宋"/>
          <w:szCs w:val="32"/>
        </w:rPr>
        <w:t>（三）被征收人产权调换的回迁房具备入住条件并选定房号后，在规定工作日内完成回迁入住。</w:t>
      </w:r>
    </w:p>
    <w:p>
      <w:pPr>
        <w:spacing w:line="360" w:lineRule="auto"/>
        <w:ind w:firstLine="640" w:firstLineChars="200"/>
        <w:rPr>
          <w:rFonts w:ascii="仿宋" w:hAnsi="仿宋" w:cs="仿宋"/>
          <w:szCs w:val="32"/>
        </w:rPr>
      </w:pPr>
      <w:r>
        <w:rPr>
          <w:rFonts w:hint="eastAsia" w:ascii="仿宋" w:hAnsi="仿宋" w:cs="仿宋"/>
          <w:szCs w:val="32"/>
        </w:rPr>
        <w:t>第十三条 对该项目征收补偿安置方案未涵盖的，或被征收户要求补偿数额与政策规定差别大的特殊情况，采取“一事一议”的方法，拟定专门的征收补偿方案或解决方案，经新区党委会研究决定后报市财政部门同意后执行。</w:t>
      </w:r>
    </w:p>
    <w:p>
      <w:pPr>
        <w:spacing w:line="360" w:lineRule="auto"/>
        <w:ind w:firstLine="640" w:firstLineChars="200"/>
        <w:rPr>
          <w:rFonts w:ascii="仿宋" w:hAnsi="仿宋" w:cs="仿宋"/>
          <w:szCs w:val="32"/>
        </w:rPr>
      </w:pPr>
      <w:r>
        <w:rPr>
          <w:rFonts w:hint="eastAsia" w:ascii="仿宋" w:hAnsi="仿宋" w:cs="仿宋"/>
          <w:szCs w:val="32"/>
        </w:rPr>
        <w:t>第十四条 对达不成协议或产权调换不明确的，新区办准备要件，拟定征收补偿决定，上报新区党委会研究通过后，报洮北区审核做出补偿决定，新区办送达公告给被征收人。</w:t>
      </w:r>
    </w:p>
    <w:p>
      <w:pPr>
        <w:spacing w:line="360" w:lineRule="auto"/>
        <w:ind w:firstLine="640" w:firstLineChars="200"/>
        <w:rPr>
          <w:rFonts w:ascii="仿宋" w:hAnsi="仿宋" w:cs="仿宋"/>
          <w:szCs w:val="32"/>
        </w:rPr>
      </w:pPr>
      <w:r>
        <w:rPr>
          <w:rFonts w:hint="eastAsia" w:ascii="仿宋" w:hAnsi="仿宋" w:cs="仿宋"/>
          <w:szCs w:val="32"/>
        </w:rPr>
        <w:t>第十五条 新区办准备要件，拟定强制执行申请书，经洮北区审核履行程序后申请人民法院强制执行。法院裁定准予强制执行的，由新区办组织实施。</w:t>
      </w:r>
    </w:p>
    <w:p>
      <w:pPr>
        <w:spacing w:line="360" w:lineRule="auto"/>
        <w:rPr>
          <w:rFonts w:ascii="仿宋" w:hAnsi="仿宋" w:cs="仿宋"/>
          <w:szCs w:val="32"/>
        </w:rPr>
      </w:pPr>
    </w:p>
    <w:p>
      <w:pPr>
        <w:pStyle w:val="2"/>
        <w:rPr>
          <w:rFonts w:ascii="宋体" w:hAnsi="宋体" w:cs="宋体"/>
          <w:bCs/>
          <w:szCs w:val="44"/>
        </w:rPr>
      </w:pPr>
      <w:bookmarkStart w:id="365" w:name="_Toc5121"/>
      <w:r>
        <w:rPr>
          <w:rFonts w:hint="eastAsia"/>
        </w:rPr>
        <w:t>19、安全生产监督管理现场检查制度</w:t>
      </w:r>
      <w:bookmarkEnd w:id="365"/>
    </w:p>
    <w:p>
      <w:pPr>
        <w:spacing w:line="360" w:lineRule="auto"/>
        <w:ind w:firstLine="640" w:firstLineChars="200"/>
        <w:rPr>
          <w:rFonts w:ascii="仿宋" w:hAnsi="仿宋" w:cs="仿宋"/>
          <w:szCs w:val="32"/>
        </w:rPr>
      </w:pPr>
      <w:r>
        <w:rPr>
          <w:rFonts w:hint="eastAsia" w:ascii="仿宋" w:hAnsi="仿宋" w:cs="仿宋"/>
          <w:szCs w:val="32"/>
        </w:rPr>
        <w:t>现场检查要坚持严格检查与指导服务并重，加强安全生产检查工作的严肃性、权威性、实效性。</w:t>
      </w:r>
    </w:p>
    <w:p>
      <w:pPr>
        <w:spacing w:line="360" w:lineRule="auto"/>
        <w:ind w:firstLine="640" w:firstLineChars="200"/>
        <w:outlineLvl w:val="0"/>
        <w:rPr>
          <w:rFonts w:ascii="黑体" w:hAnsi="黑体" w:eastAsia="黑体" w:cs="黑体"/>
          <w:szCs w:val="32"/>
        </w:rPr>
      </w:pPr>
      <w:bookmarkStart w:id="366" w:name="_Toc488"/>
      <w:bookmarkStart w:id="367" w:name="_Toc417"/>
      <w:bookmarkStart w:id="368" w:name="_Toc7039"/>
      <w:bookmarkStart w:id="369" w:name="_Toc272"/>
      <w:bookmarkStart w:id="370" w:name="_Toc29525"/>
      <w:bookmarkStart w:id="371" w:name="_Toc21870"/>
      <w:bookmarkStart w:id="372" w:name="_Toc15720"/>
      <w:bookmarkStart w:id="373" w:name="_Toc14324"/>
      <w:r>
        <w:rPr>
          <w:rFonts w:hint="eastAsia" w:ascii="黑体" w:hAnsi="黑体" w:eastAsia="黑体" w:cs="黑体"/>
          <w:szCs w:val="32"/>
        </w:rPr>
        <w:t>一、走访检查的主要流程：</w:t>
      </w:r>
      <w:bookmarkEnd w:id="366"/>
      <w:bookmarkEnd w:id="367"/>
      <w:bookmarkEnd w:id="368"/>
      <w:bookmarkEnd w:id="369"/>
      <w:bookmarkEnd w:id="370"/>
      <w:bookmarkEnd w:id="371"/>
      <w:bookmarkEnd w:id="372"/>
      <w:bookmarkEnd w:id="373"/>
    </w:p>
    <w:p>
      <w:pPr>
        <w:spacing w:line="360" w:lineRule="auto"/>
        <w:ind w:firstLine="640" w:firstLineChars="200"/>
        <w:rPr>
          <w:rFonts w:ascii="仿宋" w:hAnsi="仿宋" w:cs="仿宋"/>
          <w:szCs w:val="32"/>
        </w:rPr>
      </w:pPr>
      <w:r>
        <w:rPr>
          <w:rFonts w:hint="eastAsia" w:ascii="仿宋" w:hAnsi="仿宋" w:cs="仿宋"/>
          <w:szCs w:val="32"/>
        </w:rPr>
        <w:t>（1）检查人员表明身份，出示证件。</w:t>
      </w:r>
    </w:p>
    <w:p>
      <w:pPr>
        <w:spacing w:line="360" w:lineRule="auto"/>
        <w:ind w:firstLine="640" w:firstLineChars="200"/>
        <w:rPr>
          <w:rFonts w:ascii="仿宋" w:hAnsi="仿宋" w:cs="仿宋"/>
          <w:szCs w:val="32"/>
        </w:rPr>
      </w:pPr>
      <w:r>
        <w:rPr>
          <w:rFonts w:hint="eastAsia" w:ascii="仿宋" w:hAnsi="仿宋" w:cs="仿宋"/>
          <w:szCs w:val="32"/>
        </w:rPr>
        <w:t>（2）检查人员说明来意，告知检查事项及权利。</w:t>
      </w:r>
    </w:p>
    <w:p>
      <w:pPr>
        <w:spacing w:line="360" w:lineRule="auto"/>
        <w:ind w:firstLine="640" w:firstLineChars="200"/>
        <w:rPr>
          <w:rFonts w:ascii="仿宋" w:hAnsi="仿宋" w:cs="仿宋"/>
          <w:szCs w:val="32"/>
        </w:rPr>
      </w:pPr>
      <w:r>
        <w:rPr>
          <w:rFonts w:hint="eastAsia" w:ascii="仿宋" w:hAnsi="仿宋" w:cs="仿宋"/>
          <w:szCs w:val="32"/>
        </w:rPr>
        <w:t>（3）被检查对象承诺如实提供有关信息，配合检查工作。</w:t>
      </w:r>
    </w:p>
    <w:p>
      <w:pPr>
        <w:spacing w:line="360" w:lineRule="auto"/>
        <w:ind w:firstLine="640" w:firstLineChars="200"/>
        <w:rPr>
          <w:rFonts w:ascii="仿宋" w:hAnsi="仿宋" w:cs="仿宋"/>
          <w:szCs w:val="32"/>
        </w:rPr>
      </w:pPr>
      <w:r>
        <w:rPr>
          <w:rFonts w:hint="eastAsia" w:ascii="仿宋" w:hAnsi="仿宋" w:cs="仿宋"/>
          <w:szCs w:val="32"/>
        </w:rPr>
        <w:t>（4）听取被检查单位关于本次检查开展相关的安全生产工作情况介绍。</w:t>
      </w:r>
    </w:p>
    <w:p>
      <w:pPr>
        <w:spacing w:line="360" w:lineRule="auto"/>
        <w:ind w:firstLine="640" w:firstLineChars="200"/>
        <w:rPr>
          <w:rFonts w:ascii="仿宋" w:hAnsi="仿宋" w:cs="仿宋"/>
          <w:szCs w:val="32"/>
        </w:rPr>
      </w:pPr>
      <w:r>
        <w:rPr>
          <w:rFonts w:hint="eastAsia" w:ascii="仿宋" w:hAnsi="仿宋" w:cs="仿宋"/>
          <w:szCs w:val="32"/>
        </w:rPr>
        <w:t>（5）实施现场检查。</w:t>
      </w:r>
    </w:p>
    <w:p>
      <w:pPr>
        <w:spacing w:line="360" w:lineRule="auto"/>
        <w:ind w:firstLine="640" w:firstLineChars="200"/>
        <w:rPr>
          <w:rFonts w:ascii="仿宋" w:hAnsi="仿宋" w:cs="仿宋"/>
          <w:szCs w:val="32"/>
        </w:rPr>
      </w:pPr>
      <w:r>
        <w:rPr>
          <w:rFonts w:hint="eastAsia" w:ascii="仿宋" w:hAnsi="仿宋" w:cs="仿宋"/>
          <w:szCs w:val="32"/>
        </w:rPr>
        <w:t>检查人员进行现场执法检查时，应当依照现场检查方案，对生产经营单位的有关安全生产文件资料和生产经营场所进行检查，对检查中发现的问题，应当及时询问核实，并做好相应记录。</w:t>
      </w:r>
    </w:p>
    <w:p>
      <w:pPr>
        <w:spacing w:line="360" w:lineRule="auto"/>
        <w:ind w:firstLine="640" w:firstLineChars="200"/>
        <w:rPr>
          <w:rFonts w:ascii="仿宋" w:hAnsi="仿宋" w:cs="仿宋"/>
          <w:szCs w:val="32"/>
        </w:rPr>
      </w:pPr>
      <w:r>
        <w:rPr>
          <w:rFonts w:hint="eastAsia" w:ascii="仿宋" w:hAnsi="仿宋" w:cs="仿宋"/>
          <w:szCs w:val="32"/>
        </w:rPr>
        <w:t>（6）走访人员向企业告知《现场检查记录》。</w:t>
      </w:r>
    </w:p>
    <w:p>
      <w:pPr>
        <w:spacing w:line="360" w:lineRule="auto"/>
        <w:ind w:firstLine="640" w:firstLineChars="200"/>
        <w:rPr>
          <w:rFonts w:ascii="仿宋" w:hAnsi="仿宋" w:cs="仿宋"/>
          <w:szCs w:val="32"/>
        </w:rPr>
      </w:pPr>
      <w:r>
        <w:rPr>
          <w:rFonts w:hint="eastAsia" w:ascii="仿宋" w:hAnsi="仿宋" w:cs="仿宋"/>
          <w:szCs w:val="32"/>
        </w:rPr>
        <w:t>（7）听取被检查对象对执法检查情况及整改要求等的陈述申辩。</w:t>
      </w:r>
    </w:p>
    <w:p>
      <w:pPr>
        <w:spacing w:line="360" w:lineRule="auto"/>
        <w:ind w:firstLine="640" w:firstLineChars="200"/>
        <w:rPr>
          <w:rFonts w:ascii="仿宋" w:hAnsi="仿宋" w:cs="仿宋"/>
          <w:szCs w:val="32"/>
        </w:rPr>
      </w:pPr>
      <w:r>
        <w:rPr>
          <w:rFonts w:hint="eastAsia" w:ascii="仿宋" w:hAnsi="仿宋" w:cs="仿宋"/>
          <w:szCs w:val="32"/>
        </w:rPr>
        <w:t>（8）企业对《现场检查记录》的内容确认无误后，由检查人员和被检查单位的负责人签字确认，并向企业下达相关执法文书。</w:t>
      </w:r>
    </w:p>
    <w:p>
      <w:pPr>
        <w:spacing w:line="360" w:lineRule="auto"/>
        <w:ind w:firstLine="640" w:firstLineChars="200"/>
        <w:rPr>
          <w:rFonts w:ascii="仿宋" w:hAnsi="仿宋" w:cs="仿宋"/>
          <w:szCs w:val="32"/>
        </w:rPr>
      </w:pPr>
      <w:r>
        <w:rPr>
          <w:rFonts w:hint="eastAsia" w:ascii="仿宋" w:hAnsi="仿宋" w:cs="仿宋"/>
          <w:szCs w:val="32"/>
        </w:rPr>
        <w:t>（9）如检查发现企业有违法违规行为需要进行立案处罚或行政强制的，检查人员应当报市应急局采取相关措施，同时做好配合工作。</w:t>
      </w:r>
    </w:p>
    <w:p>
      <w:pPr>
        <w:spacing w:line="360" w:lineRule="auto"/>
        <w:ind w:firstLine="640" w:firstLineChars="200"/>
        <w:rPr>
          <w:rFonts w:ascii="仿宋" w:hAnsi="仿宋" w:cs="仿宋"/>
          <w:szCs w:val="32"/>
        </w:rPr>
      </w:pPr>
      <w:r>
        <w:rPr>
          <w:rFonts w:hint="eastAsia" w:ascii="仿宋" w:hAnsi="仿宋" w:cs="仿宋"/>
          <w:szCs w:val="32"/>
        </w:rPr>
        <w:t>（10）回访。对整改期限结束的企业要按时回访，确保整改到位。</w:t>
      </w:r>
    </w:p>
    <w:p>
      <w:pPr>
        <w:spacing w:line="360" w:lineRule="auto"/>
        <w:ind w:firstLine="640" w:firstLineChars="200"/>
        <w:outlineLvl w:val="0"/>
        <w:rPr>
          <w:rFonts w:ascii="黑体" w:hAnsi="黑体" w:eastAsia="黑体" w:cs="黑体"/>
          <w:szCs w:val="32"/>
        </w:rPr>
      </w:pPr>
      <w:bookmarkStart w:id="374" w:name="_Toc28536"/>
      <w:bookmarkStart w:id="375" w:name="_Toc8807"/>
      <w:bookmarkStart w:id="376" w:name="_Toc26128"/>
      <w:bookmarkStart w:id="377" w:name="_Toc22575"/>
      <w:bookmarkStart w:id="378" w:name="_Toc15483"/>
      <w:bookmarkStart w:id="379" w:name="_Toc27098"/>
      <w:bookmarkStart w:id="380" w:name="_Toc12285"/>
      <w:bookmarkStart w:id="381" w:name="_Toc27034"/>
      <w:r>
        <w:rPr>
          <w:rFonts w:hint="eastAsia" w:ascii="黑体" w:hAnsi="黑体" w:eastAsia="黑体" w:cs="黑体"/>
          <w:szCs w:val="32"/>
        </w:rPr>
        <w:t>二、检查方式</w:t>
      </w:r>
      <w:bookmarkEnd w:id="374"/>
      <w:bookmarkEnd w:id="375"/>
      <w:bookmarkEnd w:id="376"/>
      <w:bookmarkEnd w:id="377"/>
      <w:bookmarkEnd w:id="378"/>
      <w:bookmarkEnd w:id="379"/>
      <w:bookmarkEnd w:id="380"/>
      <w:bookmarkEnd w:id="381"/>
      <w:r>
        <w:rPr>
          <w:rFonts w:hint="eastAsia" w:ascii="黑体" w:hAnsi="黑体" w:eastAsia="黑体" w:cs="黑体"/>
          <w:szCs w:val="32"/>
        </w:rPr>
        <w:t xml:space="preserve"> </w:t>
      </w:r>
    </w:p>
    <w:p>
      <w:pPr>
        <w:spacing w:line="360" w:lineRule="auto"/>
        <w:ind w:firstLine="640" w:firstLineChars="200"/>
        <w:rPr>
          <w:rFonts w:ascii="仿宋" w:hAnsi="仿宋" w:cs="仿宋"/>
          <w:szCs w:val="32"/>
        </w:rPr>
      </w:pPr>
      <w:r>
        <w:rPr>
          <w:rFonts w:hint="eastAsia" w:ascii="仿宋" w:hAnsi="仿宋" w:cs="仿宋"/>
          <w:szCs w:val="32"/>
        </w:rPr>
        <w:t>新区安监局根据职责，对生产经营单位遵守有关安全生产的法律、法规、规章以及国家标准、行业标准的情况进行监督检查。监督检查分为计划检查和非计划检查两种方式。计划检查是指按照年度监督检查计划开展的检查，非计划检查是指为了完成上级交办任务和本部门临时性、紧急性工作安排等而开展的检查。</w:t>
      </w:r>
    </w:p>
    <w:p>
      <w:pPr>
        <w:spacing w:line="360" w:lineRule="auto"/>
        <w:ind w:firstLine="640" w:firstLineChars="200"/>
        <w:outlineLvl w:val="0"/>
        <w:rPr>
          <w:rFonts w:ascii="黑体" w:hAnsi="黑体" w:eastAsia="黑体" w:cs="黑体"/>
          <w:szCs w:val="32"/>
        </w:rPr>
      </w:pPr>
      <w:bookmarkStart w:id="382" w:name="_Toc8806"/>
      <w:bookmarkStart w:id="383" w:name="_Toc32016"/>
      <w:bookmarkStart w:id="384" w:name="_Toc12668"/>
      <w:bookmarkStart w:id="385" w:name="_Toc9538"/>
      <w:bookmarkStart w:id="386" w:name="_Toc9064"/>
      <w:bookmarkStart w:id="387" w:name="_Toc25735"/>
      <w:bookmarkStart w:id="388" w:name="_Toc27750"/>
      <w:bookmarkStart w:id="389" w:name="_Toc26780"/>
      <w:r>
        <w:rPr>
          <w:rFonts w:hint="eastAsia" w:ascii="黑体" w:hAnsi="黑体" w:eastAsia="黑体" w:cs="黑体"/>
          <w:szCs w:val="32"/>
        </w:rPr>
        <w:t>三、现场检查规范用语指引</w:t>
      </w:r>
      <w:bookmarkEnd w:id="382"/>
      <w:bookmarkEnd w:id="383"/>
      <w:bookmarkEnd w:id="384"/>
      <w:bookmarkEnd w:id="385"/>
      <w:bookmarkEnd w:id="386"/>
      <w:bookmarkEnd w:id="387"/>
      <w:bookmarkEnd w:id="388"/>
      <w:bookmarkEnd w:id="389"/>
    </w:p>
    <w:p>
      <w:pPr>
        <w:spacing w:line="360" w:lineRule="auto"/>
        <w:ind w:firstLine="640" w:firstLineChars="200"/>
        <w:rPr>
          <w:rFonts w:ascii="仿宋" w:hAnsi="仿宋" w:cs="仿宋"/>
          <w:szCs w:val="32"/>
        </w:rPr>
      </w:pPr>
      <w:r>
        <w:rPr>
          <w:rFonts w:hint="eastAsia" w:ascii="仿宋" w:hAnsi="仿宋" w:cs="仿宋"/>
          <w:szCs w:val="32"/>
        </w:rPr>
        <w:t>（1）表明身份。如：你好。我们是生态新区安监局执法人员×××，×××，这是我们的执法证件（出示证件）。</w:t>
      </w:r>
    </w:p>
    <w:p>
      <w:pPr>
        <w:spacing w:line="360" w:lineRule="auto"/>
        <w:ind w:firstLine="640" w:firstLineChars="200"/>
        <w:rPr>
          <w:rFonts w:ascii="仿宋" w:hAnsi="仿宋" w:cs="仿宋"/>
          <w:szCs w:val="32"/>
        </w:rPr>
      </w:pPr>
      <w:r>
        <w:rPr>
          <w:rFonts w:hint="eastAsia" w:ascii="仿宋" w:hAnsi="仿宋" w:cs="仿宋"/>
          <w:szCs w:val="32"/>
        </w:rPr>
        <w:t>（2）告知执法检查事项。如：根据××工作计划（或举报投诉），今天依法对你单位进行安全生产执法检查。请你单位主要负责人、安全管理人员和有关岗位员工全程参加。 对你单位进行安全生产执法检查的重点内容为××，请予以配合。</w:t>
      </w:r>
    </w:p>
    <w:p>
      <w:pPr>
        <w:spacing w:line="360" w:lineRule="auto"/>
        <w:ind w:firstLine="640" w:firstLineChars="200"/>
        <w:rPr>
          <w:rFonts w:ascii="仿宋" w:hAnsi="仿宋" w:cs="仿宋"/>
          <w:szCs w:val="32"/>
        </w:rPr>
      </w:pPr>
      <w:r>
        <w:rPr>
          <w:rFonts w:hint="eastAsia" w:ascii="仿宋" w:hAnsi="仿宋" w:cs="仿宋"/>
          <w:szCs w:val="32"/>
        </w:rPr>
        <w:t>（3）告知执法检查场所（部位）。如：请配合我们对你单位的××场所（部位）进行检查。</w:t>
      </w:r>
    </w:p>
    <w:p>
      <w:pPr>
        <w:spacing w:line="360" w:lineRule="auto"/>
        <w:ind w:firstLine="640" w:firstLineChars="200"/>
        <w:rPr>
          <w:rFonts w:ascii="仿宋" w:hAnsi="仿宋" w:cs="仿宋"/>
          <w:szCs w:val="32"/>
        </w:rPr>
      </w:pPr>
      <w:r>
        <w:rPr>
          <w:rFonts w:hint="eastAsia" w:ascii="仿宋" w:hAnsi="仿宋" w:cs="仿宋"/>
          <w:szCs w:val="32"/>
        </w:rPr>
        <w:t>（4）告知权利。如：如果你认为在场的执法人员与你有利害关系，可能影响公正处理的，你有权申请回避。</w:t>
      </w:r>
    </w:p>
    <w:p>
      <w:pPr>
        <w:spacing w:line="360" w:lineRule="auto"/>
        <w:ind w:firstLine="640" w:firstLineChars="200"/>
        <w:rPr>
          <w:rFonts w:ascii="仿宋" w:hAnsi="仿宋" w:cs="仿宋"/>
          <w:szCs w:val="32"/>
        </w:rPr>
      </w:pPr>
      <w:r>
        <w:rPr>
          <w:rFonts w:hint="eastAsia" w:ascii="仿宋" w:hAnsi="仿宋" w:cs="仿宋"/>
          <w:szCs w:val="32"/>
        </w:rPr>
        <w:t>（5）要求对方介绍情况。如：请介绍你单位关于本次执法检查内容开展的相关安全生产工作。执法检查中，我们将严格遵守工作纪律和要求，确保本次执法检查透明、规范、合法、公正。</w:t>
      </w:r>
    </w:p>
    <w:p>
      <w:pPr>
        <w:spacing w:line="360" w:lineRule="auto"/>
        <w:ind w:firstLine="640" w:firstLineChars="200"/>
        <w:rPr>
          <w:rFonts w:ascii="仿宋" w:hAnsi="仿宋" w:cs="仿宋"/>
          <w:szCs w:val="32"/>
        </w:rPr>
      </w:pPr>
      <w:r>
        <w:rPr>
          <w:rFonts w:hint="eastAsia" w:ascii="仿宋" w:hAnsi="仿宋" w:cs="仿宋"/>
          <w:szCs w:val="32"/>
        </w:rPr>
        <w:t>（6）现场执法检查。</w:t>
      </w:r>
    </w:p>
    <w:p>
      <w:pPr>
        <w:spacing w:line="360" w:lineRule="auto"/>
        <w:ind w:firstLine="640" w:firstLineChars="200"/>
        <w:rPr>
          <w:rFonts w:ascii="仿宋" w:hAnsi="仿宋" w:cs="仿宋"/>
          <w:szCs w:val="32"/>
        </w:rPr>
      </w:pPr>
      <w:r>
        <w:rPr>
          <w:rFonts w:hint="eastAsia" w:ascii="仿宋" w:hAnsi="仿宋" w:cs="仿宋"/>
          <w:szCs w:val="32"/>
        </w:rPr>
        <w:t>① 要求对方提供有关资料时，应当清楚告知所依据法律、法规、规章及所要检查的资料名称。如：根据《中华人民共和国安全生产法》第六十二条规定，请你提供××证照（许可证、资质证书、特种作业人员证件及其他有关文件等资料），对涉及你单位的技术秘密和业务秘密，我们将依法为你保密，请予配合。</w:t>
      </w:r>
    </w:p>
    <w:p>
      <w:pPr>
        <w:spacing w:line="360" w:lineRule="auto"/>
        <w:ind w:firstLine="640" w:firstLineChars="200"/>
        <w:rPr>
          <w:rFonts w:ascii="仿宋" w:hAnsi="仿宋" w:cs="仿宋"/>
          <w:szCs w:val="32"/>
        </w:rPr>
      </w:pPr>
      <w:r>
        <w:rPr>
          <w:rFonts w:hint="eastAsia" w:ascii="仿宋" w:hAnsi="仿宋" w:cs="仿宋"/>
          <w:szCs w:val="32"/>
        </w:rPr>
        <w:t>② 发现违法行为或者隐患，可以当场纠正的，应当予以当场纠正。如：现在请按照规定将××的生产车间的安全出口打开。</w:t>
      </w:r>
    </w:p>
    <w:p>
      <w:pPr>
        <w:spacing w:line="360" w:lineRule="auto"/>
        <w:ind w:firstLine="640" w:firstLineChars="200"/>
        <w:rPr>
          <w:rFonts w:ascii="仿宋" w:hAnsi="仿宋" w:cs="仿宋"/>
          <w:szCs w:val="32"/>
        </w:rPr>
      </w:pPr>
      <w:r>
        <w:rPr>
          <w:rFonts w:hint="eastAsia" w:ascii="仿宋" w:hAnsi="仿宋" w:cs="仿宋"/>
          <w:szCs w:val="32"/>
        </w:rPr>
        <w:t>③ 情况紧急，需要当场实施行政强制措施的，应当场告知当事人采取行政强制措施的理由、依据以及当事人依法享有的权利，并报市应急局协助执法。如：经查实，你（单位）有×××现状（违法行为），违反了《××××》第×条第×款（项）规定，根据《××××：×条第×款（项）的规定，安监局现决定当场采取××强制措施。</w:t>
      </w:r>
    </w:p>
    <w:p>
      <w:pPr>
        <w:spacing w:line="360" w:lineRule="auto"/>
        <w:ind w:firstLine="640" w:firstLineChars="200"/>
        <w:rPr>
          <w:rFonts w:ascii="仿宋" w:hAnsi="仿宋" w:cs="仿宋"/>
          <w:szCs w:val="32"/>
        </w:rPr>
      </w:pPr>
      <w:r>
        <w:rPr>
          <w:rFonts w:hint="eastAsia" w:ascii="仿宋" w:hAnsi="仿宋" w:cs="仿宋"/>
          <w:szCs w:val="32"/>
        </w:rPr>
        <w:t>④ 制作《现场检查记录》和《询问笔录》，应当要求当事人签字确认。如：这是《现场检查记录》和《询问笔录》，请仔细核对，如无误，请在此处签字按手印。如遇当事人拒绝在有关执法文书上签字，应当告知拒绝签字后果，并注明情况。如：请你再次考虑是否签字，如果你拒绝签字，我们将记录在案，依法处理。</w:t>
      </w:r>
    </w:p>
    <w:p>
      <w:pPr>
        <w:spacing w:line="360" w:lineRule="auto"/>
        <w:ind w:firstLine="640" w:firstLineChars="200"/>
        <w:outlineLvl w:val="0"/>
        <w:rPr>
          <w:rFonts w:ascii="黑体" w:hAnsi="黑体" w:eastAsia="黑体" w:cs="黑体"/>
          <w:szCs w:val="32"/>
        </w:rPr>
      </w:pPr>
      <w:bookmarkStart w:id="390" w:name="_Toc10077"/>
      <w:bookmarkStart w:id="391" w:name="_Toc8168"/>
      <w:bookmarkStart w:id="392" w:name="_Toc16447"/>
      <w:bookmarkStart w:id="393" w:name="_Toc22347"/>
      <w:bookmarkStart w:id="394" w:name="_Toc5006"/>
      <w:bookmarkStart w:id="395" w:name="_Toc8266"/>
      <w:bookmarkStart w:id="396" w:name="_Toc1391"/>
      <w:bookmarkStart w:id="397" w:name="_Toc19764"/>
      <w:r>
        <w:rPr>
          <w:rFonts w:hint="eastAsia" w:ascii="黑体" w:hAnsi="黑体" w:eastAsia="黑体" w:cs="黑体"/>
          <w:szCs w:val="32"/>
        </w:rPr>
        <w:t>四、制作《现场检查记录》应当符合下列要求：</w:t>
      </w:r>
      <w:bookmarkEnd w:id="390"/>
      <w:bookmarkEnd w:id="391"/>
      <w:bookmarkEnd w:id="392"/>
      <w:bookmarkEnd w:id="393"/>
      <w:bookmarkEnd w:id="394"/>
      <w:bookmarkEnd w:id="395"/>
      <w:bookmarkEnd w:id="396"/>
      <w:bookmarkEnd w:id="397"/>
    </w:p>
    <w:p>
      <w:pPr>
        <w:spacing w:line="360" w:lineRule="auto"/>
        <w:ind w:firstLine="640" w:firstLineChars="200"/>
        <w:rPr>
          <w:rFonts w:ascii="仿宋" w:hAnsi="仿宋" w:cs="仿宋"/>
          <w:szCs w:val="32"/>
        </w:rPr>
      </w:pPr>
      <w:r>
        <w:rPr>
          <w:rFonts w:hint="eastAsia" w:ascii="仿宋" w:hAnsi="仿宋" w:cs="仿宋"/>
          <w:szCs w:val="32"/>
        </w:rPr>
        <w:t>（1）检查场所。注明场所名称，对多个独立场所，应分别作出准确的描述。</w:t>
      </w:r>
    </w:p>
    <w:p>
      <w:pPr>
        <w:spacing w:line="360" w:lineRule="auto"/>
        <w:ind w:firstLine="640" w:firstLineChars="200"/>
        <w:rPr>
          <w:rFonts w:ascii="仿宋" w:hAnsi="仿宋" w:cs="仿宋"/>
          <w:szCs w:val="32"/>
        </w:rPr>
      </w:pPr>
      <w:r>
        <w:rPr>
          <w:rFonts w:hint="eastAsia" w:ascii="仿宋" w:hAnsi="仿宋" w:cs="仿宋"/>
          <w:szCs w:val="32"/>
        </w:rPr>
        <w:t>（2）检查时间。检查时间应具体到检查起止时间的年、月、日、时、分。</w:t>
      </w:r>
    </w:p>
    <w:p>
      <w:pPr>
        <w:spacing w:line="360" w:lineRule="auto"/>
        <w:ind w:firstLine="640" w:firstLineChars="200"/>
        <w:rPr>
          <w:rFonts w:ascii="仿宋" w:hAnsi="仿宋" w:cs="仿宋"/>
          <w:szCs w:val="32"/>
        </w:rPr>
      </w:pPr>
      <w:r>
        <w:rPr>
          <w:rFonts w:hint="eastAsia" w:ascii="仿宋" w:hAnsi="仿宋" w:cs="仿宋"/>
          <w:szCs w:val="32"/>
        </w:rPr>
        <w:t>（3）检查情况。按照检查过程详细记录检查内容、方法、结果等。检查情况要客观、准确，如实记载行政执法人员在现场观察到的实际情况，反映其客观的原始状态。涉及专业性检查时，应当使用专业性规范用语。对于检查发现的问题，应有法律、法规、规章或者国家标准、行业标准作为依据。</w:t>
      </w:r>
    </w:p>
    <w:p>
      <w:pPr>
        <w:spacing w:line="360" w:lineRule="auto"/>
        <w:ind w:firstLine="640" w:firstLineChars="200"/>
        <w:outlineLvl w:val="0"/>
        <w:rPr>
          <w:rFonts w:ascii="黑体" w:hAnsi="黑体" w:eastAsia="黑体" w:cs="黑体"/>
          <w:szCs w:val="32"/>
        </w:rPr>
      </w:pPr>
      <w:bookmarkStart w:id="398" w:name="_Toc1332"/>
      <w:bookmarkStart w:id="399" w:name="_Toc9551"/>
      <w:bookmarkStart w:id="400" w:name="_Toc12896"/>
      <w:bookmarkStart w:id="401" w:name="_Toc7280"/>
      <w:bookmarkStart w:id="402" w:name="_Toc28329"/>
      <w:bookmarkStart w:id="403" w:name="_Toc9843"/>
      <w:bookmarkStart w:id="404" w:name="_Toc19426"/>
      <w:bookmarkStart w:id="405" w:name="_Toc4712"/>
      <w:r>
        <w:rPr>
          <w:rFonts w:hint="eastAsia" w:ascii="黑体" w:hAnsi="黑体" w:eastAsia="黑体" w:cs="黑体"/>
          <w:szCs w:val="32"/>
        </w:rPr>
        <w:t>五、现场处理措施</w:t>
      </w:r>
      <w:bookmarkEnd w:id="398"/>
      <w:bookmarkEnd w:id="399"/>
      <w:bookmarkEnd w:id="400"/>
      <w:bookmarkEnd w:id="401"/>
      <w:bookmarkEnd w:id="402"/>
      <w:bookmarkEnd w:id="403"/>
      <w:bookmarkEnd w:id="404"/>
      <w:bookmarkEnd w:id="405"/>
    </w:p>
    <w:p>
      <w:pPr>
        <w:spacing w:line="360" w:lineRule="auto"/>
        <w:ind w:firstLine="640" w:firstLineChars="200"/>
        <w:rPr>
          <w:rFonts w:ascii="仿宋" w:hAnsi="仿宋" w:cs="仿宋"/>
          <w:szCs w:val="32"/>
        </w:rPr>
      </w:pPr>
      <w:r>
        <w:rPr>
          <w:rFonts w:hint="eastAsia" w:ascii="仿宋" w:hAnsi="仿宋" w:cs="仿宋"/>
          <w:szCs w:val="32"/>
        </w:rPr>
        <w:t>安全生产行政执法人员在现场检查时，对发现存在的安全生产违法行为或者生产安全事故隐患应当采取下列现场处理措施：</w:t>
      </w:r>
    </w:p>
    <w:p>
      <w:pPr>
        <w:spacing w:line="360" w:lineRule="auto"/>
        <w:ind w:firstLine="640" w:firstLineChars="200"/>
        <w:rPr>
          <w:rFonts w:ascii="仿宋" w:hAnsi="仿宋" w:cs="仿宋"/>
          <w:szCs w:val="32"/>
        </w:rPr>
      </w:pPr>
      <w:r>
        <w:rPr>
          <w:rFonts w:hint="eastAsia" w:ascii="仿宋" w:hAnsi="仿宋" w:cs="仿宋"/>
          <w:szCs w:val="32"/>
        </w:rPr>
        <w:t>（1）当场予以纠正；</w:t>
      </w:r>
    </w:p>
    <w:p>
      <w:pPr>
        <w:spacing w:line="360" w:lineRule="auto"/>
        <w:ind w:firstLine="640" w:firstLineChars="200"/>
        <w:rPr>
          <w:rFonts w:ascii="仿宋" w:hAnsi="仿宋" w:cs="仿宋"/>
          <w:szCs w:val="32"/>
        </w:rPr>
      </w:pPr>
      <w:r>
        <w:rPr>
          <w:rFonts w:hint="eastAsia" w:ascii="仿宋" w:hAnsi="仿宋" w:cs="仿宋"/>
          <w:szCs w:val="32"/>
        </w:rPr>
        <w:t>（2）责令限期改正、责令限期达到要求；</w:t>
      </w:r>
    </w:p>
    <w:p>
      <w:pPr>
        <w:spacing w:line="360" w:lineRule="auto"/>
        <w:ind w:firstLine="640" w:firstLineChars="200"/>
        <w:rPr>
          <w:rFonts w:ascii="仿宋" w:hAnsi="仿宋" w:cs="仿宋"/>
          <w:szCs w:val="32"/>
        </w:rPr>
      </w:pPr>
      <w:r>
        <w:rPr>
          <w:rFonts w:hint="eastAsia" w:ascii="仿宋" w:hAnsi="仿宋" w:cs="仿宋"/>
          <w:szCs w:val="32"/>
        </w:rPr>
        <w:t>（3）责令立即停止作业（施工）、责令立即停止使用、责令立即排除事故隐患；</w:t>
      </w:r>
    </w:p>
    <w:p>
      <w:pPr>
        <w:spacing w:line="360" w:lineRule="auto"/>
        <w:ind w:firstLine="640" w:firstLineChars="200"/>
        <w:rPr>
          <w:rFonts w:ascii="仿宋" w:hAnsi="仿宋" w:cs="仿宋"/>
          <w:szCs w:val="32"/>
        </w:rPr>
      </w:pPr>
      <w:r>
        <w:rPr>
          <w:rFonts w:hint="eastAsia" w:ascii="仿宋" w:hAnsi="仿宋" w:cs="仿宋"/>
          <w:szCs w:val="32"/>
        </w:rPr>
        <w:t>（4）责令从危险区域撤出作业人员；</w:t>
      </w:r>
    </w:p>
    <w:p>
      <w:pPr>
        <w:spacing w:line="360" w:lineRule="auto"/>
        <w:ind w:firstLine="640" w:firstLineChars="200"/>
        <w:rPr>
          <w:rFonts w:ascii="仿宋" w:hAnsi="仿宋" w:cs="仿宋"/>
          <w:szCs w:val="32"/>
        </w:rPr>
      </w:pPr>
      <w:r>
        <w:rPr>
          <w:rFonts w:hint="eastAsia" w:ascii="仿宋" w:hAnsi="仿宋" w:cs="仿宋"/>
          <w:szCs w:val="32"/>
        </w:rPr>
        <w:t>（5）责令暂时停产停业、停止建设、停止施工或者停止使用相关设备、设施；</w:t>
      </w:r>
    </w:p>
    <w:p/>
    <w:p/>
    <w:p/>
    <w:p/>
    <w:p/>
    <w:p/>
    <w:p/>
    <w:p/>
    <w:p/>
    <w:p/>
    <w:p/>
    <w:p/>
    <w:p/>
    <w:p/>
    <w:p/>
    <w:p>
      <w:pPr>
        <w:pStyle w:val="2"/>
        <w:rPr>
          <w:rFonts w:ascii="仿宋" w:hAnsi="仿宋" w:eastAsia="仿宋"/>
          <w:szCs w:val="44"/>
        </w:rPr>
      </w:pPr>
      <w:bookmarkStart w:id="406" w:name="_Toc19019"/>
      <w:bookmarkStart w:id="407" w:name="_Toc21761"/>
      <w:r>
        <w:rPr>
          <w:rFonts w:hint="eastAsia"/>
        </w:rPr>
        <w:t>20、信访工作制度</w:t>
      </w:r>
      <w:bookmarkEnd w:id="406"/>
      <w:bookmarkEnd w:id="407"/>
    </w:p>
    <w:p>
      <w:pPr>
        <w:ind w:firstLine="640" w:firstLineChars="200"/>
        <w:rPr>
          <w:rFonts w:ascii="仿宋" w:hAnsi="仿宋"/>
          <w:szCs w:val="32"/>
        </w:rPr>
      </w:pPr>
      <w:r>
        <w:rPr>
          <w:rFonts w:hint="eastAsia" w:ascii="仿宋" w:hAnsi="仿宋"/>
          <w:szCs w:val="32"/>
        </w:rPr>
        <w:t>为进一步促进生态新区信访事项办理工作的制度化、规范化，逐步提高办理信访事项的工作效率和质量，根据国务院《信访条例》等相关规定，制定本制度。</w:t>
      </w:r>
    </w:p>
    <w:p>
      <w:pPr>
        <w:ind w:firstLine="640" w:firstLineChars="200"/>
        <w:outlineLvl w:val="0"/>
        <w:rPr>
          <w:rFonts w:ascii="黑体" w:eastAsia="黑体"/>
          <w:szCs w:val="32"/>
        </w:rPr>
      </w:pPr>
      <w:bookmarkStart w:id="408" w:name="_Toc28152"/>
      <w:bookmarkStart w:id="409" w:name="_Toc5251"/>
      <w:bookmarkStart w:id="410" w:name="_Toc5437"/>
      <w:bookmarkStart w:id="411" w:name="_Toc23219"/>
      <w:bookmarkStart w:id="412" w:name="_Toc26158"/>
      <w:bookmarkStart w:id="413" w:name="_Toc9047"/>
      <w:bookmarkStart w:id="414" w:name="_Toc23226"/>
      <w:r>
        <w:rPr>
          <w:rFonts w:hint="eastAsia" w:ascii="黑体" w:eastAsia="黑体"/>
          <w:szCs w:val="32"/>
        </w:rPr>
        <w:t>一、工作原则</w:t>
      </w:r>
      <w:bookmarkEnd w:id="408"/>
      <w:bookmarkEnd w:id="409"/>
      <w:bookmarkEnd w:id="410"/>
      <w:bookmarkEnd w:id="411"/>
      <w:bookmarkEnd w:id="412"/>
      <w:bookmarkEnd w:id="413"/>
      <w:bookmarkEnd w:id="414"/>
    </w:p>
    <w:p>
      <w:pPr>
        <w:rPr>
          <w:rFonts w:ascii="仿宋" w:hAnsi="仿宋"/>
          <w:szCs w:val="32"/>
        </w:rPr>
      </w:pPr>
      <w:r>
        <w:rPr>
          <w:rFonts w:hint="eastAsia"/>
          <w:szCs w:val="32"/>
        </w:rPr>
        <w:t xml:space="preserve">    </w:t>
      </w:r>
      <w:r>
        <w:rPr>
          <w:rFonts w:hint="eastAsia" w:ascii="仿宋" w:hAnsi="仿宋"/>
          <w:szCs w:val="32"/>
        </w:rPr>
        <w:t>信访工作本着实事求是、依法办事的原则，对上负责与对下负责相一致的原则，坚持原则与注重实效相结合的原则</w:t>
      </w:r>
      <w:r>
        <w:rPr>
          <w:rFonts w:hint="eastAsia" w:ascii="仿宋" w:hAnsi="仿宋"/>
          <w:spacing w:val="-212"/>
          <w:szCs w:val="32"/>
        </w:rPr>
        <w:t>。</w:t>
      </w:r>
    </w:p>
    <w:p>
      <w:pPr>
        <w:ind w:firstLine="640" w:firstLineChars="200"/>
        <w:outlineLvl w:val="0"/>
        <w:rPr>
          <w:rFonts w:ascii="黑体" w:hAnsi="黑体" w:eastAsia="黑体"/>
          <w:szCs w:val="32"/>
        </w:rPr>
      </w:pPr>
      <w:bookmarkStart w:id="415" w:name="_Toc14741"/>
      <w:bookmarkStart w:id="416" w:name="_Toc17069"/>
      <w:bookmarkStart w:id="417" w:name="_Toc26728"/>
      <w:bookmarkStart w:id="418" w:name="_Toc23083"/>
      <w:bookmarkStart w:id="419" w:name="_Toc19388"/>
      <w:bookmarkStart w:id="420" w:name="_Toc22609"/>
      <w:bookmarkStart w:id="421" w:name="_Toc543"/>
      <w:r>
        <w:rPr>
          <w:rFonts w:hint="eastAsia" w:ascii="黑体" w:hAnsi="黑体" w:eastAsia="黑体"/>
          <w:szCs w:val="32"/>
        </w:rPr>
        <w:t>二、工作范围</w:t>
      </w:r>
      <w:r>
        <w:rPr>
          <w:rFonts w:hint="eastAsia" w:ascii="黑体" w:eastAsia="黑体"/>
          <w:szCs w:val="32"/>
        </w:rPr>
        <w:t> </w:t>
      </w:r>
      <w:bookmarkEnd w:id="415"/>
      <w:bookmarkEnd w:id="416"/>
      <w:bookmarkEnd w:id="417"/>
      <w:bookmarkEnd w:id="418"/>
      <w:bookmarkEnd w:id="419"/>
      <w:bookmarkEnd w:id="420"/>
      <w:bookmarkEnd w:id="421"/>
    </w:p>
    <w:p>
      <w:pPr>
        <w:ind w:firstLine="640" w:firstLineChars="200"/>
        <w:outlineLvl w:val="0"/>
        <w:rPr>
          <w:rFonts w:ascii="仿宋" w:hAnsi="仿宋"/>
          <w:szCs w:val="32"/>
        </w:rPr>
      </w:pPr>
      <w:bookmarkStart w:id="422" w:name="_Toc6568"/>
      <w:bookmarkStart w:id="423" w:name="_Toc2563"/>
      <w:bookmarkStart w:id="424" w:name="_Toc17665"/>
      <w:bookmarkStart w:id="425" w:name="_Toc17503"/>
      <w:bookmarkStart w:id="426" w:name="_Toc19268"/>
      <w:bookmarkStart w:id="427" w:name="_Toc18112"/>
      <w:bookmarkStart w:id="428" w:name="_Toc31054"/>
      <w:r>
        <w:rPr>
          <w:rFonts w:hint="eastAsia" w:ascii="仿宋" w:hAnsi="仿宋"/>
          <w:szCs w:val="32"/>
        </w:rPr>
        <w:t>（一）上级党政机关和信访部门交办的信访案件；</w:t>
      </w:r>
      <w:bookmarkEnd w:id="422"/>
      <w:bookmarkEnd w:id="423"/>
      <w:bookmarkEnd w:id="424"/>
      <w:bookmarkEnd w:id="425"/>
      <w:bookmarkEnd w:id="426"/>
      <w:bookmarkEnd w:id="427"/>
      <w:bookmarkEnd w:id="428"/>
    </w:p>
    <w:p>
      <w:pPr>
        <w:ind w:firstLine="640" w:firstLineChars="200"/>
        <w:outlineLvl w:val="0"/>
        <w:rPr>
          <w:rFonts w:ascii="仿宋" w:hAnsi="仿宋"/>
          <w:szCs w:val="32"/>
        </w:rPr>
      </w:pPr>
      <w:bookmarkStart w:id="429" w:name="_Toc17605"/>
      <w:bookmarkStart w:id="430" w:name="_Toc4750"/>
      <w:bookmarkStart w:id="431" w:name="_Toc8809"/>
      <w:bookmarkStart w:id="432" w:name="_Toc10606"/>
      <w:bookmarkStart w:id="433" w:name="_Toc26394"/>
      <w:bookmarkStart w:id="434" w:name="_Toc16122"/>
      <w:bookmarkStart w:id="435" w:name="_Toc31870"/>
      <w:r>
        <w:rPr>
          <w:rFonts w:hint="eastAsia" w:ascii="仿宋" w:hAnsi="仿宋"/>
          <w:szCs w:val="32"/>
        </w:rPr>
        <w:t>（二）新区办领导批示、交办的信访案件；</w:t>
      </w:r>
      <w:r>
        <w:rPr>
          <w:rFonts w:hint="eastAsia" w:ascii="仿宋"/>
          <w:szCs w:val="32"/>
        </w:rPr>
        <w:t> </w:t>
      </w:r>
      <w:bookmarkEnd w:id="429"/>
      <w:bookmarkEnd w:id="430"/>
      <w:bookmarkEnd w:id="431"/>
      <w:bookmarkEnd w:id="432"/>
      <w:bookmarkEnd w:id="433"/>
      <w:bookmarkEnd w:id="434"/>
      <w:bookmarkEnd w:id="435"/>
    </w:p>
    <w:p>
      <w:pPr>
        <w:ind w:firstLine="640" w:firstLineChars="200"/>
        <w:outlineLvl w:val="0"/>
        <w:rPr>
          <w:rFonts w:ascii="仿宋"/>
          <w:szCs w:val="32"/>
        </w:rPr>
      </w:pPr>
      <w:bookmarkStart w:id="436" w:name="_Toc15420"/>
      <w:bookmarkStart w:id="437" w:name="_Toc1946"/>
      <w:bookmarkStart w:id="438" w:name="_Toc4533"/>
      <w:bookmarkStart w:id="439" w:name="_Toc19954"/>
      <w:bookmarkStart w:id="440" w:name="_Toc20897"/>
      <w:bookmarkStart w:id="441" w:name="_Toc16872"/>
      <w:bookmarkStart w:id="442" w:name="_Toc2195"/>
      <w:r>
        <w:rPr>
          <w:rFonts w:hint="eastAsia" w:ascii="仿宋" w:hAnsi="仿宋"/>
          <w:szCs w:val="32"/>
        </w:rPr>
        <w:t>（三）市人大代表、政协委员及社会知名人士批转的信访案件；</w:t>
      </w:r>
      <w:r>
        <w:rPr>
          <w:rFonts w:hint="eastAsia" w:ascii="仿宋"/>
          <w:szCs w:val="32"/>
        </w:rPr>
        <w:t> </w:t>
      </w:r>
      <w:bookmarkEnd w:id="436"/>
      <w:bookmarkEnd w:id="437"/>
      <w:bookmarkEnd w:id="438"/>
      <w:bookmarkEnd w:id="439"/>
      <w:bookmarkEnd w:id="440"/>
      <w:bookmarkEnd w:id="441"/>
      <w:bookmarkEnd w:id="442"/>
    </w:p>
    <w:p>
      <w:pPr>
        <w:ind w:firstLine="640" w:firstLineChars="200"/>
        <w:outlineLvl w:val="0"/>
        <w:rPr>
          <w:rFonts w:ascii="仿宋" w:hAnsi="仿宋"/>
          <w:szCs w:val="32"/>
        </w:rPr>
      </w:pPr>
      <w:bookmarkStart w:id="443" w:name="_Toc6026"/>
      <w:bookmarkStart w:id="444" w:name="_Toc22554"/>
      <w:bookmarkStart w:id="445" w:name="_Toc6352"/>
      <w:bookmarkStart w:id="446" w:name="_Toc8142"/>
      <w:bookmarkStart w:id="447" w:name="_Toc8795"/>
      <w:bookmarkStart w:id="448" w:name="_Toc14379"/>
      <w:bookmarkStart w:id="449" w:name="_Toc94"/>
      <w:r>
        <w:rPr>
          <w:rFonts w:hint="eastAsia" w:ascii="仿宋" w:hAnsi="仿宋"/>
          <w:szCs w:val="32"/>
        </w:rPr>
        <w:t>（四）重大集体上访事件和突发性群体事件；</w:t>
      </w:r>
      <w:r>
        <w:rPr>
          <w:rFonts w:hint="eastAsia" w:ascii="仿宋"/>
          <w:szCs w:val="32"/>
        </w:rPr>
        <w:t> </w:t>
      </w:r>
      <w:bookmarkEnd w:id="443"/>
      <w:bookmarkEnd w:id="444"/>
      <w:bookmarkEnd w:id="445"/>
      <w:bookmarkEnd w:id="446"/>
      <w:bookmarkEnd w:id="447"/>
      <w:bookmarkEnd w:id="448"/>
      <w:bookmarkEnd w:id="449"/>
    </w:p>
    <w:p>
      <w:pPr>
        <w:ind w:firstLine="640" w:firstLineChars="200"/>
        <w:outlineLvl w:val="0"/>
        <w:rPr>
          <w:rFonts w:ascii="仿宋" w:hAnsi="仿宋"/>
          <w:szCs w:val="32"/>
        </w:rPr>
      </w:pPr>
      <w:bookmarkStart w:id="450" w:name="_Toc21332"/>
      <w:bookmarkStart w:id="451" w:name="_Toc10895"/>
      <w:bookmarkStart w:id="452" w:name="_Toc3350"/>
      <w:bookmarkStart w:id="453" w:name="_Toc19556"/>
      <w:bookmarkStart w:id="454" w:name="_Toc4349"/>
      <w:bookmarkStart w:id="455" w:name="_Toc18653"/>
      <w:bookmarkStart w:id="456" w:name="_Toc28342"/>
      <w:r>
        <w:rPr>
          <w:rFonts w:hint="eastAsia" w:ascii="仿宋" w:hAnsi="仿宋"/>
          <w:szCs w:val="32"/>
        </w:rPr>
        <w:t>（五）3次以上重复来访来信和5人以上的联名信；同一天内有3人以上反映同一问题的来访来电来邮件，或者3天内5人以上反映同一问题的来访来电来邮件；</w:t>
      </w:r>
      <w:r>
        <w:rPr>
          <w:rFonts w:hint="eastAsia" w:ascii="仿宋"/>
          <w:szCs w:val="32"/>
        </w:rPr>
        <w:t> </w:t>
      </w:r>
      <w:bookmarkEnd w:id="450"/>
      <w:bookmarkEnd w:id="451"/>
      <w:bookmarkEnd w:id="452"/>
      <w:bookmarkEnd w:id="453"/>
      <w:bookmarkEnd w:id="454"/>
      <w:bookmarkEnd w:id="455"/>
      <w:bookmarkEnd w:id="456"/>
    </w:p>
    <w:p>
      <w:pPr>
        <w:ind w:firstLine="640" w:firstLineChars="200"/>
        <w:outlineLvl w:val="0"/>
        <w:rPr>
          <w:rFonts w:ascii="仿宋" w:hAnsi="仿宋"/>
          <w:szCs w:val="32"/>
        </w:rPr>
      </w:pPr>
      <w:bookmarkStart w:id="457" w:name="_Toc16817"/>
      <w:bookmarkStart w:id="458" w:name="_Toc28046"/>
      <w:bookmarkStart w:id="459" w:name="_Toc27508"/>
      <w:bookmarkStart w:id="460" w:name="_Toc20346"/>
      <w:bookmarkStart w:id="461" w:name="_Toc4109"/>
      <w:bookmarkStart w:id="462" w:name="_Toc18906"/>
      <w:bookmarkStart w:id="463" w:name="_Toc7878"/>
      <w:r>
        <w:rPr>
          <w:rFonts w:hint="eastAsia" w:ascii="仿宋" w:hAnsi="仿宋"/>
          <w:szCs w:val="32"/>
        </w:rPr>
        <w:t>（六）其他应予立案督查督办处理的信访案件。</w:t>
      </w:r>
      <w:bookmarkEnd w:id="457"/>
      <w:bookmarkEnd w:id="458"/>
      <w:bookmarkEnd w:id="459"/>
      <w:bookmarkEnd w:id="460"/>
      <w:bookmarkEnd w:id="461"/>
      <w:bookmarkEnd w:id="462"/>
      <w:bookmarkEnd w:id="463"/>
    </w:p>
    <w:p>
      <w:pPr>
        <w:ind w:firstLine="640" w:firstLineChars="200"/>
        <w:outlineLvl w:val="0"/>
        <w:rPr>
          <w:rFonts w:ascii="黑体" w:hAnsi="黑体" w:eastAsia="黑体"/>
          <w:szCs w:val="32"/>
        </w:rPr>
      </w:pPr>
      <w:bookmarkStart w:id="464" w:name="_Toc11729"/>
      <w:bookmarkStart w:id="465" w:name="_Toc19433"/>
      <w:bookmarkStart w:id="466" w:name="_Toc321"/>
      <w:bookmarkStart w:id="467" w:name="_Toc8602"/>
      <w:bookmarkStart w:id="468" w:name="_Toc3113"/>
      <w:bookmarkStart w:id="469" w:name="_Toc21529"/>
      <w:bookmarkStart w:id="470" w:name="_Toc8893"/>
      <w:r>
        <w:rPr>
          <w:rFonts w:hint="eastAsia" w:ascii="黑体" w:eastAsia="黑体"/>
          <w:szCs w:val="32"/>
        </w:rPr>
        <w:t> </w:t>
      </w:r>
      <w:r>
        <w:rPr>
          <w:rFonts w:hint="eastAsia" w:ascii="黑体" w:hAnsi="黑体" w:eastAsia="黑体"/>
          <w:szCs w:val="32"/>
        </w:rPr>
        <w:t>三、主要职责</w:t>
      </w:r>
      <w:r>
        <w:rPr>
          <w:rFonts w:hint="eastAsia" w:ascii="黑体" w:eastAsia="黑体"/>
          <w:szCs w:val="32"/>
        </w:rPr>
        <w:t> </w:t>
      </w:r>
      <w:bookmarkEnd w:id="464"/>
      <w:bookmarkEnd w:id="465"/>
      <w:bookmarkEnd w:id="466"/>
      <w:bookmarkEnd w:id="467"/>
      <w:bookmarkEnd w:id="468"/>
      <w:bookmarkEnd w:id="469"/>
      <w:bookmarkEnd w:id="470"/>
    </w:p>
    <w:p>
      <w:pPr>
        <w:ind w:firstLine="640" w:firstLineChars="200"/>
        <w:outlineLvl w:val="0"/>
        <w:rPr>
          <w:rFonts w:ascii="仿宋" w:hAnsi="仿宋"/>
          <w:szCs w:val="32"/>
        </w:rPr>
      </w:pPr>
      <w:bookmarkStart w:id="471" w:name="_Toc12868"/>
      <w:bookmarkStart w:id="472" w:name="_Toc7913"/>
      <w:bookmarkStart w:id="473" w:name="_Toc19620"/>
      <w:bookmarkStart w:id="474" w:name="_Toc3532"/>
      <w:bookmarkStart w:id="475" w:name="_Toc25241"/>
      <w:bookmarkStart w:id="476" w:name="_Toc12033"/>
      <w:bookmarkStart w:id="477" w:name="_Toc26552"/>
      <w:r>
        <w:rPr>
          <w:rFonts w:hint="eastAsia" w:ascii="仿宋" w:hAnsi="仿宋"/>
          <w:szCs w:val="32"/>
        </w:rPr>
        <w:t>（一）检查反馈。由新区信访办负责对办理信访案件的措施、进度、效果进行跟踪检查，并向市委、市政府领导及市直相关部门报告。</w:t>
      </w:r>
      <w:r>
        <w:rPr>
          <w:rFonts w:hint="eastAsia" w:ascii="仿宋"/>
          <w:szCs w:val="32"/>
        </w:rPr>
        <w:t> </w:t>
      </w:r>
      <w:bookmarkEnd w:id="471"/>
      <w:bookmarkEnd w:id="472"/>
      <w:bookmarkEnd w:id="473"/>
      <w:bookmarkEnd w:id="474"/>
      <w:bookmarkEnd w:id="475"/>
      <w:bookmarkEnd w:id="476"/>
      <w:bookmarkEnd w:id="477"/>
    </w:p>
    <w:p>
      <w:pPr>
        <w:ind w:firstLine="640" w:firstLineChars="200"/>
        <w:outlineLvl w:val="0"/>
        <w:rPr>
          <w:rFonts w:ascii="仿宋" w:hAnsi="仿宋"/>
          <w:szCs w:val="32"/>
        </w:rPr>
      </w:pPr>
      <w:bookmarkStart w:id="478" w:name="_Toc14080"/>
      <w:bookmarkStart w:id="479" w:name="_Toc10108"/>
      <w:bookmarkStart w:id="480" w:name="_Toc31961"/>
      <w:bookmarkStart w:id="481" w:name="_Toc2931"/>
      <w:bookmarkStart w:id="482" w:name="_Toc22186"/>
      <w:bookmarkStart w:id="483" w:name="_Toc24406"/>
      <w:bookmarkStart w:id="484" w:name="_Toc8535"/>
      <w:r>
        <w:rPr>
          <w:rFonts w:hint="eastAsia" w:ascii="仿宋" w:hAnsi="仿宋"/>
          <w:szCs w:val="32"/>
        </w:rPr>
        <w:t>（二）落实协调。由信访办及时处理信访案件，对涉及多个部门的信访案件，会同有关部门理顺关系，协调和推进案件的处理。</w:t>
      </w:r>
      <w:r>
        <w:rPr>
          <w:rFonts w:hint="eastAsia" w:ascii="仿宋"/>
          <w:szCs w:val="32"/>
        </w:rPr>
        <w:t> </w:t>
      </w:r>
      <w:bookmarkEnd w:id="478"/>
      <w:bookmarkEnd w:id="479"/>
      <w:bookmarkEnd w:id="480"/>
      <w:bookmarkEnd w:id="481"/>
      <w:bookmarkEnd w:id="482"/>
      <w:bookmarkEnd w:id="483"/>
      <w:bookmarkEnd w:id="484"/>
    </w:p>
    <w:p>
      <w:pPr>
        <w:ind w:firstLine="640" w:firstLineChars="200"/>
        <w:outlineLvl w:val="0"/>
        <w:rPr>
          <w:rFonts w:ascii="黑体" w:hAnsi="黑体" w:eastAsia="黑体"/>
          <w:szCs w:val="32"/>
        </w:rPr>
      </w:pPr>
      <w:bookmarkStart w:id="485" w:name="_Toc27492"/>
      <w:bookmarkStart w:id="486" w:name="_Toc31092"/>
      <w:bookmarkStart w:id="487" w:name="_Toc24131"/>
      <w:bookmarkStart w:id="488" w:name="_Toc8614"/>
      <w:bookmarkStart w:id="489" w:name="_Toc27532"/>
      <w:bookmarkStart w:id="490" w:name="_Toc10056"/>
      <w:bookmarkStart w:id="491" w:name="_Toc11203"/>
      <w:r>
        <w:rPr>
          <w:rFonts w:hint="eastAsia" w:ascii="黑体" w:hAnsi="黑体" w:eastAsia="黑体"/>
          <w:szCs w:val="32"/>
        </w:rPr>
        <w:t>四、信访事项的办理流程</w:t>
      </w:r>
      <w:bookmarkEnd w:id="485"/>
      <w:bookmarkEnd w:id="486"/>
      <w:bookmarkEnd w:id="487"/>
      <w:bookmarkEnd w:id="488"/>
      <w:bookmarkEnd w:id="489"/>
      <w:bookmarkEnd w:id="490"/>
      <w:bookmarkEnd w:id="491"/>
    </w:p>
    <w:p>
      <w:pPr>
        <w:rPr>
          <w:rFonts w:ascii="楷体" w:hAnsi="楷体" w:eastAsia="楷体"/>
          <w:szCs w:val="32"/>
        </w:rPr>
      </w:pPr>
      <w:r>
        <w:rPr>
          <w:rFonts w:hint="eastAsia" w:ascii="仿宋"/>
        </w:rPr>
        <w:t xml:space="preserve">     </w:t>
      </w:r>
      <w:r>
        <w:rPr>
          <w:rFonts w:hint="eastAsia" w:ascii="楷体" w:hAnsi="楷体" w:eastAsia="楷体"/>
          <w:szCs w:val="32"/>
        </w:rPr>
        <w:t>（一）首接信访事项</w:t>
      </w:r>
    </w:p>
    <w:p>
      <w:pPr>
        <w:ind w:firstLine="640" w:firstLineChars="200"/>
        <w:rPr>
          <w:rFonts w:ascii="仿宋" w:hAnsi="仿宋"/>
          <w:szCs w:val="32"/>
        </w:rPr>
      </w:pPr>
      <w:r>
        <w:rPr>
          <w:rFonts w:hint="eastAsia" w:ascii="仿宋" w:hAnsi="仿宋"/>
          <w:szCs w:val="32"/>
        </w:rPr>
        <w:t>1、对群众来信、来电、来访、上级部门转来的信访件及领导批示信访件等，统一由信访办公室指定专人第一时间受理、登记，并根据案件性质，依法予以办理、转办、督办。</w:t>
      </w:r>
    </w:p>
    <w:p>
      <w:pPr>
        <w:ind w:firstLine="640" w:firstLineChars="200"/>
        <w:rPr>
          <w:rFonts w:ascii="仿宋" w:hAnsi="仿宋"/>
          <w:szCs w:val="32"/>
        </w:rPr>
      </w:pPr>
      <w:r>
        <w:rPr>
          <w:rFonts w:hint="eastAsia" w:ascii="仿宋" w:hAnsi="仿宋"/>
          <w:szCs w:val="32"/>
        </w:rPr>
        <w:t>2、对人民群众来访，应热情接待，耐心询问，认真作好记录，并请来访人阅看记录确认后签名，对来访问题能当面答复的要当面答复，不能当面答复的应在规定时间内答复。</w:t>
      </w:r>
    </w:p>
    <w:p>
      <w:pPr>
        <w:ind w:firstLine="640" w:firstLineChars="200"/>
        <w:rPr>
          <w:rFonts w:ascii="仿宋" w:hAnsi="仿宋"/>
          <w:szCs w:val="32"/>
        </w:rPr>
      </w:pPr>
      <w:r>
        <w:rPr>
          <w:rFonts w:hint="eastAsia" w:ascii="仿宋" w:hAnsi="仿宋"/>
          <w:szCs w:val="32"/>
        </w:rPr>
        <w:t>3、在接待来访信访人时，如遇重大、紧急信访事项，或办公室无法对上访人做出解释、信访人反映强烈的，应妥善控制好现场，并及时通知相关部门派员接待处理，有关单位应积极配合。</w:t>
      </w:r>
    </w:p>
    <w:p>
      <w:pPr>
        <w:ind w:firstLine="640" w:firstLineChars="200"/>
        <w:rPr>
          <w:rFonts w:ascii="仿宋" w:hAnsi="仿宋"/>
          <w:szCs w:val="32"/>
        </w:rPr>
      </w:pPr>
      <w:r>
        <w:rPr>
          <w:rFonts w:hint="eastAsia" w:ascii="楷体" w:hAnsi="楷体" w:eastAsia="楷体"/>
          <w:szCs w:val="32"/>
        </w:rPr>
        <w:t>（二）分类办理信访事项</w:t>
      </w:r>
    </w:p>
    <w:p>
      <w:pPr>
        <w:ind w:firstLine="640" w:firstLineChars="200"/>
        <w:rPr>
          <w:rFonts w:ascii="仿宋" w:hAnsi="仿宋"/>
          <w:szCs w:val="32"/>
        </w:rPr>
      </w:pPr>
      <w:r>
        <w:rPr>
          <w:rFonts w:hint="eastAsia" w:ascii="仿宋" w:hAnsi="仿宋"/>
          <w:szCs w:val="32"/>
        </w:rPr>
        <w:t>1、按照“谁主管、谁办理”的分类办理原则，对新区信访办受理的信访案件，由办公室主任直接签批给相关部门或直属单位办理。</w:t>
      </w:r>
    </w:p>
    <w:p>
      <w:pPr>
        <w:ind w:firstLine="640" w:firstLineChars="200"/>
        <w:rPr>
          <w:rFonts w:ascii="仿宋" w:hAnsi="仿宋"/>
          <w:szCs w:val="32"/>
        </w:rPr>
      </w:pPr>
      <w:r>
        <w:rPr>
          <w:rFonts w:hint="eastAsia" w:ascii="仿宋" w:hAnsi="仿宋"/>
          <w:szCs w:val="32"/>
        </w:rPr>
        <w:t>2、信访事项涉及刑事案件、行政执法业务、案件定性处理不公、执法过错案件认定以及不作为、乱作为等违法违纪的，交由相关部门办理；涉及多个部门的，由信访办协调相关部门办理。</w:t>
      </w:r>
    </w:p>
    <w:p>
      <w:pPr>
        <w:ind w:firstLine="640" w:firstLineChars="200"/>
        <w:rPr>
          <w:rFonts w:ascii="仿宋" w:hAnsi="仿宋"/>
          <w:szCs w:val="32"/>
        </w:rPr>
      </w:pPr>
      <w:r>
        <w:rPr>
          <w:rFonts w:hint="eastAsia" w:ascii="仿宋" w:hAnsi="仿宋"/>
          <w:szCs w:val="32"/>
        </w:rPr>
        <w:t>3、信访办在办理信访事项时，要按照有关规定开展信访调查，做出处理意见，并拟出给信访人的答复意见书，及时答复信访人。</w:t>
      </w:r>
    </w:p>
    <w:p>
      <w:pPr>
        <w:ind w:firstLine="640" w:firstLineChars="200"/>
        <w:rPr>
          <w:rFonts w:ascii="仿宋" w:hAnsi="仿宋"/>
          <w:szCs w:val="32"/>
        </w:rPr>
      </w:pPr>
      <w:r>
        <w:rPr>
          <w:rFonts w:hint="eastAsia" w:ascii="仿宋" w:hAnsi="仿宋"/>
          <w:szCs w:val="32"/>
        </w:rPr>
        <w:t>4、针对农民工上访事项，新区采取缴纳农民工保障金的方式。凡是新区域内的工程项目，必须缴纳农民工保障金，并提供项目风险评估报告，同时指定一名项目责任人。</w:t>
      </w:r>
    </w:p>
    <w:p>
      <w:pPr>
        <w:ind w:firstLine="640" w:firstLineChars="200"/>
        <w:rPr>
          <w:rFonts w:ascii="仿宋" w:hAnsi="仿宋"/>
          <w:szCs w:val="32"/>
        </w:rPr>
      </w:pPr>
      <w:r>
        <w:rPr>
          <w:rFonts w:hint="eastAsia" w:ascii="楷体" w:hAnsi="楷体" w:eastAsia="楷体"/>
          <w:szCs w:val="32"/>
        </w:rPr>
        <w:t>（三）督办信访事项</w:t>
      </w:r>
    </w:p>
    <w:p>
      <w:pPr>
        <w:ind w:firstLine="640" w:firstLineChars="200"/>
        <w:rPr>
          <w:rFonts w:ascii="仿宋" w:hAnsi="仿宋"/>
          <w:szCs w:val="32"/>
        </w:rPr>
      </w:pPr>
      <w:r>
        <w:rPr>
          <w:rFonts w:hint="eastAsia" w:ascii="仿宋" w:hAnsi="仿宋"/>
          <w:szCs w:val="32"/>
        </w:rPr>
        <w:t>1、信访承办人员在办理信访件时，应做到件件有着落，事事有结果；一般信访件一个月内办理完毕，重大信访件不得超过三个月，信访件办理完毕，要及时报送处理结果，实现案结事了、停访息诉；对不能及时办理的，应书面说明情况。</w:t>
      </w:r>
    </w:p>
    <w:p>
      <w:pPr>
        <w:ind w:firstLine="640" w:firstLineChars="200"/>
        <w:rPr>
          <w:rFonts w:ascii="仿宋" w:hAnsi="仿宋"/>
          <w:szCs w:val="32"/>
        </w:rPr>
      </w:pPr>
      <w:r>
        <w:rPr>
          <w:rFonts w:hint="eastAsia" w:ascii="仿宋" w:hAnsi="仿宋"/>
          <w:szCs w:val="32"/>
        </w:rPr>
        <w:t>2、对上级领导批交办的重大信访件，应指定人员办理。</w:t>
      </w:r>
    </w:p>
    <w:p>
      <w:pPr>
        <w:ind w:firstLine="640" w:firstLineChars="200"/>
        <w:rPr>
          <w:rFonts w:ascii="仿宋" w:hAnsi="仿宋"/>
          <w:szCs w:val="32"/>
        </w:rPr>
      </w:pPr>
      <w:r>
        <w:rPr>
          <w:rFonts w:hint="eastAsia" w:ascii="仿宋" w:hAnsi="仿宋"/>
          <w:szCs w:val="32"/>
        </w:rPr>
        <w:t>3、对不属本</w:t>
      </w:r>
      <w:bookmarkStart w:id="537" w:name="_GoBack"/>
      <w:r>
        <w:rPr>
          <w:rFonts w:hint="eastAsia" w:ascii="仿宋" w:hAnsi="仿宋"/>
          <w:szCs w:val="32"/>
        </w:rPr>
        <w:t>部门职责</w:t>
      </w:r>
      <w:bookmarkEnd w:id="537"/>
      <w:r>
        <w:rPr>
          <w:rFonts w:hint="eastAsia" w:ascii="仿宋" w:hAnsi="仿宋"/>
          <w:szCs w:val="32"/>
        </w:rPr>
        <w:t>范围内处理解决的信访件，应做好解释工作，根据“谁主管，谁负责”的原则，与有关部门联系，移送有关材料，由有关部门办理。</w:t>
      </w:r>
    </w:p>
    <w:p>
      <w:pPr>
        <w:ind w:firstLine="640" w:firstLineChars="200"/>
        <w:outlineLvl w:val="0"/>
        <w:rPr>
          <w:rFonts w:ascii="黑体" w:hAnsi="黑体" w:eastAsia="黑体"/>
          <w:szCs w:val="32"/>
        </w:rPr>
      </w:pPr>
      <w:bookmarkStart w:id="492" w:name="_Toc14629"/>
      <w:bookmarkStart w:id="493" w:name="_Toc25389"/>
      <w:bookmarkStart w:id="494" w:name="_Toc20904"/>
      <w:bookmarkStart w:id="495" w:name="_Toc29729"/>
      <w:bookmarkStart w:id="496" w:name="_Toc10374"/>
      <w:bookmarkStart w:id="497" w:name="_Toc3678"/>
      <w:bookmarkStart w:id="498" w:name="_Toc674"/>
      <w:r>
        <w:rPr>
          <w:rFonts w:hint="eastAsia" w:ascii="黑体" w:hAnsi="黑体" w:eastAsia="黑体"/>
          <w:szCs w:val="32"/>
        </w:rPr>
        <w:t>五、建立协作机制</w:t>
      </w:r>
      <w:r>
        <w:rPr>
          <w:rFonts w:hint="eastAsia" w:ascii="黑体" w:eastAsia="黑体"/>
          <w:szCs w:val="32"/>
        </w:rPr>
        <w:t> </w:t>
      </w:r>
      <w:bookmarkEnd w:id="492"/>
      <w:bookmarkEnd w:id="493"/>
      <w:bookmarkEnd w:id="494"/>
      <w:bookmarkEnd w:id="495"/>
      <w:bookmarkEnd w:id="496"/>
      <w:bookmarkEnd w:id="497"/>
      <w:bookmarkEnd w:id="498"/>
    </w:p>
    <w:p>
      <w:pPr>
        <w:ind w:firstLine="640" w:firstLineChars="200"/>
        <w:rPr>
          <w:rFonts w:ascii="仿宋" w:hAnsi="仿宋"/>
          <w:szCs w:val="32"/>
          <w:lang w:val="en"/>
        </w:rPr>
      </w:pPr>
      <w:r>
        <w:rPr>
          <w:rFonts w:hint="eastAsia" w:ascii="仿宋" w:hAnsi="仿宋"/>
          <w:szCs w:val="32"/>
          <w:lang w:val="en"/>
        </w:rPr>
        <w:t>信访办应指定专人负责本系统信访对接、办理工作，各部门应指定一名信访联络员，负责组织、安排、协调、督促办理信访事项相关工作，整理、汇总有关资料，定期互通信息。同时认真分析办理的信访事项，提出工作建议。对信访反映的重大或复杂疑难信访事项，可报请新区信访分管领导同意后，召集信访相关业务骨干，共同研究、提出办理建议。信访联络员要主动与有关部门沟通、配合，做好工作衔接，及时办理群众反映的信访事项，同时做好跟踪回访和息访息诉工作。</w:t>
      </w:r>
    </w:p>
    <w:p>
      <w:pPr>
        <w:ind w:firstLine="640" w:firstLineChars="200"/>
        <w:outlineLvl w:val="0"/>
        <w:rPr>
          <w:rFonts w:ascii="黑体" w:hAnsi="黑体" w:eastAsia="黑体"/>
          <w:szCs w:val="32"/>
        </w:rPr>
      </w:pPr>
      <w:bookmarkStart w:id="499" w:name="_Toc30835"/>
      <w:bookmarkStart w:id="500" w:name="_Toc7594"/>
      <w:bookmarkStart w:id="501" w:name="_Toc14679"/>
      <w:bookmarkStart w:id="502" w:name="_Toc21966"/>
      <w:bookmarkStart w:id="503" w:name="_Toc5450"/>
      <w:bookmarkStart w:id="504" w:name="_Toc3388"/>
      <w:r>
        <w:rPr>
          <w:rFonts w:hint="eastAsia" w:ascii="黑体" w:hAnsi="黑体" w:eastAsia="黑体"/>
          <w:szCs w:val="32"/>
        </w:rPr>
        <w:t>六、规范信访卷宗</w:t>
      </w:r>
      <w:bookmarkEnd w:id="499"/>
      <w:bookmarkEnd w:id="500"/>
      <w:bookmarkEnd w:id="501"/>
      <w:bookmarkEnd w:id="502"/>
      <w:bookmarkEnd w:id="503"/>
      <w:bookmarkEnd w:id="504"/>
    </w:p>
    <w:p>
      <w:pPr>
        <w:ind w:firstLine="640" w:firstLineChars="200"/>
        <w:rPr>
          <w:rFonts w:ascii="仿宋" w:hAnsi="仿宋"/>
          <w:szCs w:val="32"/>
        </w:rPr>
      </w:pPr>
      <w:r>
        <w:rPr>
          <w:rFonts w:hint="eastAsia" w:ascii="仿宋" w:hAnsi="仿宋"/>
          <w:szCs w:val="32"/>
        </w:rPr>
        <w:t>在办理信访案件时，要按照信访事项办理程序规定，规范信访工作流程，诉求件、领导批示件、信访告知单、答复意见书及相关证明等卷宗材料应存档保存。</w:t>
      </w:r>
    </w:p>
    <w:p>
      <w:pPr>
        <w:ind w:firstLine="640" w:firstLineChars="200"/>
        <w:rPr>
          <w:rFonts w:ascii="仿宋" w:hAnsi="仿宋"/>
          <w:szCs w:val="32"/>
        </w:rPr>
      </w:pPr>
      <w:r>
        <w:rPr>
          <w:rFonts w:hint="eastAsia" w:ascii="仿宋" w:hAnsi="仿宋"/>
          <w:szCs w:val="32"/>
        </w:rPr>
        <w:t>本制度自发布之日起实施。</w:t>
      </w:r>
    </w:p>
    <w:p>
      <w:pPr>
        <w:ind w:firstLine="640" w:firstLineChars="200"/>
        <w:rPr>
          <w:rFonts w:ascii="仿宋" w:hAnsi="仿宋"/>
          <w:szCs w:val="32"/>
        </w:rPr>
      </w:pPr>
    </w:p>
    <w:p>
      <w:pPr>
        <w:ind w:firstLine="640" w:firstLineChars="200"/>
        <w:rPr>
          <w:rFonts w:ascii="仿宋" w:hAnsi="仿宋"/>
          <w:szCs w:val="32"/>
        </w:rPr>
      </w:pPr>
    </w:p>
    <w:p>
      <w:pPr>
        <w:ind w:firstLine="640" w:firstLineChars="200"/>
        <w:rPr>
          <w:rFonts w:ascii="仿宋" w:hAnsi="仿宋"/>
          <w:szCs w:val="32"/>
        </w:rPr>
      </w:pPr>
    </w:p>
    <w:p>
      <w:pPr>
        <w:ind w:firstLine="640" w:firstLineChars="200"/>
        <w:rPr>
          <w:rFonts w:ascii="仿宋" w:hAnsi="仿宋"/>
          <w:szCs w:val="32"/>
        </w:rPr>
      </w:pPr>
    </w:p>
    <w:p>
      <w:pPr>
        <w:ind w:firstLine="640" w:firstLineChars="200"/>
        <w:rPr>
          <w:rFonts w:ascii="仿宋" w:hAnsi="仿宋"/>
          <w:szCs w:val="32"/>
        </w:rPr>
      </w:pPr>
    </w:p>
    <w:p>
      <w:pPr>
        <w:ind w:firstLine="640" w:firstLineChars="200"/>
        <w:rPr>
          <w:rFonts w:ascii="仿宋" w:hAnsi="仿宋"/>
          <w:szCs w:val="32"/>
        </w:rPr>
      </w:pPr>
    </w:p>
    <w:p>
      <w:pPr>
        <w:ind w:firstLine="640" w:firstLineChars="200"/>
        <w:rPr>
          <w:rFonts w:ascii="仿宋" w:hAnsi="仿宋"/>
          <w:szCs w:val="32"/>
        </w:rPr>
      </w:pPr>
    </w:p>
    <w:p>
      <w:pPr>
        <w:ind w:firstLine="640" w:firstLineChars="200"/>
        <w:rPr>
          <w:rFonts w:ascii="仿宋" w:hAnsi="仿宋"/>
          <w:szCs w:val="32"/>
        </w:rPr>
      </w:pPr>
    </w:p>
    <w:p>
      <w:pPr>
        <w:ind w:firstLine="640" w:firstLineChars="200"/>
        <w:rPr>
          <w:rFonts w:ascii="仿宋" w:hAnsi="仿宋"/>
          <w:szCs w:val="32"/>
        </w:rPr>
      </w:pPr>
    </w:p>
    <w:p>
      <w:pPr>
        <w:ind w:firstLine="640" w:firstLineChars="200"/>
        <w:rPr>
          <w:rFonts w:ascii="仿宋" w:hAnsi="仿宋"/>
          <w:szCs w:val="32"/>
        </w:rPr>
      </w:pPr>
    </w:p>
    <w:p>
      <w:pPr>
        <w:ind w:firstLine="640" w:firstLineChars="200"/>
        <w:rPr>
          <w:rFonts w:ascii="仿宋" w:hAnsi="仿宋"/>
          <w:szCs w:val="32"/>
        </w:rPr>
      </w:pPr>
    </w:p>
    <w:p>
      <w:pPr>
        <w:pStyle w:val="2"/>
        <w:rPr>
          <w:rFonts w:ascii="仿宋" w:hAnsi="仿宋"/>
          <w:sz w:val="32"/>
          <w:szCs w:val="32"/>
        </w:rPr>
      </w:pPr>
      <w:bookmarkStart w:id="505" w:name="_Toc8376"/>
      <w:r>
        <w:rPr>
          <w:rFonts w:hint="eastAsia" w:ascii="仿宋" w:hAnsi="仿宋"/>
          <w:sz w:val="32"/>
          <w:szCs w:val="32"/>
        </w:rPr>
        <w:drawing>
          <wp:inline distT="0" distB="0" distL="114300" distR="114300">
            <wp:extent cx="5270500" cy="7905750"/>
            <wp:effectExtent l="0" t="0" r="6350" b="0"/>
            <wp:docPr id="108" name="图片 108" descr="信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信访"/>
                    <pic:cNvPicPr>
                      <a:picLocks noChangeAspect="1"/>
                    </pic:cNvPicPr>
                  </pic:nvPicPr>
                  <pic:blipFill>
                    <a:blip r:embed="rId20"/>
                    <a:stretch>
                      <a:fillRect/>
                    </a:stretch>
                  </pic:blipFill>
                  <pic:spPr>
                    <a:xfrm>
                      <a:off x="0" y="0"/>
                      <a:ext cx="5270500" cy="7905750"/>
                    </a:xfrm>
                    <a:prstGeom prst="rect">
                      <a:avLst/>
                    </a:prstGeom>
                  </pic:spPr>
                </pic:pic>
              </a:graphicData>
            </a:graphic>
          </wp:inline>
        </w:drawing>
      </w:r>
      <w:bookmarkEnd w:id="505"/>
    </w:p>
    <w:p>
      <w:pPr>
        <w:pStyle w:val="2"/>
        <w:rPr>
          <w:rFonts w:ascii="仿宋" w:hAnsi="仿宋"/>
          <w:sz w:val="32"/>
          <w:szCs w:val="32"/>
        </w:rPr>
      </w:pPr>
    </w:p>
    <w:p>
      <w:pPr>
        <w:pStyle w:val="2"/>
      </w:pPr>
      <w:bookmarkStart w:id="506" w:name="_Toc22101"/>
      <w:r>
        <w:rPr>
          <w:rFonts w:hint="eastAsia"/>
        </w:rPr>
        <w:t>21、后勤管理制度</w:t>
      </w:r>
      <w:bookmarkEnd w:id="506"/>
    </w:p>
    <w:p>
      <w:pPr>
        <w:adjustRightInd w:val="0"/>
        <w:ind w:firstLine="640" w:firstLineChars="200"/>
        <w:outlineLvl w:val="0"/>
        <w:rPr>
          <w:rFonts w:ascii="黑体" w:hAnsi="黑体" w:eastAsia="黑体" w:cs="黑体"/>
          <w:bCs/>
          <w:szCs w:val="32"/>
        </w:rPr>
      </w:pPr>
      <w:bookmarkStart w:id="507" w:name="_Toc14349"/>
      <w:bookmarkStart w:id="508" w:name="_Toc11370"/>
      <w:bookmarkStart w:id="509" w:name="_Toc23839"/>
      <w:bookmarkStart w:id="510" w:name="_Toc26822"/>
      <w:r>
        <w:rPr>
          <w:rFonts w:hint="eastAsia" w:ascii="黑体" w:hAnsi="黑体" w:eastAsia="黑体" w:cs="黑体"/>
          <w:bCs/>
          <w:szCs w:val="32"/>
        </w:rPr>
        <w:t>一、新区食堂就餐管理</w:t>
      </w:r>
      <w:bookmarkEnd w:id="507"/>
      <w:bookmarkEnd w:id="508"/>
      <w:bookmarkEnd w:id="509"/>
      <w:bookmarkEnd w:id="510"/>
    </w:p>
    <w:p>
      <w:pPr>
        <w:ind w:firstLine="640" w:firstLineChars="200"/>
        <w:jc w:val="left"/>
        <w:rPr>
          <w:rFonts w:ascii="仿宋" w:hAnsi="仿宋" w:cs="仿宋"/>
          <w:szCs w:val="32"/>
        </w:rPr>
      </w:pPr>
      <w:r>
        <w:rPr>
          <w:rFonts w:hint="eastAsia" w:ascii="仿宋" w:hAnsi="仿宋" w:cs="仿宋"/>
          <w:szCs w:val="32"/>
        </w:rPr>
        <w:t>1、严格遵守就餐时间，按时开饭。就餐职工和食堂职工双方应相互尊重，自觉遵守用餐规定，保持良好秩序，不得大声喧哗，禁止在食堂内吸烟。</w:t>
      </w:r>
    </w:p>
    <w:p>
      <w:pPr>
        <w:spacing w:line="360" w:lineRule="auto"/>
        <w:ind w:firstLine="640" w:firstLineChars="200"/>
        <w:rPr>
          <w:rFonts w:ascii="仿宋" w:hAnsi="仿宋" w:cs="仿宋"/>
          <w:szCs w:val="32"/>
        </w:rPr>
      </w:pPr>
      <w:r>
        <w:rPr>
          <w:rFonts w:hint="eastAsia" w:ascii="仿宋" w:hAnsi="仿宋" w:cs="仿宋"/>
          <w:szCs w:val="32"/>
        </w:rPr>
        <w:t>2、职工打饭、打菜必须排队，自觉接受食堂工作人员的管理；不准插队，严格禁止一人打两份或多份；严格禁止替他人打饭、打菜，不在餐厅就餐。</w:t>
      </w:r>
    </w:p>
    <w:p>
      <w:pPr>
        <w:spacing w:line="360" w:lineRule="auto"/>
        <w:ind w:firstLine="640" w:firstLineChars="200"/>
        <w:rPr>
          <w:rFonts w:ascii="仿宋" w:hAnsi="仿宋" w:cs="仿宋"/>
          <w:szCs w:val="32"/>
        </w:rPr>
      </w:pPr>
      <w:r>
        <w:rPr>
          <w:rFonts w:hint="eastAsia" w:ascii="仿宋" w:hAnsi="仿宋" w:cs="仿宋"/>
          <w:szCs w:val="32"/>
        </w:rPr>
        <w:t>3、食堂仅允许本单位职工用餐，不允许外来人员用餐，如有特殊情况，需在常规用餐起始时间的90分钟前告知食堂。</w:t>
      </w:r>
    </w:p>
    <w:p>
      <w:pPr>
        <w:spacing w:line="360" w:lineRule="auto"/>
        <w:ind w:firstLine="640" w:firstLineChars="200"/>
        <w:rPr>
          <w:rFonts w:ascii="仿宋" w:hAnsi="仿宋" w:cs="仿宋"/>
          <w:szCs w:val="32"/>
        </w:rPr>
      </w:pPr>
      <w:r>
        <w:rPr>
          <w:rFonts w:hint="eastAsia" w:ascii="仿宋" w:hAnsi="仿宋" w:cs="仿宋"/>
          <w:szCs w:val="32"/>
        </w:rPr>
        <w:t>4、就餐职工需每人每月按要求缴纳伙食费。非食堂工作人员不可进入厨房，在非用餐时间内不可进入餐厅。</w:t>
      </w:r>
    </w:p>
    <w:p>
      <w:pPr>
        <w:adjustRightInd w:val="0"/>
        <w:ind w:firstLine="640" w:firstLineChars="200"/>
        <w:rPr>
          <w:rFonts w:ascii="仿宋" w:hAnsi="仿宋" w:cs="仿宋"/>
          <w:szCs w:val="32"/>
        </w:rPr>
      </w:pPr>
      <w:r>
        <w:rPr>
          <w:rFonts w:hint="eastAsia" w:ascii="仿宋" w:hAnsi="仿宋" w:cs="仿宋"/>
          <w:szCs w:val="32"/>
        </w:rPr>
        <w:t>5、食堂不允许打包任何食品。用餐时需遵行勤拿少取、避免浪费的原则。用餐时请注意保持卫生，用餐后自行将餐具放到指定位置，方便工作人员清洗。</w:t>
      </w:r>
    </w:p>
    <w:p>
      <w:pPr>
        <w:adjustRightInd w:val="0"/>
        <w:ind w:firstLine="640" w:firstLineChars="200"/>
        <w:outlineLvl w:val="0"/>
        <w:rPr>
          <w:rFonts w:ascii="黑体" w:eastAsia="黑体"/>
          <w:szCs w:val="32"/>
        </w:rPr>
      </w:pPr>
      <w:bookmarkStart w:id="511" w:name="_Toc20843"/>
      <w:bookmarkStart w:id="512" w:name="_Toc3747"/>
      <w:bookmarkStart w:id="513" w:name="_Toc15553"/>
      <w:bookmarkStart w:id="514" w:name="_Toc29251"/>
      <w:bookmarkStart w:id="515" w:name="_Toc20948"/>
      <w:r>
        <w:rPr>
          <w:rFonts w:hint="eastAsia" w:ascii="黑体" w:eastAsia="黑体"/>
          <w:szCs w:val="32"/>
        </w:rPr>
        <w:t>二、物业服务监管</w:t>
      </w:r>
      <w:bookmarkEnd w:id="511"/>
      <w:bookmarkEnd w:id="512"/>
      <w:bookmarkEnd w:id="513"/>
      <w:bookmarkEnd w:id="514"/>
      <w:bookmarkEnd w:id="515"/>
    </w:p>
    <w:p>
      <w:pPr>
        <w:spacing w:line="220" w:lineRule="atLeast"/>
        <w:ind w:firstLine="643" w:firstLineChars="200"/>
        <w:rPr>
          <w:rFonts w:ascii="楷体" w:hAnsi="楷体" w:eastAsia="楷体" w:cs="楷体"/>
          <w:b/>
          <w:szCs w:val="32"/>
        </w:rPr>
      </w:pPr>
      <w:r>
        <w:rPr>
          <w:rFonts w:hint="eastAsia" w:ascii="楷体" w:hAnsi="楷体" w:eastAsia="楷体" w:cs="楷体"/>
          <w:b/>
          <w:szCs w:val="32"/>
        </w:rPr>
        <w:t>（一）监管部门</w:t>
      </w:r>
    </w:p>
    <w:p>
      <w:pPr>
        <w:spacing w:line="220" w:lineRule="atLeast"/>
        <w:ind w:firstLine="640" w:firstLineChars="200"/>
        <w:rPr>
          <w:rFonts w:ascii="仿宋" w:hAnsi="仿宋" w:cs="仿宋"/>
          <w:b/>
          <w:szCs w:val="32"/>
        </w:rPr>
      </w:pPr>
      <w:r>
        <w:rPr>
          <w:rFonts w:hint="eastAsia" w:ascii="仿宋" w:hAnsi="仿宋" w:cs="仿宋"/>
          <w:szCs w:val="32"/>
        </w:rPr>
        <w:t>办公楼物业服务监管由行政办公室负责，并设置专人负责物业服务监督。</w:t>
      </w:r>
    </w:p>
    <w:p>
      <w:pPr>
        <w:spacing w:line="220" w:lineRule="atLeast"/>
        <w:ind w:firstLine="643" w:firstLineChars="200"/>
        <w:rPr>
          <w:rFonts w:ascii="楷体" w:hAnsi="楷体" w:eastAsia="楷体" w:cs="楷体"/>
          <w:b/>
          <w:szCs w:val="32"/>
        </w:rPr>
      </w:pPr>
      <w:r>
        <w:rPr>
          <w:rFonts w:hint="eastAsia" w:ascii="楷体" w:hAnsi="楷体" w:eastAsia="楷体" w:cs="楷体"/>
          <w:b/>
          <w:szCs w:val="32"/>
        </w:rPr>
        <w:t>（二）监管范围</w:t>
      </w:r>
    </w:p>
    <w:p>
      <w:pPr>
        <w:spacing w:line="220" w:lineRule="atLeast"/>
        <w:ind w:firstLine="640" w:firstLineChars="200"/>
        <w:rPr>
          <w:rFonts w:ascii="仿宋" w:hAnsi="仿宋" w:cs="仿宋"/>
          <w:szCs w:val="32"/>
        </w:rPr>
      </w:pPr>
      <w:r>
        <w:rPr>
          <w:rFonts w:hint="eastAsia" w:ascii="仿宋" w:hAnsi="仿宋" w:cs="仿宋"/>
          <w:szCs w:val="32"/>
        </w:rPr>
        <w:t>物业服务监管包括食堂、门卫、保洁、维修、客服等方面内容。</w:t>
      </w:r>
    </w:p>
    <w:p>
      <w:pPr>
        <w:spacing w:line="220" w:lineRule="atLeast"/>
        <w:ind w:firstLine="643" w:firstLineChars="200"/>
        <w:outlineLvl w:val="0"/>
        <w:rPr>
          <w:rFonts w:ascii="楷体" w:hAnsi="楷体" w:eastAsia="楷体" w:cs="楷体"/>
          <w:b/>
          <w:szCs w:val="32"/>
        </w:rPr>
      </w:pPr>
      <w:bookmarkStart w:id="516" w:name="_Toc6317"/>
      <w:bookmarkStart w:id="517" w:name="_Toc695"/>
      <w:bookmarkStart w:id="518" w:name="_Toc9920"/>
      <w:bookmarkStart w:id="519" w:name="_Toc13283"/>
      <w:bookmarkStart w:id="520" w:name="_Toc3897"/>
      <w:bookmarkStart w:id="521" w:name="_Toc31768"/>
      <w:bookmarkStart w:id="522" w:name="_Toc12027"/>
      <w:bookmarkStart w:id="523" w:name="_Toc9543"/>
      <w:r>
        <w:rPr>
          <w:rFonts w:hint="eastAsia" w:ascii="楷体" w:hAnsi="楷体" w:eastAsia="楷体" w:cs="楷体"/>
          <w:b/>
          <w:szCs w:val="32"/>
        </w:rPr>
        <w:t>（三）监管要求</w:t>
      </w:r>
      <w:bookmarkEnd w:id="516"/>
      <w:bookmarkEnd w:id="517"/>
      <w:bookmarkEnd w:id="518"/>
      <w:bookmarkEnd w:id="519"/>
      <w:bookmarkEnd w:id="520"/>
      <w:bookmarkEnd w:id="521"/>
      <w:bookmarkEnd w:id="522"/>
      <w:bookmarkEnd w:id="523"/>
    </w:p>
    <w:p>
      <w:pPr>
        <w:ind w:firstLine="640" w:firstLineChars="200"/>
        <w:jc w:val="left"/>
        <w:rPr>
          <w:rFonts w:ascii="仿宋" w:hAnsi="仿宋" w:cs="仿宋"/>
          <w:szCs w:val="32"/>
        </w:rPr>
      </w:pPr>
      <w:r>
        <w:rPr>
          <w:rFonts w:hint="eastAsia" w:ascii="仿宋" w:hAnsi="仿宋" w:cs="仿宋"/>
          <w:szCs w:val="32"/>
        </w:rPr>
        <w:t>1、门卫管理</w:t>
      </w:r>
    </w:p>
    <w:p>
      <w:pPr>
        <w:ind w:firstLine="640" w:firstLineChars="200"/>
        <w:jc w:val="left"/>
        <w:rPr>
          <w:rFonts w:ascii="仿宋" w:hAnsi="仿宋" w:cs="仿宋"/>
          <w:szCs w:val="32"/>
        </w:rPr>
      </w:pPr>
      <w:r>
        <w:rPr>
          <w:rFonts w:hint="eastAsia" w:ascii="仿宋" w:hAnsi="仿宋" w:cs="仿宋"/>
          <w:szCs w:val="32"/>
        </w:rPr>
        <w:t>（1）对于外来宾客要进入办公楼，应问明情况，请对方出示有效证件，对来宾进行登记，并与要访人员进行电话联系。</w:t>
      </w:r>
    </w:p>
    <w:p>
      <w:pPr>
        <w:ind w:firstLine="640" w:firstLineChars="200"/>
        <w:jc w:val="left"/>
        <w:rPr>
          <w:rFonts w:ascii="仿宋" w:hAnsi="仿宋" w:cs="仿宋"/>
          <w:szCs w:val="32"/>
        </w:rPr>
      </w:pPr>
      <w:r>
        <w:rPr>
          <w:rFonts w:hint="eastAsia" w:ascii="仿宋" w:hAnsi="仿宋" w:cs="仿宋"/>
          <w:szCs w:val="32"/>
        </w:rPr>
        <w:t>（2）严格执行单位物资管理规定，任何物资进出单位大门，均应进行检查，特殊物资需在门卫登记，未经登记的物资，门卫人员不予放行；凡单位进出货物必须经相关部门的负责人同意，核对无误后方可放行，否则，不予放行。 </w:t>
      </w:r>
    </w:p>
    <w:p>
      <w:pPr>
        <w:ind w:firstLine="640" w:firstLineChars="200"/>
        <w:rPr>
          <w:rFonts w:ascii="仿宋" w:hAnsi="仿宋" w:cs="仿宋"/>
          <w:szCs w:val="32"/>
        </w:rPr>
      </w:pPr>
      <w:r>
        <w:rPr>
          <w:rFonts w:hint="eastAsia" w:ascii="仿宋" w:hAnsi="仿宋" w:cs="仿宋"/>
          <w:szCs w:val="32"/>
        </w:rPr>
        <w:t>（3）禁止商贩、产品推销人员、收旧、拾荒、乞讨等人员进入办公楼。办公楼前只能允许停放公务用车及上级检查车辆。</w:t>
      </w:r>
    </w:p>
    <w:p>
      <w:pPr>
        <w:ind w:firstLine="640" w:firstLineChars="200"/>
        <w:rPr>
          <w:rFonts w:ascii="仿宋" w:hAnsi="仿宋" w:cs="仿宋"/>
          <w:szCs w:val="32"/>
        </w:rPr>
      </w:pPr>
      <w:r>
        <w:rPr>
          <w:rFonts w:hint="eastAsia" w:ascii="仿宋" w:hAnsi="仿宋" w:cs="仿宋"/>
          <w:szCs w:val="32"/>
        </w:rPr>
        <w:t>（4）负责办公楼防火、防盗、安全工作。每天下班后检查办公室门窗、电源等是否安全，及时锁好大门。遇有雷雨天及时关闭三楼水箱电源，以防雷电。</w:t>
      </w:r>
    </w:p>
    <w:p>
      <w:pPr>
        <w:ind w:firstLine="640" w:firstLineChars="200"/>
        <w:rPr>
          <w:rFonts w:ascii="仿宋" w:hAnsi="仿宋" w:cs="仿宋"/>
          <w:szCs w:val="32"/>
        </w:rPr>
      </w:pPr>
      <w:r>
        <w:rPr>
          <w:rFonts w:hint="eastAsia" w:ascii="仿宋" w:hAnsi="仿宋" w:cs="仿宋"/>
          <w:szCs w:val="32"/>
        </w:rPr>
        <w:t>（5）门卫在执勤时应坚守岗位、严格管理、文明值勤、热情服务，在执勤过程中要积极主动研判外来车辆、人员情况，对发现的问题妥善处置，并及时向物业公司负责人报告。</w:t>
      </w:r>
    </w:p>
    <w:p>
      <w:pPr>
        <w:spacing w:line="220" w:lineRule="atLeast"/>
        <w:ind w:firstLine="640" w:firstLineChars="200"/>
        <w:outlineLvl w:val="0"/>
        <w:rPr>
          <w:rFonts w:ascii="仿宋" w:hAnsi="仿宋" w:cs="仿宋"/>
          <w:szCs w:val="32"/>
        </w:rPr>
      </w:pPr>
      <w:bookmarkStart w:id="524" w:name="_Toc758"/>
      <w:bookmarkStart w:id="525" w:name="_Toc14850"/>
      <w:bookmarkStart w:id="526" w:name="_Toc16821"/>
      <w:bookmarkStart w:id="527" w:name="_Toc12274"/>
      <w:bookmarkStart w:id="528" w:name="_Toc10250"/>
      <w:bookmarkStart w:id="529" w:name="_Toc14581"/>
      <w:bookmarkStart w:id="530" w:name="_Toc21670"/>
      <w:bookmarkStart w:id="531" w:name="_Toc8791"/>
      <w:r>
        <w:rPr>
          <w:rFonts w:hint="eastAsia" w:ascii="仿宋" w:hAnsi="仿宋" w:cs="仿宋"/>
          <w:szCs w:val="32"/>
        </w:rPr>
        <w:t>2、保洁管理</w:t>
      </w:r>
      <w:bookmarkEnd w:id="524"/>
      <w:bookmarkEnd w:id="525"/>
      <w:bookmarkEnd w:id="526"/>
      <w:bookmarkEnd w:id="527"/>
      <w:bookmarkEnd w:id="528"/>
      <w:bookmarkEnd w:id="529"/>
      <w:bookmarkEnd w:id="530"/>
      <w:bookmarkEnd w:id="531"/>
    </w:p>
    <w:p>
      <w:pPr>
        <w:ind w:firstLine="640" w:firstLineChars="200"/>
        <w:rPr>
          <w:rFonts w:ascii="仿宋" w:hAnsi="仿宋" w:cs="仿宋"/>
          <w:szCs w:val="32"/>
        </w:rPr>
      </w:pPr>
      <w:r>
        <w:rPr>
          <w:rFonts w:hint="eastAsia" w:ascii="仿宋" w:hAnsi="仿宋" w:cs="仿宋"/>
          <w:szCs w:val="32"/>
        </w:rPr>
        <w:t>（1）保洁工作由物业公司指派专人负责管理。</w:t>
      </w:r>
    </w:p>
    <w:p>
      <w:pPr>
        <w:ind w:firstLine="640" w:firstLineChars="200"/>
        <w:rPr>
          <w:rFonts w:ascii="仿宋" w:hAnsi="仿宋" w:cs="仿宋"/>
          <w:szCs w:val="32"/>
        </w:rPr>
      </w:pPr>
      <w:r>
        <w:rPr>
          <w:rFonts w:hint="eastAsia" w:ascii="仿宋" w:hAnsi="仿宋" w:cs="仿宋"/>
          <w:szCs w:val="32"/>
        </w:rPr>
        <w:t>（2）卫生清理的标准是：门窗（玻璃、窗台、窗棂）上无浮尘；地面无污物、污水、浮土；四周墙壁及其附属物、装饰品无蜘蛛网、浮尘；镜子上无浮尘、污迹，水池无茶锈、水垢；桌椅摆放端正；卫生间墙面、地面、洁具、卫具清洁干净无水垢、无杂物、无异味。</w:t>
      </w:r>
    </w:p>
    <w:p>
      <w:pPr>
        <w:adjustRightInd w:val="0"/>
        <w:ind w:firstLine="960" w:firstLineChars="300"/>
        <w:outlineLvl w:val="0"/>
        <w:rPr>
          <w:rFonts w:ascii="黑体" w:eastAsia="黑体"/>
          <w:szCs w:val="32"/>
        </w:rPr>
      </w:pPr>
      <w:bookmarkStart w:id="532" w:name="_Toc31391"/>
      <w:bookmarkStart w:id="533" w:name="_Toc30625"/>
      <w:bookmarkStart w:id="534" w:name="_Toc12508"/>
      <w:bookmarkStart w:id="535" w:name="_Toc20313"/>
      <w:bookmarkStart w:id="536" w:name="_Toc20860"/>
      <w:r>
        <w:rPr>
          <w:rFonts w:hint="eastAsia" w:ascii="黑体" w:eastAsia="黑体"/>
          <w:szCs w:val="32"/>
        </w:rPr>
        <w:t>三、地面停车位管理制度</w:t>
      </w:r>
      <w:bookmarkEnd w:id="532"/>
      <w:bookmarkEnd w:id="533"/>
      <w:bookmarkEnd w:id="534"/>
      <w:bookmarkEnd w:id="535"/>
      <w:bookmarkEnd w:id="536"/>
    </w:p>
    <w:p>
      <w:pPr>
        <w:ind w:firstLine="640" w:firstLineChars="200"/>
        <w:rPr>
          <w:rFonts w:ascii="仿宋" w:hAnsi="仿宋" w:cs="仿宋"/>
          <w:szCs w:val="32"/>
        </w:rPr>
      </w:pPr>
      <w:r>
        <w:rPr>
          <w:rFonts w:hint="eastAsia" w:ascii="仿宋" w:hAnsi="仿宋" w:cs="仿宋"/>
          <w:szCs w:val="32"/>
        </w:rPr>
        <w:t>（一）院内停车场只限新区办公车辆及职工用车停放，车辆需通过车牌识别出入，非办公车辆及外来车辆严禁在停车场停放。</w:t>
      </w:r>
    </w:p>
    <w:p>
      <w:pPr>
        <w:ind w:firstLine="640" w:firstLineChars="200"/>
        <w:rPr>
          <w:rFonts w:ascii="仿宋" w:hAnsi="仿宋" w:cs="仿宋"/>
          <w:szCs w:val="32"/>
        </w:rPr>
      </w:pPr>
      <w:r>
        <w:rPr>
          <w:rFonts w:hint="eastAsia" w:ascii="仿宋" w:hAnsi="仿宋" w:cs="仿宋"/>
          <w:szCs w:val="32"/>
        </w:rPr>
        <w:t>（二）车辆进出车场时，严格按照一杆一车，杆起车走，杆落车停，车辆必须按规定线路行驶。</w:t>
      </w:r>
    </w:p>
    <w:p>
      <w:pPr>
        <w:ind w:firstLine="640" w:firstLineChars="200"/>
        <w:rPr>
          <w:rFonts w:ascii="仿宋" w:hAnsi="仿宋" w:cs="仿宋"/>
          <w:szCs w:val="32"/>
        </w:rPr>
      </w:pPr>
      <w:r>
        <w:rPr>
          <w:rFonts w:hint="eastAsia" w:ascii="仿宋" w:hAnsi="仿宋" w:cs="仿宋"/>
          <w:szCs w:val="32"/>
        </w:rPr>
        <w:t>（三）每个车位仅限停放一辆汽车，按标线有序停放，禁止占道停车，随意摆放。</w:t>
      </w:r>
    </w:p>
    <w:p>
      <w:pPr>
        <w:ind w:firstLine="640" w:firstLineChars="200"/>
        <w:rPr>
          <w:rFonts w:ascii="仿宋" w:hAnsi="仿宋" w:cs="仿宋"/>
          <w:szCs w:val="32"/>
        </w:rPr>
      </w:pPr>
      <w:r>
        <w:rPr>
          <w:rFonts w:hint="eastAsia" w:ascii="仿宋" w:hAnsi="仿宋" w:cs="仿宋"/>
          <w:szCs w:val="32"/>
        </w:rPr>
        <w:t>（四）车辆停妥熄火后，应将贵重物品随身携带，下车时须检查好车辆门窗是否关闭上锁。停车场内禁止职工车辆长期停放。</w:t>
      </w:r>
    </w:p>
    <w:p>
      <w:pPr>
        <w:ind w:firstLine="640" w:firstLineChars="200"/>
        <w:rPr>
          <w:rFonts w:ascii="仿宋" w:hAnsi="仿宋" w:cs="仿宋"/>
          <w:szCs w:val="32"/>
        </w:rPr>
      </w:pPr>
      <w:r>
        <w:rPr>
          <w:rFonts w:hint="eastAsia" w:ascii="仿宋" w:hAnsi="仿宋" w:cs="仿宋"/>
          <w:szCs w:val="32"/>
        </w:rPr>
        <w:t>（五）严禁在停车场内吸烟，严禁车辆和个人携带易燃、易爆、易腐蚀等危险品进入停车场。</w:t>
      </w:r>
    </w:p>
    <w:p>
      <w:pPr>
        <w:ind w:firstLine="640" w:firstLineChars="200"/>
        <w:rPr>
          <w:rFonts w:ascii="仿宋" w:hAnsi="仿宋" w:cs="仿宋"/>
          <w:szCs w:val="32"/>
        </w:rPr>
      </w:pPr>
      <w:r>
        <w:rPr>
          <w:rFonts w:hint="eastAsia" w:ascii="仿宋" w:hAnsi="仿宋" w:cs="仿宋"/>
          <w:szCs w:val="32"/>
        </w:rPr>
        <w:t>（六）自觉维护保持停车场的卫生，禁止乱扔杂物，禁止在停车场练车。漏水、漏油等车辆禁止停放在停车场。</w:t>
      </w:r>
    </w:p>
    <w:p>
      <w:pPr>
        <w:ind w:firstLine="640" w:firstLineChars="200"/>
        <w:rPr>
          <w:rFonts w:ascii="仿宋" w:hAnsi="仿宋" w:cs="仿宋"/>
          <w:szCs w:val="32"/>
        </w:rPr>
      </w:pPr>
      <w:r>
        <w:rPr>
          <w:rFonts w:hint="eastAsia" w:ascii="仿宋" w:hAnsi="仿宋" w:cs="仿宋"/>
          <w:szCs w:val="32"/>
        </w:rPr>
        <w:t>（七）对违反规定的停放车辆进行登记并告知，对停在车辆标线以外的车辆将劝其离场，对于超过二次违反规定者，将取消进入停车场资格。</w:t>
      </w:r>
    </w:p>
    <w:p>
      <w:pPr>
        <w:ind w:firstLine="640" w:firstLineChars="200"/>
        <w:rPr>
          <w:rFonts w:ascii="仿宋" w:hAnsi="仿宋" w:cs="仿宋"/>
          <w:szCs w:val="32"/>
        </w:rPr>
      </w:pPr>
    </w:p>
    <w:p>
      <w:pPr>
        <w:rPr>
          <w:rFonts w:eastAsia="宋体"/>
        </w:rPr>
      </w:pPr>
      <w:r>
        <w:rPr>
          <w:rFonts w:hint="eastAsia" w:ascii="仿宋" w:hAnsi="仿宋" w:cs="仿宋"/>
          <w:szCs w:val="32"/>
        </w:rPr>
        <w:drawing>
          <wp:inline distT="0" distB="0" distL="114300" distR="114300">
            <wp:extent cx="5269865" cy="4852035"/>
            <wp:effectExtent l="0" t="0" r="6985" b="5715"/>
            <wp:docPr id="11" name="图片 11" descr="后勤管理流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后勤管理流程1"/>
                    <pic:cNvPicPr>
                      <a:picLocks noChangeAspect="1"/>
                    </pic:cNvPicPr>
                  </pic:nvPicPr>
                  <pic:blipFill>
                    <a:blip r:embed="rId21"/>
                    <a:stretch>
                      <a:fillRect/>
                    </a:stretch>
                  </pic:blipFill>
                  <pic:spPr>
                    <a:xfrm>
                      <a:off x="0" y="0"/>
                      <a:ext cx="5269865" cy="4852035"/>
                    </a:xfrm>
                    <a:prstGeom prst="rect">
                      <a:avLst/>
                    </a:prstGeom>
                  </pic:spPr>
                </pic:pic>
              </a:graphicData>
            </a:graphic>
          </wp:inline>
        </w:drawing>
      </w:r>
    </w:p>
    <w:p>
      <w:pPr>
        <w:rPr>
          <w:rFonts w:eastAsia="宋体"/>
        </w:rPr>
      </w:pPr>
    </w:p>
    <w:p>
      <w:pPr>
        <w:rPr>
          <w:rFonts w:eastAsia="宋体"/>
        </w:rPr>
      </w:pPr>
    </w:p>
    <w:p>
      <w:pPr>
        <w:rPr>
          <w:rFonts w:eastAsia="宋体"/>
        </w:rPr>
      </w:pPr>
    </w:p>
    <w:p>
      <w:pPr>
        <w:rPr>
          <w:rFonts w:eastAsia="宋体"/>
        </w:rPr>
      </w:pPr>
    </w:p>
    <w:p>
      <w:pPr>
        <w:rPr>
          <w:rFonts w:eastAsia="宋体"/>
        </w:rPr>
      </w:pPr>
    </w:p>
    <w:p>
      <w:pPr>
        <w:spacing w:line="480" w:lineRule="exact"/>
        <w:rPr>
          <w:rFonts w:ascii="Calibri" w:hAnsi="Calibri"/>
          <w:szCs w:val="32"/>
          <w:lang w:bidi="ar"/>
        </w:rPr>
      </w:pPr>
      <w:r>
        <w:rPr>
          <w:rFonts w:ascii="Calibri" w:hAnsi="Calibri" w:eastAsia="宋体"/>
          <w:sz w:val="21"/>
          <w:lang w:bidi="ar"/>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298450</wp:posOffset>
                </wp:positionV>
                <wp:extent cx="5257800" cy="0"/>
                <wp:effectExtent l="0" t="0" r="0" b="0"/>
                <wp:wrapNone/>
                <wp:docPr id="105" name="直接连接符 105"/>
                <wp:cNvGraphicFramePr/>
                <a:graphic xmlns:a="http://schemas.openxmlformats.org/drawingml/2006/main">
                  <a:graphicData uri="http://schemas.microsoft.com/office/word/2010/wordprocessingShape">
                    <wps:wsp>
                      <wps:cNvCnPr/>
                      <wps:spPr>
                        <a:xfrm>
                          <a:off x="0" y="0"/>
                          <a:ext cx="52578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23.5pt;height:0pt;width:414pt;z-index:251659264;mso-width-relative:page;mso-height-relative:page;" filled="f" stroked="t" coordsize="21600,21600" o:gfxdata="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MVMpB&#10;0wAAAAYBAAAPAAAAAAAAAAEAIAAAACIAAABkcnMvZG93bnJldi54bWxQSwECFAAUAAAACACHTuJA&#10;6PC7iO0BAADcAwAADgAAAAAAAAABACAAAAAiAQAAZHJzL2Uyb0RvYy54bWxQSwUGAAAAAAYABgBZ&#10;AQAAgQUAAAAA&#10;">
                <v:fill on="f" focussize="0,0"/>
                <v:stroke color="#000000" joinstyle="round"/>
                <v:imagedata o:title=""/>
                <o:lock v:ext="edit" aspectratio="f"/>
              </v:line>
            </w:pict>
          </mc:Fallback>
        </mc:AlternateContent>
      </w:r>
      <w:r>
        <w:rPr>
          <w:rFonts w:ascii="Calibri" w:hAnsi="Calibri"/>
          <w:szCs w:val="32"/>
          <w:lang w:bidi="ar"/>
        </w:rPr>
        <w:t xml:space="preserve"> </w:t>
      </w:r>
    </w:p>
    <w:p>
      <w:pPr>
        <w:spacing w:line="480" w:lineRule="exact"/>
        <w:rPr>
          <w:rFonts w:ascii="Calibri" w:hAnsi="仿宋" w:cs="仿宋"/>
          <w:spacing w:val="-20"/>
          <w:sz w:val="28"/>
          <w:szCs w:val="28"/>
          <w:lang w:bidi="ar"/>
        </w:rPr>
      </w:pPr>
      <w:r>
        <w:rPr>
          <w:rFonts w:hint="eastAsia" w:ascii="Calibri" w:hAnsi="仿宋" w:cs="仿宋"/>
          <w:spacing w:val="-20"/>
          <w:sz w:val="28"/>
          <w:szCs w:val="28"/>
          <w:lang w:bidi="ar"/>
        </w:rPr>
        <w:t>中共白城市生态新区建设领导小组办公室委员会</w:t>
      </w:r>
      <w:r>
        <w:rPr>
          <w:rFonts w:ascii="Calibri" w:hAnsi="Calibri"/>
          <w:spacing w:val="-20"/>
          <w:szCs w:val="32"/>
          <w:lang w:bidi="ar"/>
        </w:rPr>
        <w:t xml:space="preserve">  </w:t>
      </w:r>
      <w:r>
        <w:rPr>
          <w:rFonts w:hint="eastAsia" w:ascii="Calibri" w:hAnsi="Calibri"/>
          <w:spacing w:val="-20"/>
          <w:szCs w:val="32"/>
          <w:lang w:bidi="ar"/>
        </w:rPr>
        <w:t xml:space="preserve">     </w:t>
      </w:r>
      <w:r>
        <w:rPr>
          <w:rFonts w:ascii="Calibri" w:hAnsi="仿宋" w:cs="仿宋"/>
          <w:spacing w:val="-20"/>
          <w:sz w:val="28"/>
          <w:szCs w:val="28"/>
          <w:lang w:bidi="ar"/>
        </w:rPr>
        <w:t>20</w:t>
      </w:r>
      <w:r>
        <w:rPr>
          <w:rFonts w:hint="eastAsia" w:ascii="Calibri" w:hAnsi="仿宋" w:cs="仿宋"/>
          <w:spacing w:val="-20"/>
          <w:sz w:val="28"/>
          <w:szCs w:val="28"/>
          <w:lang w:bidi="ar"/>
        </w:rPr>
        <w:t>20年9月印发</w:t>
      </w:r>
    </w:p>
    <w:p>
      <w:pPr>
        <w:tabs>
          <w:tab w:val="right" w:pos="9070"/>
        </w:tabs>
        <w:spacing w:line="480" w:lineRule="exact"/>
        <w:ind w:right="210"/>
        <w:jc w:val="right"/>
      </w:pPr>
      <w:r>
        <w:rPr>
          <w:rFonts w:ascii="Calibri" w:hAnsi="Calibri" w:eastAsia="宋体"/>
          <w:sz w:val="21"/>
          <w:lang w:bidi="ar"/>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62230</wp:posOffset>
                </wp:positionV>
                <wp:extent cx="5257800" cy="0"/>
                <wp:effectExtent l="0" t="0" r="0" b="0"/>
                <wp:wrapNone/>
                <wp:docPr id="109" name="直接连接符 109"/>
                <wp:cNvGraphicFramePr/>
                <a:graphic xmlns:a="http://schemas.openxmlformats.org/drawingml/2006/main">
                  <a:graphicData uri="http://schemas.microsoft.com/office/word/2010/wordprocessingShape">
                    <wps:wsp>
                      <wps:cNvCnPr/>
                      <wps:spPr>
                        <a:xfrm>
                          <a:off x="0" y="0"/>
                          <a:ext cx="52578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4.9pt;height:0pt;width:414pt;z-index:251663360;mso-width-relative:page;mso-height-relative:page;" filled="f" stroked="t" coordsize="21600,21600" o:gfxdata="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B3tetEA&#10;AAAEAQAADwAAAAAAAAABACAAAAAiAAAAZHJzL2Rvd25yZXYueG1sUEsBAhQAFAAAAAgAh07iQF0H&#10;VGftAQAA3AMAAA4AAAAAAAAAAQAgAAAAIAEAAGRycy9lMm9Eb2MueG1sUEsFBgAAAAAGAAYAWQEA&#10;AH8FAAAAAA==&#10;">
                <v:fill on="f" focussize="0,0"/>
                <v:stroke color="#000000" joinstyle="round"/>
                <v:imagedata o:title=""/>
                <o:lock v:ext="edit" aspectratio="f"/>
              </v:line>
            </w:pict>
          </mc:Fallback>
        </mc:AlternateContent>
      </w:r>
    </w:p>
    <w:sectPr>
      <w:headerReference r:id="rId9" w:type="default"/>
      <w:footerReference r:id="rId10"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方正仿宋_GBK">
    <w:altName w:val="微软雅黑"/>
    <w:panose1 w:val="00000000000000000000"/>
    <w:charset w:val="86"/>
    <w:family w:val="script"/>
    <w:pitch w:val="default"/>
    <w:sig w:usb0="00000000" w:usb1="00000000" w:usb2="00082016" w:usb3="00000000" w:csb0="00040001" w:csb1="00000000"/>
  </w:font>
  <w:font w:name="楷体_GB2312">
    <w:altName w:val="楷体"/>
    <w:panose1 w:val="00000000000000000000"/>
    <w:charset w:val="86"/>
    <w:family w:val="modern"/>
    <w:pitch w:val="default"/>
    <w:sig w:usb0="00000000" w:usb1="00000000" w:usb2="00000000" w:usb3="00000000" w:csb0="00040001"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BAEUEs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EARQSwCAABZBAAADgAAAAAAAAABACAAAAAfAQAAZHJzL2Uyb0RvYy54bWxQSwUGAAAAAAYA&#10;BgBZAQAAvQUAAAAA&#10;">
              <v:fill on="f" focussize="0,0"/>
              <v:stroke on="f" weight="0.5pt"/>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- 14 -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7Z4pMsAgAAW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tnikywCAABZBAAADgAAAAAAAAABACAAAAAfAQAAZHJzL2Uyb0RvYy54bWxQSwUGAAAAAAYA&#10;BgBZAQAAvQUAAAAA&#10;">
              <v:fill on="f" focussize="0,0"/>
              <v:stroke on="f" weight="0.5pt"/>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- 14 -</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EtWRY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S1ZFjICAABlBAAADgAAAAAAAAABACAAAAAfAQAAZHJzL2Uyb0RvYy54bWxQSwUG&#10;AAAAAAYABgBZAQAAwwUAAAAA&#10;">
              <v:fill on="f" focussize="0,0"/>
              <v:stroke on="f" weight="0.5pt"/>
              <v:imagedata o:title=""/>
              <o:lock v:ext="edit" aspectratio="f"/>
              <v:textbox inset="0mm,0mm,0mm,0mm" style="mso-fit-shape-to-text:t;">
                <w:txbxContent>
                  <w:p>
                    <w:pPr>
                      <w:pStyle w:val="5"/>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- 34 -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sExc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0sExctAgAAWQQAAA4AAAAAAAAAAQAgAAAAHwEAAGRycy9lMm9Eb2MueG1sUEsFBgAAAAAG&#10;AAYAWQEAAL4FAAAAAA==&#10;">
              <v:fill on="f" focussize="0,0"/>
              <v:stroke on="f" weight="0.5pt"/>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- 34 -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C2CD6A"/>
    <w:multiLevelType w:val="singleLevel"/>
    <w:tmpl w:val="BFC2CD6A"/>
    <w:lvl w:ilvl="0" w:tentative="0">
      <w:start w:val="1"/>
      <w:numFmt w:val="chineseCounting"/>
      <w:suff w:val="space"/>
      <w:lvlText w:val="第%1条"/>
      <w:lvlJc w:val="left"/>
      <w:rPr>
        <w:rFonts w:hint="eastAsia"/>
      </w:rPr>
    </w:lvl>
  </w:abstractNum>
  <w:abstractNum w:abstractNumId="1">
    <w:nsid w:val="F6125F7B"/>
    <w:multiLevelType w:val="singleLevel"/>
    <w:tmpl w:val="F6125F7B"/>
    <w:lvl w:ilvl="0" w:tentative="0">
      <w:start w:val="1"/>
      <w:numFmt w:val="chineseCounting"/>
      <w:suff w:val="nothing"/>
      <w:lvlText w:val="（%1）"/>
      <w:lvlJc w:val="left"/>
      <w:rPr>
        <w:rFonts w:hint="eastAsia"/>
      </w:rPr>
    </w:lvl>
  </w:abstractNum>
  <w:abstractNum w:abstractNumId="2">
    <w:nsid w:val="037FA714"/>
    <w:multiLevelType w:val="singleLevel"/>
    <w:tmpl w:val="037FA714"/>
    <w:lvl w:ilvl="0" w:tentative="0">
      <w:start w:val="13"/>
      <w:numFmt w:val="decimal"/>
      <w:suff w:val="nothing"/>
      <w:lvlText w:val="%1、"/>
      <w:lvlJc w:val="left"/>
    </w:lvl>
  </w:abstractNum>
  <w:abstractNum w:abstractNumId="3">
    <w:nsid w:val="0438DA7C"/>
    <w:multiLevelType w:val="singleLevel"/>
    <w:tmpl w:val="0438DA7C"/>
    <w:lvl w:ilvl="0" w:tentative="0">
      <w:start w:val="1"/>
      <w:numFmt w:val="chineseCounting"/>
      <w:suff w:val="nothing"/>
      <w:lvlText w:val="（%1）"/>
      <w:lvlJc w:val="left"/>
      <w:rPr>
        <w:rFonts w:hint="eastAsia"/>
      </w:rPr>
    </w:lvl>
  </w:abstractNum>
  <w:abstractNum w:abstractNumId="4">
    <w:nsid w:val="11191829"/>
    <w:multiLevelType w:val="singleLevel"/>
    <w:tmpl w:val="11191829"/>
    <w:lvl w:ilvl="0" w:tentative="0">
      <w:start w:val="1"/>
      <w:numFmt w:val="chineseCounting"/>
      <w:suff w:val="space"/>
      <w:lvlText w:val="第%1条"/>
      <w:lvlJc w:val="left"/>
      <w:rPr>
        <w:rFonts w:hint="eastAsia"/>
      </w:rPr>
    </w:lvl>
  </w:abstractNum>
  <w:abstractNum w:abstractNumId="5">
    <w:nsid w:val="5CE2F0A1"/>
    <w:multiLevelType w:val="singleLevel"/>
    <w:tmpl w:val="5CE2F0A1"/>
    <w:lvl w:ilvl="0" w:tentative="0">
      <w:start w:val="1"/>
      <w:numFmt w:val="chineseCounting"/>
      <w:suff w:val="nothing"/>
      <w:lvlText w:val="（%1）"/>
      <w:lvlJc w:val="left"/>
      <w:rPr>
        <w:rFonts w:hint="eastAsia"/>
      </w:rPr>
    </w:lvl>
  </w:abstractNum>
  <w:num w:numId="1">
    <w:abstractNumId w:val="0"/>
  </w:num>
  <w:num w:numId="2">
    <w:abstractNumId w:val="3"/>
  </w:num>
  <w:num w:numId="3">
    <w:abstractNumId w:val="1"/>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xYWUyZTY4ZTc3NGU5NGZiMWE3MTgzOTI3ZGRiNDcifQ=="/>
  </w:docVars>
  <w:rsids>
    <w:rsidRoot w:val="0DE067FD"/>
    <w:rsid w:val="004F0216"/>
    <w:rsid w:val="007A420D"/>
    <w:rsid w:val="007B3520"/>
    <w:rsid w:val="008C0B17"/>
    <w:rsid w:val="008E3E1B"/>
    <w:rsid w:val="00A10A6A"/>
    <w:rsid w:val="00A90640"/>
    <w:rsid w:val="00EE11B9"/>
    <w:rsid w:val="00F43BA3"/>
    <w:rsid w:val="01491985"/>
    <w:rsid w:val="014D02F6"/>
    <w:rsid w:val="016779F7"/>
    <w:rsid w:val="018D704B"/>
    <w:rsid w:val="01A055E7"/>
    <w:rsid w:val="01D21F6A"/>
    <w:rsid w:val="01FF44F0"/>
    <w:rsid w:val="02270A5C"/>
    <w:rsid w:val="0260382A"/>
    <w:rsid w:val="0261745E"/>
    <w:rsid w:val="02625C64"/>
    <w:rsid w:val="028C22B6"/>
    <w:rsid w:val="02AE67F1"/>
    <w:rsid w:val="030206EC"/>
    <w:rsid w:val="03186CE3"/>
    <w:rsid w:val="03697B59"/>
    <w:rsid w:val="03823D6E"/>
    <w:rsid w:val="03974CE1"/>
    <w:rsid w:val="039E6993"/>
    <w:rsid w:val="03AC021C"/>
    <w:rsid w:val="03AC4A4B"/>
    <w:rsid w:val="03F71D0D"/>
    <w:rsid w:val="04301F43"/>
    <w:rsid w:val="045C41D5"/>
    <w:rsid w:val="0477210A"/>
    <w:rsid w:val="04963371"/>
    <w:rsid w:val="04A238D2"/>
    <w:rsid w:val="04B13250"/>
    <w:rsid w:val="04DE56DC"/>
    <w:rsid w:val="04E50360"/>
    <w:rsid w:val="04F25039"/>
    <w:rsid w:val="051822AA"/>
    <w:rsid w:val="053F6004"/>
    <w:rsid w:val="0551725A"/>
    <w:rsid w:val="055C2CA8"/>
    <w:rsid w:val="056B434E"/>
    <w:rsid w:val="05746813"/>
    <w:rsid w:val="05823217"/>
    <w:rsid w:val="05A17D3A"/>
    <w:rsid w:val="05B231D2"/>
    <w:rsid w:val="05B85E8D"/>
    <w:rsid w:val="05B8661D"/>
    <w:rsid w:val="05D57448"/>
    <w:rsid w:val="060B0507"/>
    <w:rsid w:val="062404D0"/>
    <w:rsid w:val="06262177"/>
    <w:rsid w:val="06387E15"/>
    <w:rsid w:val="063A202E"/>
    <w:rsid w:val="06633B19"/>
    <w:rsid w:val="069C40C7"/>
    <w:rsid w:val="06B85A72"/>
    <w:rsid w:val="06C1606F"/>
    <w:rsid w:val="076C3902"/>
    <w:rsid w:val="07A21AFB"/>
    <w:rsid w:val="07BC26DC"/>
    <w:rsid w:val="07C1767C"/>
    <w:rsid w:val="07D714A8"/>
    <w:rsid w:val="07DD31A6"/>
    <w:rsid w:val="07F85E5D"/>
    <w:rsid w:val="07FD0AD5"/>
    <w:rsid w:val="08881A23"/>
    <w:rsid w:val="089A63ED"/>
    <w:rsid w:val="08A80712"/>
    <w:rsid w:val="08FA07AA"/>
    <w:rsid w:val="09196DFA"/>
    <w:rsid w:val="09E45AA3"/>
    <w:rsid w:val="0A071C0D"/>
    <w:rsid w:val="0A452D9B"/>
    <w:rsid w:val="0A565CDA"/>
    <w:rsid w:val="0A9E31A7"/>
    <w:rsid w:val="0AA16090"/>
    <w:rsid w:val="0AC85152"/>
    <w:rsid w:val="0B036F1D"/>
    <w:rsid w:val="0B077573"/>
    <w:rsid w:val="0B1807C9"/>
    <w:rsid w:val="0B2E3EB5"/>
    <w:rsid w:val="0B6C118E"/>
    <w:rsid w:val="0B710AAA"/>
    <w:rsid w:val="0B86692A"/>
    <w:rsid w:val="0C213A22"/>
    <w:rsid w:val="0C2278CE"/>
    <w:rsid w:val="0C2C3071"/>
    <w:rsid w:val="0C657F40"/>
    <w:rsid w:val="0CCD1B5F"/>
    <w:rsid w:val="0CDF0BA4"/>
    <w:rsid w:val="0CF35F77"/>
    <w:rsid w:val="0D285E07"/>
    <w:rsid w:val="0D9C3446"/>
    <w:rsid w:val="0DD07627"/>
    <w:rsid w:val="0DDA0BEC"/>
    <w:rsid w:val="0DE067FD"/>
    <w:rsid w:val="0E2849F4"/>
    <w:rsid w:val="0E5709C2"/>
    <w:rsid w:val="0E6443D6"/>
    <w:rsid w:val="0E8713B6"/>
    <w:rsid w:val="0EC6567D"/>
    <w:rsid w:val="0F295E3F"/>
    <w:rsid w:val="0F4B3A8C"/>
    <w:rsid w:val="0F6F759E"/>
    <w:rsid w:val="0F75552D"/>
    <w:rsid w:val="0F8E1521"/>
    <w:rsid w:val="0FE73FC7"/>
    <w:rsid w:val="100061FE"/>
    <w:rsid w:val="10220C9A"/>
    <w:rsid w:val="10370789"/>
    <w:rsid w:val="105B1C40"/>
    <w:rsid w:val="10646728"/>
    <w:rsid w:val="107A55B9"/>
    <w:rsid w:val="107E08A4"/>
    <w:rsid w:val="10E15CA7"/>
    <w:rsid w:val="10E20EC9"/>
    <w:rsid w:val="114305E8"/>
    <w:rsid w:val="11613098"/>
    <w:rsid w:val="119B38B6"/>
    <w:rsid w:val="11C74AA2"/>
    <w:rsid w:val="11FB0416"/>
    <w:rsid w:val="120424D8"/>
    <w:rsid w:val="12912A81"/>
    <w:rsid w:val="12926CD3"/>
    <w:rsid w:val="129B1E1A"/>
    <w:rsid w:val="12B444B8"/>
    <w:rsid w:val="12BB7F7E"/>
    <w:rsid w:val="12CD1087"/>
    <w:rsid w:val="130E6C1F"/>
    <w:rsid w:val="13113235"/>
    <w:rsid w:val="133B2A8A"/>
    <w:rsid w:val="1348479C"/>
    <w:rsid w:val="13DD1AEA"/>
    <w:rsid w:val="13E07EDA"/>
    <w:rsid w:val="143357CA"/>
    <w:rsid w:val="145238BF"/>
    <w:rsid w:val="1459198E"/>
    <w:rsid w:val="145E386F"/>
    <w:rsid w:val="14984562"/>
    <w:rsid w:val="14A54990"/>
    <w:rsid w:val="14D044F1"/>
    <w:rsid w:val="15097FC8"/>
    <w:rsid w:val="15133B11"/>
    <w:rsid w:val="151556C8"/>
    <w:rsid w:val="152C6B25"/>
    <w:rsid w:val="15403192"/>
    <w:rsid w:val="154D1259"/>
    <w:rsid w:val="154D7B1F"/>
    <w:rsid w:val="15960F68"/>
    <w:rsid w:val="15A922C0"/>
    <w:rsid w:val="15D72FE3"/>
    <w:rsid w:val="15F80548"/>
    <w:rsid w:val="160D5192"/>
    <w:rsid w:val="165D6EE0"/>
    <w:rsid w:val="16934E9E"/>
    <w:rsid w:val="16C53BDA"/>
    <w:rsid w:val="16C7648E"/>
    <w:rsid w:val="16C90CF3"/>
    <w:rsid w:val="16CE2DFD"/>
    <w:rsid w:val="16DB335C"/>
    <w:rsid w:val="173E4456"/>
    <w:rsid w:val="175B357E"/>
    <w:rsid w:val="175F79B3"/>
    <w:rsid w:val="178F26F0"/>
    <w:rsid w:val="17937E6D"/>
    <w:rsid w:val="17B374B9"/>
    <w:rsid w:val="17BC4E96"/>
    <w:rsid w:val="17CF30E3"/>
    <w:rsid w:val="17E62671"/>
    <w:rsid w:val="17F359A4"/>
    <w:rsid w:val="18455390"/>
    <w:rsid w:val="18482B24"/>
    <w:rsid w:val="187523CE"/>
    <w:rsid w:val="1885553A"/>
    <w:rsid w:val="18935B8C"/>
    <w:rsid w:val="189E4C4B"/>
    <w:rsid w:val="18C40917"/>
    <w:rsid w:val="18DA2813"/>
    <w:rsid w:val="190C753E"/>
    <w:rsid w:val="1913164B"/>
    <w:rsid w:val="191A2996"/>
    <w:rsid w:val="19225FC8"/>
    <w:rsid w:val="19517D7C"/>
    <w:rsid w:val="19583266"/>
    <w:rsid w:val="1966429C"/>
    <w:rsid w:val="196B14E1"/>
    <w:rsid w:val="19C31381"/>
    <w:rsid w:val="19D75B42"/>
    <w:rsid w:val="19F52F25"/>
    <w:rsid w:val="19F809E2"/>
    <w:rsid w:val="19FF7A53"/>
    <w:rsid w:val="1A08166F"/>
    <w:rsid w:val="1A2A0661"/>
    <w:rsid w:val="1A2C2D17"/>
    <w:rsid w:val="1A4668EB"/>
    <w:rsid w:val="1A510A3A"/>
    <w:rsid w:val="1A69182D"/>
    <w:rsid w:val="1A724558"/>
    <w:rsid w:val="1A8C4DCD"/>
    <w:rsid w:val="1AA20788"/>
    <w:rsid w:val="1ADA7132"/>
    <w:rsid w:val="1B0E0226"/>
    <w:rsid w:val="1B444A2F"/>
    <w:rsid w:val="1B685925"/>
    <w:rsid w:val="1BA90A24"/>
    <w:rsid w:val="1BE11466"/>
    <w:rsid w:val="1C2053FD"/>
    <w:rsid w:val="1C53650F"/>
    <w:rsid w:val="1C5548BA"/>
    <w:rsid w:val="1C736C90"/>
    <w:rsid w:val="1C7E16BE"/>
    <w:rsid w:val="1CE50DDD"/>
    <w:rsid w:val="1CF47A34"/>
    <w:rsid w:val="1D0D0411"/>
    <w:rsid w:val="1D206670"/>
    <w:rsid w:val="1D2C1A43"/>
    <w:rsid w:val="1D4F6231"/>
    <w:rsid w:val="1DA51FC8"/>
    <w:rsid w:val="1DA852E6"/>
    <w:rsid w:val="1DA933CC"/>
    <w:rsid w:val="1DB1289D"/>
    <w:rsid w:val="1DED76B7"/>
    <w:rsid w:val="1E1D5045"/>
    <w:rsid w:val="1E3133AD"/>
    <w:rsid w:val="1E5E04D4"/>
    <w:rsid w:val="1E6D2AEC"/>
    <w:rsid w:val="1E732A3C"/>
    <w:rsid w:val="1E7562DC"/>
    <w:rsid w:val="1EBA762E"/>
    <w:rsid w:val="1ED0277F"/>
    <w:rsid w:val="1ED91F70"/>
    <w:rsid w:val="1F1E5249"/>
    <w:rsid w:val="1F4378FF"/>
    <w:rsid w:val="1F541F8C"/>
    <w:rsid w:val="1F6D1699"/>
    <w:rsid w:val="1F7B0802"/>
    <w:rsid w:val="1F8409ED"/>
    <w:rsid w:val="1F875AA0"/>
    <w:rsid w:val="1F8F777E"/>
    <w:rsid w:val="1FAC357E"/>
    <w:rsid w:val="1FCA0FCE"/>
    <w:rsid w:val="1FE45E23"/>
    <w:rsid w:val="1FF04880"/>
    <w:rsid w:val="20E601C4"/>
    <w:rsid w:val="211B38E7"/>
    <w:rsid w:val="213B1A67"/>
    <w:rsid w:val="214E1EAE"/>
    <w:rsid w:val="215E4216"/>
    <w:rsid w:val="21A07C3B"/>
    <w:rsid w:val="21A61FD7"/>
    <w:rsid w:val="21A6301C"/>
    <w:rsid w:val="21C571AD"/>
    <w:rsid w:val="21F27CB4"/>
    <w:rsid w:val="21FA23EB"/>
    <w:rsid w:val="21FF06E5"/>
    <w:rsid w:val="22A90EFE"/>
    <w:rsid w:val="22B222AB"/>
    <w:rsid w:val="22C12F5E"/>
    <w:rsid w:val="22C2186D"/>
    <w:rsid w:val="22DF42AE"/>
    <w:rsid w:val="234C29E5"/>
    <w:rsid w:val="23745762"/>
    <w:rsid w:val="23975DE5"/>
    <w:rsid w:val="23B03A7C"/>
    <w:rsid w:val="24370876"/>
    <w:rsid w:val="243F320C"/>
    <w:rsid w:val="244C0D7E"/>
    <w:rsid w:val="245C39F2"/>
    <w:rsid w:val="24730367"/>
    <w:rsid w:val="2487486A"/>
    <w:rsid w:val="24C84F48"/>
    <w:rsid w:val="24DB37AE"/>
    <w:rsid w:val="24EE355C"/>
    <w:rsid w:val="251049B5"/>
    <w:rsid w:val="25427493"/>
    <w:rsid w:val="254C061E"/>
    <w:rsid w:val="255531D6"/>
    <w:rsid w:val="256873EE"/>
    <w:rsid w:val="25BD588F"/>
    <w:rsid w:val="25F15631"/>
    <w:rsid w:val="264117C4"/>
    <w:rsid w:val="266D022E"/>
    <w:rsid w:val="269D4529"/>
    <w:rsid w:val="26AC0062"/>
    <w:rsid w:val="26BC7496"/>
    <w:rsid w:val="26BD7DC1"/>
    <w:rsid w:val="26D742BD"/>
    <w:rsid w:val="27103187"/>
    <w:rsid w:val="27361DDD"/>
    <w:rsid w:val="273F024D"/>
    <w:rsid w:val="27A20504"/>
    <w:rsid w:val="27AA4431"/>
    <w:rsid w:val="27CB0B73"/>
    <w:rsid w:val="27F51373"/>
    <w:rsid w:val="28035022"/>
    <w:rsid w:val="2805454D"/>
    <w:rsid w:val="280A4E34"/>
    <w:rsid w:val="2816401F"/>
    <w:rsid w:val="282D2377"/>
    <w:rsid w:val="283F6C8F"/>
    <w:rsid w:val="284C0E5A"/>
    <w:rsid w:val="285A4811"/>
    <w:rsid w:val="285C074F"/>
    <w:rsid w:val="28851896"/>
    <w:rsid w:val="288A1EA9"/>
    <w:rsid w:val="28A166FF"/>
    <w:rsid w:val="28B34EBC"/>
    <w:rsid w:val="28C90762"/>
    <w:rsid w:val="29114150"/>
    <w:rsid w:val="293F5AD4"/>
    <w:rsid w:val="295B6812"/>
    <w:rsid w:val="29BB5CFE"/>
    <w:rsid w:val="29D04D28"/>
    <w:rsid w:val="29D3228F"/>
    <w:rsid w:val="29EA1214"/>
    <w:rsid w:val="2A4D33CB"/>
    <w:rsid w:val="2AB15FFC"/>
    <w:rsid w:val="2ADE56AC"/>
    <w:rsid w:val="2AF17C11"/>
    <w:rsid w:val="2B0D3CAF"/>
    <w:rsid w:val="2B3F30CE"/>
    <w:rsid w:val="2B412464"/>
    <w:rsid w:val="2B887A51"/>
    <w:rsid w:val="2B984C31"/>
    <w:rsid w:val="2C1A3A0C"/>
    <w:rsid w:val="2C2866D7"/>
    <w:rsid w:val="2C2E31E4"/>
    <w:rsid w:val="2C361CA3"/>
    <w:rsid w:val="2C3C73DF"/>
    <w:rsid w:val="2C3D0EF7"/>
    <w:rsid w:val="2C6339C8"/>
    <w:rsid w:val="2C9D208E"/>
    <w:rsid w:val="2CB50977"/>
    <w:rsid w:val="2CB56778"/>
    <w:rsid w:val="2D016AD0"/>
    <w:rsid w:val="2D0E0FBD"/>
    <w:rsid w:val="2D0E5B7B"/>
    <w:rsid w:val="2D570FA5"/>
    <w:rsid w:val="2DF23824"/>
    <w:rsid w:val="2E071C48"/>
    <w:rsid w:val="2E14099C"/>
    <w:rsid w:val="2E3C3627"/>
    <w:rsid w:val="2E452F3F"/>
    <w:rsid w:val="2E796A30"/>
    <w:rsid w:val="2E8718D7"/>
    <w:rsid w:val="2EBD4505"/>
    <w:rsid w:val="2EED7413"/>
    <w:rsid w:val="2F5B6D5C"/>
    <w:rsid w:val="2F7A611F"/>
    <w:rsid w:val="2FC5591B"/>
    <w:rsid w:val="2FD442F1"/>
    <w:rsid w:val="2FDC172E"/>
    <w:rsid w:val="30026183"/>
    <w:rsid w:val="308C4EC7"/>
    <w:rsid w:val="30B71DC1"/>
    <w:rsid w:val="30E97DD5"/>
    <w:rsid w:val="312216E3"/>
    <w:rsid w:val="31222F92"/>
    <w:rsid w:val="31753888"/>
    <w:rsid w:val="319D56B7"/>
    <w:rsid w:val="31A76B69"/>
    <w:rsid w:val="31CD6423"/>
    <w:rsid w:val="31E630DD"/>
    <w:rsid w:val="31EE2FB4"/>
    <w:rsid w:val="320B7504"/>
    <w:rsid w:val="32754732"/>
    <w:rsid w:val="32985896"/>
    <w:rsid w:val="32B50E43"/>
    <w:rsid w:val="32E75381"/>
    <w:rsid w:val="330861D5"/>
    <w:rsid w:val="333A4585"/>
    <w:rsid w:val="334B4D03"/>
    <w:rsid w:val="336072A1"/>
    <w:rsid w:val="33A95DF9"/>
    <w:rsid w:val="33B07DAB"/>
    <w:rsid w:val="33C5408E"/>
    <w:rsid w:val="33D461EC"/>
    <w:rsid w:val="349A3695"/>
    <w:rsid w:val="349C06B4"/>
    <w:rsid w:val="34C84CEC"/>
    <w:rsid w:val="35026A57"/>
    <w:rsid w:val="355D70FE"/>
    <w:rsid w:val="35A5357F"/>
    <w:rsid w:val="35BA5593"/>
    <w:rsid w:val="35BC4044"/>
    <w:rsid w:val="35EB2EEC"/>
    <w:rsid w:val="36196799"/>
    <w:rsid w:val="36B301B5"/>
    <w:rsid w:val="36BB7296"/>
    <w:rsid w:val="36E078C8"/>
    <w:rsid w:val="36E2289C"/>
    <w:rsid w:val="37151169"/>
    <w:rsid w:val="372D4C9D"/>
    <w:rsid w:val="37565D93"/>
    <w:rsid w:val="37615F81"/>
    <w:rsid w:val="37695F02"/>
    <w:rsid w:val="377228C4"/>
    <w:rsid w:val="377B4E82"/>
    <w:rsid w:val="3797727D"/>
    <w:rsid w:val="37D03F8E"/>
    <w:rsid w:val="37DB1621"/>
    <w:rsid w:val="3822398A"/>
    <w:rsid w:val="383353B3"/>
    <w:rsid w:val="38441E5C"/>
    <w:rsid w:val="385E7B25"/>
    <w:rsid w:val="38A84856"/>
    <w:rsid w:val="38B0252F"/>
    <w:rsid w:val="38B73B3C"/>
    <w:rsid w:val="38C51CAA"/>
    <w:rsid w:val="38F50164"/>
    <w:rsid w:val="38F72F81"/>
    <w:rsid w:val="390D33CF"/>
    <w:rsid w:val="394217DC"/>
    <w:rsid w:val="396A07F4"/>
    <w:rsid w:val="39DC55B5"/>
    <w:rsid w:val="39E00249"/>
    <w:rsid w:val="39EC348C"/>
    <w:rsid w:val="39EE7FB9"/>
    <w:rsid w:val="39FB72B0"/>
    <w:rsid w:val="3A023606"/>
    <w:rsid w:val="3A1D1CDA"/>
    <w:rsid w:val="3A236FD3"/>
    <w:rsid w:val="3A351ABF"/>
    <w:rsid w:val="3A4B0912"/>
    <w:rsid w:val="3A4B1AAF"/>
    <w:rsid w:val="3A4B3632"/>
    <w:rsid w:val="3A69370E"/>
    <w:rsid w:val="3A881D9C"/>
    <w:rsid w:val="3A946534"/>
    <w:rsid w:val="3AD123FC"/>
    <w:rsid w:val="3AEC2A34"/>
    <w:rsid w:val="3AF13F86"/>
    <w:rsid w:val="3AFE6751"/>
    <w:rsid w:val="3B0575E0"/>
    <w:rsid w:val="3B2F202B"/>
    <w:rsid w:val="3B4F38CE"/>
    <w:rsid w:val="3B5A6A96"/>
    <w:rsid w:val="3B786DB4"/>
    <w:rsid w:val="3B946F1A"/>
    <w:rsid w:val="3BA1233B"/>
    <w:rsid w:val="3BB46F05"/>
    <w:rsid w:val="3BEE354A"/>
    <w:rsid w:val="3C01689F"/>
    <w:rsid w:val="3C02055E"/>
    <w:rsid w:val="3C12593F"/>
    <w:rsid w:val="3C1C51E8"/>
    <w:rsid w:val="3C28539B"/>
    <w:rsid w:val="3C351D2A"/>
    <w:rsid w:val="3C4C11BA"/>
    <w:rsid w:val="3C4F6369"/>
    <w:rsid w:val="3CBA446F"/>
    <w:rsid w:val="3CCC2EDF"/>
    <w:rsid w:val="3CDC35BD"/>
    <w:rsid w:val="3D4F4D2A"/>
    <w:rsid w:val="3DF56B8D"/>
    <w:rsid w:val="3E5C5465"/>
    <w:rsid w:val="3E76394F"/>
    <w:rsid w:val="3E8E718C"/>
    <w:rsid w:val="3E9B63E7"/>
    <w:rsid w:val="3ECF2A13"/>
    <w:rsid w:val="3EF15519"/>
    <w:rsid w:val="3EFB692E"/>
    <w:rsid w:val="3F04526B"/>
    <w:rsid w:val="3F1A0872"/>
    <w:rsid w:val="3F1D1DCD"/>
    <w:rsid w:val="3F443ED6"/>
    <w:rsid w:val="3F865335"/>
    <w:rsid w:val="3F934B40"/>
    <w:rsid w:val="3FB25F0E"/>
    <w:rsid w:val="3FDC42D7"/>
    <w:rsid w:val="3FFD3F4D"/>
    <w:rsid w:val="40236C97"/>
    <w:rsid w:val="405D1C2F"/>
    <w:rsid w:val="406269EE"/>
    <w:rsid w:val="40C12AF1"/>
    <w:rsid w:val="41032D20"/>
    <w:rsid w:val="413462CA"/>
    <w:rsid w:val="41966DBA"/>
    <w:rsid w:val="419A2B62"/>
    <w:rsid w:val="41AF4BC9"/>
    <w:rsid w:val="41D470E6"/>
    <w:rsid w:val="420D5872"/>
    <w:rsid w:val="421C31F2"/>
    <w:rsid w:val="4243611B"/>
    <w:rsid w:val="42467958"/>
    <w:rsid w:val="424C507F"/>
    <w:rsid w:val="426B0475"/>
    <w:rsid w:val="42AB4867"/>
    <w:rsid w:val="42EA4195"/>
    <w:rsid w:val="43044640"/>
    <w:rsid w:val="43370A28"/>
    <w:rsid w:val="43661ACF"/>
    <w:rsid w:val="437029A0"/>
    <w:rsid w:val="43736E32"/>
    <w:rsid w:val="43BF7671"/>
    <w:rsid w:val="43C950D9"/>
    <w:rsid w:val="43D55B62"/>
    <w:rsid w:val="43ED660A"/>
    <w:rsid w:val="443812AA"/>
    <w:rsid w:val="444C54AE"/>
    <w:rsid w:val="44946472"/>
    <w:rsid w:val="449B43BF"/>
    <w:rsid w:val="449C40FB"/>
    <w:rsid w:val="4508054D"/>
    <w:rsid w:val="4573712D"/>
    <w:rsid w:val="457E05EB"/>
    <w:rsid w:val="45992655"/>
    <w:rsid w:val="45C91190"/>
    <w:rsid w:val="45F77DE6"/>
    <w:rsid w:val="46014DD4"/>
    <w:rsid w:val="46D514E0"/>
    <w:rsid w:val="46D95468"/>
    <w:rsid w:val="46DA401D"/>
    <w:rsid w:val="4712788B"/>
    <w:rsid w:val="471D44C1"/>
    <w:rsid w:val="4759454D"/>
    <w:rsid w:val="479C7B9A"/>
    <w:rsid w:val="47B604AF"/>
    <w:rsid w:val="47B6216E"/>
    <w:rsid w:val="47CE24FE"/>
    <w:rsid w:val="48070407"/>
    <w:rsid w:val="48403A7B"/>
    <w:rsid w:val="48812726"/>
    <w:rsid w:val="489777E3"/>
    <w:rsid w:val="48B23C34"/>
    <w:rsid w:val="48FE0914"/>
    <w:rsid w:val="49124FC3"/>
    <w:rsid w:val="4935338A"/>
    <w:rsid w:val="496C0799"/>
    <w:rsid w:val="497041AB"/>
    <w:rsid w:val="499477E6"/>
    <w:rsid w:val="49C82A85"/>
    <w:rsid w:val="49F3117D"/>
    <w:rsid w:val="49FE1477"/>
    <w:rsid w:val="4A116C23"/>
    <w:rsid w:val="4A4053BA"/>
    <w:rsid w:val="4A5129A6"/>
    <w:rsid w:val="4A622478"/>
    <w:rsid w:val="4A6B66AF"/>
    <w:rsid w:val="4AA771E2"/>
    <w:rsid w:val="4AC01586"/>
    <w:rsid w:val="4ACE5E81"/>
    <w:rsid w:val="4ADC7BDB"/>
    <w:rsid w:val="4AE1388F"/>
    <w:rsid w:val="4B0A650D"/>
    <w:rsid w:val="4B1503C6"/>
    <w:rsid w:val="4B747F37"/>
    <w:rsid w:val="4B836E27"/>
    <w:rsid w:val="4BAB7162"/>
    <w:rsid w:val="4BCB4D19"/>
    <w:rsid w:val="4C1F1A8F"/>
    <w:rsid w:val="4C210726"/>
    <w:rsid w:val="4C296874"/>
    <w:rsid w:val="4C8D0F89"/>
    <w:rsid w:val="4CDD5F9A"/>
    <w:rsid w:val="4CE63684"/>
    <w:rsid w:val="4D45294E"/>
    <w:rsid w:val="4D510970"/>
    <w:rsid w:val="4DB1778D"/>
    <w:rsid w:val="4DD15A5A"/>
    <w:rsid w:val="4DD615DE"/>
    <w:rsid w:val="4DED340D"/>
    <w:rsid w:val="4DFA7E76"/>
    <w:rsid w:val="4E162FFD"/>
    <w:rsid w:val="4E623024"/>
    <w:rsid w:val="4E8435A8"/>
    <w:rsid w:val="4ED1694D"/>
    <w:rsid w:val="4EE46A82"/>
    <w:rsid w:val="4EF9716E"/>
    <w:rsid w:val="4F351939"/>
    <w:rsid w:val="4F423346"/>
    <w:rsid w:val="4F4A3030"/>
    <w:rsid w:val="4F5A14F6"/>
    <w:rsid w:val="4FBC5ECB"/>
    <w:rsid w:val="500B2468"/>
    <w:rsid w:val="503F7522"/>
    <w:rsid w:val="506B738B"/>
    <w:rsid w:val="50827E48"/>
    <w:rsid w:val="509B02CD"/>
    <w:rsid w:val="50D62EB0"/>
    <w:rsid w:val="50D735C0"/>
    <w:rsid w:val="50F86E00"/>
    <w:rsid w:val="51203EBC"/>
    <w:rsid w:val="51572381"/>
    <w:rsid w:val="51902FC8"/>
    <w:rsid w:val="51C6510E"/>
    <w:rsid w:val="520048E4"/>
    <w:rsid w:val="520A635E"/>
    <w:rsid w:val="520E40CD"/>
    <w:rsid w:val="520E48E7"/>
    <w:rsid w:val="52295685"/>
    <w:rsid w:val="522E00B2"/>
    <w:rsid w:val="52470AE5"/>
    <w:rsid w:val="52702E34"/>
    <w:rsid w:val="52941C3F"/>
    <w:rsid w:val="52DD00CD"/>
    <w:rsid w:val="52ED53CB"/>
    <w:rsid w:val="53186056"/>
    <w:rsid w:val="53283E81"/>
    <w:rsid w:val="533E79D6"/>
    <w:rsid w:val="53424E73"/>
    <w:rsid w:val="536C12D2"/>
    <w:rsid w:val="5371382D"/>
    <w:rsid w:val="53BB5CCE"/>
    <w:rsid w:val="54104859"/>
    <w:rsid w:val="54210CB8"/>
    <w:rsid w:val="542D111D"/>
    <w:rsid w:val="54356E71"/>
    <w:rsid w:val="54372CB3"/>
    <w:rsid w:val="54530EAB"/>
    <w:rsid w:val="54572D67"/>
    <w:rsid w:val="54752A8A"/>
    <w:rsid w:val="54826BAE"/>
    <w:rsid w:val="548C3698"/>
    <w:rsid w:val="548F7762"/>
    <w:rsid w:val="549E312F"/>
    <w:rsid w:val="54DE59AC"/>
    <w:rsid w:val="550E1D7C"/>
    <w:rsid w:val="55542630"/>
    <w:rsid w:val="55670FAF"/>
    <w:rsid w:val="556804ED"/>
    <w:rsid w:val="55794ECA"/>
    <w:rsid w:val="55883825"/>
    <w:rsid w:val="55D367BC"/>
    <w:rsid w:val="560D79DC"/>
    <w:rsid w:val="56114C0F"/>
    <w:rsid w:val="56580FF0"/>
    <w:rsid w:val="566245BB"/>
    <w:rsid w:val="567140AB"/>
    <w:rsid w:val="567B7039"/>
    <w:rsid w:val="568A17AB"/>
    <w:rsid w:val="56C033B4"/>
    <w:rsid w:val="56ED4352"/>
    <w:rsid w:val="57084BE8"/>
    <w:rsid w:val="572264BE"/>
    <w:rsid w:val="5764146B"/>
    <w:rsid w:val="57716174"/>
    <w:rsid w:val="5774402D"/>
    <w:rsid w:val="57807F68"/>
    <w:rsid w:val="57912ADC"/>
    <w:rsid w:val="57F04691"/>
    <w:rsid w:val="5814372E"/>
    <w:rsid w:val="58244E36"/>
    <w:rsid w:val="58383828"/>
    <w:rsid w:val="587B0646"/>
    <w:rsid w:val="58892600"/>
    <w:rsid w:val="58B41FF3"/>
    <w:rsid w:val="58B73900"/>
    <w:rsid w:val="58C075BC"/>
    <w:rsid w:val="590268F8"/>
    <w:rsid w:val="59525FA9"/>
    <w:rsid w:val="597258AA"/>
    <w:rsid w:val="59792D76"/>
    <w:rsid w:val="597D605F"/>
    <w:rsid w:val="59852E89"/>
    <w:rsid w:val="59BD0E98"/>
    <w:rsid w:val="5B0827F3"/>
    <w:rsid w:val="5B386BFA"/>
    <w:rsid w:val="5B396F6C"/>
    <w:rsid w:val="5B603C53"/>
    <w:rsid w:val="5B6418A5"/>
    <w:rsid w:val="5BC57EC5"/>
    <w:rsid w:val="5BC855A8"/>
    <w:rsid w:val="5BD64543"/>
    <w:rsid w:val="5BFE5968"/>
    <w:rsid w:val="5C0658B2"/>
    <w:rsid w:val="5C1511E9"/>
    <w:rsid w:val="5C1D0611"/>
    <w:rsid w:val="5C6A6099"/>
    <w:rsid w:val="5C933F9B"/>
    <w:rsid w:val="5CAA3E7D"/>
    <w:rsid w:val="5CCA53F7"/>
    <w:rsid w:val="5CDB6979"/>
    <w:rsid w:val="5D344559"/>
    <w:rsid w:val="5D65286F"/>
    <w:rsid w:val="5D6950AC"/>
    <w:rsid w:val="5D8176C0"/>
    <w:rsid w:val="5DA125EB"/>
    <w:rsid w:val="5DA83DDD"/>
    <w:rsid w:val="5DE64B0B"/>
    <w:rsid w:val="5E5039B2"/>
    <w:rsid w:val="5E5536CA"/>
    <w:rsid w:val="5E613CD5"/>
    <w:rsid w:val="5E6712F0"/>
    <w:rsid w:val="5E7267E4"/>
    <w:rsid w:val="5E7F72C5"/>
    <w:rsid w:val="5E9759D9"/>
    <w:rsid w:val="5E9E12A4"/>
    <w:rsid w:val="5EB741BF"/>
    <w:rsid w:val="5EEB44C1"/>
    <w:rsid w:val="5EFE0E3E"/>
    <w:rsid w:val="5F4D3DDC"/>
    <w:rsid w:val="5F60795A"/>
    <w:rsid w:val="5FB63978"/>
    <w:rsid w:val="5FF23748"/>
    <w:rsid w:val="5FF7657B"/>
    <w:rsid w:val="5FFD285B"/>
    <w:rsid w:val="602C57EE"/>
    <w:rsid w:val="60431FA3"/>
    <w:rsid w:val="60462BE3"/>
    <w:rsid w:val="60602C73"/>
    <w:rsid w:val="608C2607"/>
    <w:rsid w:val="60A67296"/>
    <w:rsid w:val="60D63B41"/>
    <w:rsid w:val="60E04C3A"/>
    <w:rsid w:val="612D428C"/>
    <w:rsid w:val="618B0270"/>
    <w:rsid w:val="61CF16A9"/>
    <w:rsid w:val="61D0034E"/>
    <w:rsid w:val="61D324FF"/>
    <w:rsid w:val="61D36AFE"/>
    <w:rsid w:val="61DC406D"/>
    <w:rsid w:val="625C588E"/>
    <w:rsid w:val="62692CF7"/>
    <w:rsid w:val="627B2068"/>
    <w:rsid w:val="627F14C7"/>
    <w:rsid w:val="62C07382"/>
    <w:rsid w:val="62F958BC"/>
    <w:rsid w:val="6346075C"/>
    <w:rsid w:val="635C7E99"/>
    <w:rsid w:val="63766795"/>
    <w:rsid w:val="638B5F98"/>
    <w:rsid w:val="63DC2CA8"/>
    <w:rsid w:val="63DC5D63"/>
    <w:rsid w:val="63E677CB"/>
    <w:rsid w:val="6440302D"/>
    <w:rsid w:val="64594B82"/>
    <w:rsid w:val="64802F0B"/>
    <w:rsid w:val="64870E01"/>
    <w:rsid w:val="64A50C0E"/>
    <w:rsid w:val="64B50076"/>
    <w:rsid w:val="64C82F18"/>
    <w:rsid w:val="64DF52F2"/>
    <w:rsid w:val="64F20F03"/>
    <w:rsid w:val="64F22569"/>
    <w:rsid w:val="64FA63BF"/>
    <w:rsid w:val="650E262A"/>
    <w:rsid w:val="65544E65"/>
    <w:rsid w:val="658E568C"/>
    <w:rsid w:val="65D71D35"/>
    <w:rsid w:val="66493D40"/>
    <w:rsid w:val="665E771A"/>
    <w:rsid w:val="666930D8"/>
    <w:rsid w:val="666A0598"/>
    <w:rsid w:val="66723515"/>
    <w:rsid w:val="6683710C"/>
    <w:rsid w:val="66A369A3"/>
    <w:rsid w:val="66AC66AB"/>
    <w:rsid w:val="66C108C3"/>
    <w:rsid w:val="66D807A3"/>
    <w:rsid w:val="672935EC"/>
    <w:rsid w:val="67516E33"/>
    <w:rsid w:val="6759467F"/>
    <w:rsid w:val="679A29E9"/>
    <w:rsid w:val="67A12509"/>
    <w:rsid w:val="67D04E9E"/>
    <w:rsid w:val="67EF4302"/>
    <w:rsid w:val="67F821CD"/>
    <w:rsid w:val="68295E39"/>
    <w:rsid w:val="682F1CCB"/>
    <w:rsid w:val="68702AEA"/>
    <w:rsid w:val="6873793D"/>
    <w:rsid w:val="691F0605"/>
    <w:rsid w:val="694D5CCB"/>
    <w:rsid w:val="695A63DA"/>
    <w:rsid w:val="699A18D0"/>
    <w:rsid w:val="69AE5DB1"/>
    <w:rsid w:val="69B07358"/>
    <w:rsid w:val="69B121CA"/>
    <w:rsid w:val="6A134777"/>
    <w:rsid w:val="6A562035"/>
    <w:rsid w:val="6A63323F"/>
    <w:rsid w:val="6B141B97"/>
    <w:rsid w:val="6B1E323C"/>
    <w:rsid w:val="6B3B17D7"/>
    <w:rsid w:val="6B4745F9"/>
    <w:rsid w:val="6B541714"/>
    <w:rsid w:val="6B70086D"/>
    <w:rsid w:val="6B7857F5"/>
    <w:rsid w:val="6B9B1204"/>
    <w:rsid w:val="6BC86245"/>
    <w:rsid w:val="6BF71667"/>
    <w:rsid w:val="6C245028"/>
    <w:rsid w:val="6C327934"/>
    <w:rsid w:val="6C4D064D"/>
    <w:rsid w:val="6C6B2530"/>
    <w:rsid w:val="6CAC597B"/>
    <w:rsid w:val="6CBE209D"/>
    <w:rsid w:val="6CC60D90"/>
    <w:rsid w:val="6CC956E8"/>
    <w:rsid w:val="6CE37056"/>
    <w:rsid w:val="6CFE2F96"/>
    <w:rsid w:val="6CFE58BD"/>
    <w:rsid w:val="6D5049D0"/>
    <w:rsid w:val="6D733C68"/>
    <w:rsid w:val="6D8E6D01"/>
    <w:rsid w:val="6E1E76CC"/>
    <w:rsid w:val="6E546A25"/>
    <w:rsid w:val="6E867F65"/>
    <w:rsid w:val="6E902A81"/>
    <w:rsid w:val="6E964BBF"/>
    <w:rsid w:val="6EE44610"/>
    <w:rsid w:val="6EE8023C"/>
    <w:rsid w:val="6EF0361F"/>
    <w:rsid w:val="6EFF7784"/>
    <w:rsid w:val="6F2C1B32"/>
    <w:rsid w:val="6F335BA3"/>
    <w:rsid w:val="6F623EFE"/>
    <w:rsid w:val="6F702CB8"/>
    <w:rsid w:val="6F8720C2"/>
    <w:rsid w:val="6F8C6BD5"/>
    <w:rsid w:val="6F965753"/>
    <w:rsid w:val="6FB8070A"/>
    <w:rsid w:val="6FF62E9B"/>
    <w:rsid w:val="70355272"/>
    <w:rsid w:val="709D4941"/>
    <w:rsid w:val="70E83C23"/>
    <w:rsid w:val="70EE6913"/>
    <w:rsid w:val="71042BA4"/>
    <w:rsid w:val="71092582"/>
    <w:rsid w:val="711025D2"/>
    <w:rsid w:val="71103CCB"/>
    <w:rsid w:val="711D53DE"/>
    <w:rsid w:val="71290114"/>
    <w:rsid w:val="713A34AC"/>
    <w:rsid w:val="715A22E9"/>
    <w:rsid w:val="71614C0C"/>
    <w:rsid w:val="71C702C7"/>
    <w:rsid w:val="71CB35BC"/>
    <w:rsid w:val="71E44AC5"/>
    <w:rsid w:val="720A41DC"/>
    <w:rsid w:val="720E643C"/>
    <w:rsid w:val="721648AF"/>
    <w:rsid w:val="72635B32"/>
    <w:rsid w:val="72787AE4"/>
    <w:rsid w:val="72A6119E"/>
    <w:rsid w:val="72DE321B"/>
    <w:rsid w:val="72E73503"/>
    <w:rsid w:val="73047E74"/>
    <w:rsid w:val="73104913"/>
    <w:rsid w:val="735954E8"/>
    <w:rsid w:val="736E1FB1"/>
    <w:rsid w:val="73D0242B"/>
    <w:rsid w:val="73FD57DC"/>
    <w:rsid w:val="74094A4C"/>
    <w:rsid w:val="741D3A88"/>
    <w:rsid w:val="7427520C"/>
    <w:rsid w:val="74761CE6"/>
    <w:rsid w:val="74AC29F8"/>
    <w:rsid w:val="74CE1F46"/>
    <w:rsid w:val="74F57C9F"/>
    <w:rsid w:val="754A35D1"/>
    <w:rsid w:val="755E6686"/>
    <w:rsid w:val="75832769"/>
    <w:rsid w:val="758F1086"/>
    <w:rsid w:val="762740EE"/>
    <w:rsid w:val="7651738C"/>
    <w:rsid w:val="76564CC2"/>
    <w:rsid w:val="76675B38"/>
    <w:rsid w:val="768B7DF6"/>
    <w:rsid w:val="76A0204F"/>
    <w:rsid w:val="76A076B7"/>
    <w:rsid w:val="76B53A13"/>
    <w:rsid w:val="76EF145E"/>
    <w:rsid w:val="7710670F"/>
    <w:rsid w:val="77143938"/>
    <w:rsid w:val="77287722"/>
    <w:rsid w:val="77351EE9"/>
    <w:rsid w:val="77D84898"/>
    <w:rsid w:val="77E57A37"/>
    <w:rsid w:val="77EA2D12"/>
    <w:rsid w:val="78144497"/>
    <w:rsid w:val="783E3710"/>
    <w:rsid w:val="786A439F"/>
    <w:rsid w:val="789662C9"/>
    <w:rsid w:val="78CE1E6B"/>
    <w:rsid w:val="78E62432"/>
    <w:rsid w:val="79147A41"/>
    <w:rsid w:val="79175283"/>
    <w:rsid w:val="794178F2"/>
    <w:rsid w:val="797B3024"/>
    <w:rsid w:val="798A5706"/>
    <w:rsid w:val="799A6276"/>
    <w:rsid w:val="79A93102"/>
    <w:rsid w:val="79F176AC"/>
    <w:rsid w:val="7A0C11BE"/>
    <w:rsid w:val="7A6C635F"/>
    <w:rsid w:val="7A771025"/>
    <w:rsid w:val="7A875AD1"/>
    <w:rsid w:val="7AA57DB3"/>
    <w:rsid w:val="7AC35CE2"/>
    <w:rsid w:val="7AC50DCB"/>
    <w:rsid w:val="7AD230C9"/>
    <w:rsid w:val="7B12541C"/>
    <w:rsid w:val="7B1E15DA"/>
    <w:rsid w:val="7B21219A"/>
    <w:rsid w:val="7B367039"/>
    <w:rsid w:val="7B935657"/>
    <w:rsid w:val="7B9A3F79"/>
    <w:rsid w:val="7BA061F6"/>
    <w:rsid w:val="7BAF6969"/>
    <w:rsid w:val="7BD67F1C"/>
    <w:rsid w:val="7BED4F80"/>
    <w:rsid w:val="7C0374B0"/>
    <w:rsid w:val="7C265086"/>
    <w:rsid w:val="7C445BF3"/>
    <w:rsid w:val="7C8C1FC4"/>
    <w:rsid w:val="7CA50C29"/>
    <w:rsid w:val="7CAF7EC7"/>
    <w:rsid w:val="7CCA2325"/>
    <w:rsid w:val="7D161B0E"/>
    <w:rsid w:val="7D266C26"/>
    <w:rsid w:val="7D6265EC"/>
    <w:rsid w:val="7DB06E62"/>
    <w:rsid w:val="7DBB23F8"/>
    <w:rsid w:val="7DDC5B1E"/>
    <w:rsid w:val="7DDE07A0"/>
    <w:rsid w:val="7E1962DF"/>
    <w:rsid w:val="7E3F1C4E"/>
    <w:rsid w:val="7ECB129E"/>
    <w:rsid w:val="7EEE32BE"/>
    <w:rsid w:val="7F176E43"/>
    <w:rsid w:val="7F671FDA"/>
    <w:rsid w:val="7F8A49FE"/>
    <w:rsid w:val="7FD848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qFormat="1" w:unhideWhenUsed="0" w:uiPriority="0" w:semiHidden="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 w:cs="Times New Roman"/>
      <w:kern w:val="2"/>
      <w:sz w:val="32"/>
      <w:szCs w:val="24"/>
      <w:lang w:val="en-US" w:eastAsia="zh-CN" w:bidi="ar-SA"/>
    </w:rPr>
  </w:style>
  <w:style w:type="paragraph" w:styleId="2">
    <w:name w:val="heading 1"/>
    <w:basedOn w:val="1"/>
    <w:next w:val="1"/>
    <w:link w:val="21"/>
    <w:qFormat/>
    <w:uiPriority w:val="0"/>
    <w:pPr>
      <w:keepNext/>
      <w:keepLines/>
      <w:spacing w:before="340" w:after="330" w:line="576" w:lineRule="auto"/>
      <w:jc w:val="center"/>
      <w:outlineLvl w:val="0"/>
    </w:pPr>
    <w:rPr>
      <w:rFonts w:eastAsia="宋体"/>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0"/>
    <w:pPr>
      <w:spacing w:after="120"/>
    </w:p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semiHidden/>
    <w:qFormat/>
    <w:uiPriority w:val="0"/>
    <w:pPr>
      <w:tabs>
        <w:tab w:val="right" w:leader="dot" w:pos="8494"/>
      </w:tabs>
    </w:pPr>
    <w:rPr>
      <w:rFonts w:ascii="仿宋_GB2312" w:eastAsia="仿宋_GB2312"/>
      <w:szCs w:val="32"/>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9">
    <w:name w:val="Title"/>
    <w:basedOn w:val="1"/>
    <w:next w:val="1"/>
    <w:qFormat/>
    <w:uiPriority w:val="10"/>
    <w:pPr>
      <w:spacing w:before="240" w:after="60"/>
      <w:jc w:val="center"/>
      <w:outlineLvl w:val="0"/>
    </w:pPr>
    <w:rPr>
      <w:rFonts w:ascii="Cambria" w:hAnsi="Cambria" w:eastAsia="宋体"/>
      <w:b/>
      <w:bCs/>
      <w:szCs w:val="32"/>
    </w:rPr>
  </w:style>
  <w:style w:type="table" w:styleId="11">
    <w:name w:val="Table Web 1"/>
    <w:basedOn w:val="10"/>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character" w:styleId="13">
    <w:name w:val="Strong"/>
    <w:basedOn w:val="12"/>
    <w:qFormat/>
    <w:uiPriority w:val="22"/>
    <w:rPr>
      <w:b/>
      <w:bCs/>
    </w:rPr>
  </w:style>
  <w:style w:type="character" w:styleId="14">
    <w:name w:val="page number"/>
    <w:basedOn w:val="12"/>
    <w:qFormat/>
    <w:uiPriority w:val="0"/>
  </w:style>
  <w:style w:type="character" w:styleId="15">
    <w:name w:val="Hyperlink"/>
    <w:basedOn w:val="12"/>
    <w:qFormat/>
    <w:uiPriority w:val="0"/>
    <w:rPr>
      <w:color w:val="0000FF"/>
      <w:u w:val="single"/>
    </w:rPr>
  </w:style>
  <w:style w:type="paragraph" w:customStyle="1" w:styleId="16">
    <w:name w:val="列表段落1"/>
    <w:basedOn w:val="1"/>
    <w:qFormat/>
    <w:uiPriority w:val="0"/>
    <w:pPr>
      <w:ind w:firstLine="420" w:firstLineChars="200"/>
    </w:pPr>
    <w:rPr>
      <w:rFonts w:ascii="Calibri" w:hAnsi="Calibri"/>
      <w:szCs w:val="22"/>
    </w:rPr>
  </w:style>
  <w:style w:type="paragraph" w:customStyle="1" w:styleId="17">
    <w:name w:val="title15"/>
    <w:basedOn w:val="1"/>
    <w:qFormat/>
    <w:uiPriority w:val="0"/>
    <w:pPr>
      <w:widowControl/>
      <w:spacing w:before="100" w:beforeAutospacing="1" w:after="100" w:afterAutospacing="1"/>
      <w:jc w:val="left"/>
    </w:pPr>
    <w:rPr>
      <w:rFonts w:ascii="黑体" w:hAnsi="黑体" w:eastAsia="黑体" w:cs="宋体"/>
      <w:b/>
      <w:bCs/>
      <w:kern w:val="0"/>
      <w:sz w:val="30"/>
      <w:szCs w:val="30"/>
    </w:rPr>
  </w:style>
  <w:style w:type="paragraph" w:customStyle="1" w:styleId="18">
    <w:name w:val="列出段落"/>
    <w:basedOn w:val="1"/>
    <w:qFormat/>
    <w:uiPriority w:val="0"/>
    <w:pPr>
      <w:ind w:firstLine="420" w:firstLineChars="200"/>
    </w:pPr>
    <w:rPr>
      <w:rFonts w:ascii="Calibri" w:hAnsi="Calibri"/>
      <w:szCs w:val="22"/>
    </w:rPr>
  </w:style>
  <w:style w:type="paragraph" w:customStyle="1" w:styleId="19">
    <w:name w:val="WPSOffice手动目录 1"/>
    <w:qFormat/>
    <w:uiPriority w:val="0"/>
    <w:rPr>
      <w:rFonts w:ascii="Calibri" w:hAnsi="Calibri" w:eastAsia="宋体" w:cs="Times New Roman"/>
      <w:lang w:val="en-US" w:eastAsia="zh-CN" w:bidi="ar-SA"/>
    </w:rPr>
  </w:style>
  <w:style w:type="paragraph" w:customStyle="1" w:styleId="20">
    <w:name w:val="WPSOffice手动目录 2"/>
    <w:qFormat/>
    <w:uiPriority w:val="0"/>
    <w:pPr>
      <w:ind w:left="200" w:leftChars="200"/>
    </w:pPr>
    <w:rPr>
      <w:rFonts w:ascii="Calibri" w:hAnsi="Calibri" w:eastAsia="宋体" w:cs="Times New Roman"/>
      <w:lang w:val="en-US" w:eastAsia="zh-CN" w:bidi="ar-SA"/>
    </w:rPr>
  </w:style>
  <w:style w:type="character" w:customStyle="1" w:styleId="21">
    <w:name w:val="标题 1 字符"/>
    <w:link w:val="2"/>
    <w:qFormat/>
    <w:uiPriority w:val="0"/>
    <w:rPr>
      <w:rFonts w:eastAsia="宋体"/>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129</Pages>
  <Words>43295</Words>
  <Characters>43579</Characters>
  <Lines>343</Lines>
  <Paragraphs>96</Paragraphs>
  <TotalTime>0</TotalTime>
  <ScaleCrop>false</ScaleCrop>
  <LinksUpToDate>false</LinksUpToDate>
  <CharactersWithSpaces>45159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2020-05-25T02:13:00Z</dcterms:created>
  <dc:creator>Administrator</dc:creator>
  <cp:lastModifiedBy>Administrator</cp:lastModifiedBy>
  <cp:lastPrinted>2020-09-30T07:33:00Z</cp:lastPrinted>
  <dcterms:modified xsi:type="dcterms:W3CDTF">2023-07-10T07:22:34Z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A7083F4DE7544F2B98C53801F29568F3</vt:lpwstr>
  </property>
</Properties>
</file>