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26455">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_GBK" w:cs="Times New Roman"/>
          <w:color w:val="auto"/>
          <w:sz w:val="44"/>
          <w:szCs w:val="44"/>
          <w:highlight w:val="none"/>
          <w:u w:val="none"/>
          <w:lang w:val="en-US" w:eastAsia="zh-CN"/>
        </w:rPr>
      </w:pPr>
    </w:p>
    <w:p w14:paraId="62F0FD8F">
      <w:pPr>
        <w:pStyle w:val="15"/>
        <w:rPr>
          <w:rFonts w:hint="default"/>
          <w:color w:val="auto"/>
          <w:highlight w:val="none"/>
          <w:u w:val="none"/>
          <w:lang w:val="en-US" w:eastAsia="zh-CN"/>
        </w:rPr>
      </w:pPr>
    </w:p>
    <w:p w14:paraId="1F1D7E5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_GBK" w:cs="Times New Roman"/>
          <w:color w:val="auto"/>
          <w:sz w:val="44"/>
          <w:szCs w:val="44"/>
          <w:highlight w:val="none"/>
          <w:u w:val="none"/>
          <w:lang w:val="en-US" w:eastAsia="zh-CN"/>
        </w:rPr>
      </w:pPr>
      <w:r>
        <w:rPr>
          <w:rFonts w:hint="default" w:ascii="Times New Roman" w:hAnsi="Times New Roman" w:eastAsia="方正小标宋_GBK" w:cs="Times New Roman"/>
          <w:color w:val="auto"/>
          <w:sz w:val="44"/>
          <w:szCs w:val="44"/>
          <w:highlight w:val="none"/>
          <w:u w:val="none"/>
          <w:lang w:val="en-US" w:eastAsia="zh-CN"/>
        </w:rPr>
        <w:t>白城市服务业发展“十五五”规划</w:t>
      </w:r>
    </w:p>
    <w:p w14:paraId="75C1E50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_GBK" w:cs="Times New Roman"/>
          <w:color w:val="auto"/>
          <w:sz w:val="44"/>
          <w:szCs w:val="44"/>
          <w:highlight w:val="none"/>
          <w:u w:val="none"/>
          <w:lang w:val="en-US" w:eastAsia="zh-CN"/>
        </w:rPr>
      </w:pPr>
      <w:r>
        <w:rPr>
          <w:rFonts w:hint="eastAsia" w:ascii="Times New Roman" w:hAnsi="Times New Roman" w:eastAsia="方正小标宋_GBK" w:cs="Times New Roman"/>
          <w:color w:val="auto"/>
          <w:sz w:val="44"/>
          <w:szCs w:val="44"/>
          <w:highlight w:val="none"/>
          <w:u w:val="none"/>
          <w:lang w:val="en-US" w:eastAsia="zh-CN"/>
        </w:rPr>
        <w:t>（征求意见稿）</w:t>
      </w:r>
    </w:p>
    <w:p w14:paraId="6C1C3E50">
      <w:pPr>
        <w:bidi w:val="0"/>
        <w:rPr>
          <w:rFonts w:hint="eastAsia"/>
          <w:color w:val="auto"/>
          <w:sz w:val="28"/>
          <w:szCs w:val="36"/>
          <w:highlight w:val="none"/>
          <w:u w:val="none"/>
          <w:lang w:val="en-US" w:eastAsia="zh-CN"/>
        </w:rPr>
      </w:pPr>
    </w:p>
    <w:p w14:paraId="48ACC576">
      <w:pPr>
        <w:rPr>
          <w:rFonts w:hint="default" w:ascii="Times New Roman" w:hAnsi="Times New Roman" w:eastAsia="黑体" w:cs="Times New Roman"/>
          <w:b w:val="0"/>
          <w:bCs/>
          <w:color w:val="auto"/>
          <w:sz w:val="32"/>
          <w:szCs w:val="20"/>
          <w:highlight w:val="none"/>
          <w:u w:val="none"/>
          <w:lang w:val="en-US" w:eastAsia="zh-CN"/>
        </w:rPr>
      </w:pPr>
    </w:p>
    <w:p w14:paraId="3647B125">
      <w:pPr>
        <w:rPr>
          <w:rFonts w:hint="default" w:ascii="Times New Roman" w:hAnsi="Times New Roman" w:eastAsia="黑体" w:cs="Times New Roman"/>
          <w:b w:val="0"/>
          <w:bCs/>
          <w:color w:val="auto"/>
          <w:sz w:val="32"/>
          <w:szCs w:val="20"/>
          <w:highlight w:val="none"/>
          <w:u w:val="none"/>
          <w:lang w:val="en-US" w:eastAsia="zh-CN"/>
        </w:rPr>
      </w:pPr>
    </w:p>
    <w:p w14:paraId="775ABDE8">
      <w:pPr>
        <w:rPr>
          <w:rFonts w:hint="default" w:ascii="Times New Roman" w:hAnsi="Times New Roman" w:eastAsia="黑体" w:cs="Times New Roman"/>
          <w:b w:val="0"/>
          <w:bCs/>
          <w:color w:val="auto"/>
          <w:sz w:val="32"/>
          <w:szCs w:val="20"/>
          <w:highlight w:val="none"/>
          <w:u w:val="none"/>
          <w:lang w:val="en-US" w:eastAsia="zh-CN"/>
        </w:rPr>
      </w:pPr>
    </w:p>
    <w:p w14:paraId="4B3D81B8">
      <w:pPr>
        <w:rPr>
          <w:rFonts w:hint="default" w:ascii="Times New Roman" w:hAnsi="Times New Roman" w:eastAsia="黑体" w:cs="Times New Roman"/>
          <w:b w:val="0"/>
          <w:bCs/>
          <w:color w:val="auto"/>
          <w:sz w:val="32"/>
          <w:szCs w:val="20"/>
          <w:highlight w:val="none"/>
          <w:u w:val="none"/>
          <w:lang w:val="en-US" w:eastAsia="zh-CN"/>
        </w:rPr>
      </w:pPr>
    </w:p>
    <w:p w14:paraId="569C34F3">
      <w:pPr>
        <w:rPr>
          <w:rFonts w:hint="default" w:ascii="Times New Roman" w:hAnsi="Times New Roman" w:eastAsia="黑体" w:cs="Times New Roman"/>
          <w:b w:val="0"/>
          <w:bCs/>
          <w:color w:val="auto"/>
          <w:sz w:val="32"/>
          <w:szCs w:val="20"/>
          <w:highlight w:val="none"/>
          <w:u w:val="none"/>
          <w:lang w:val="en-US" w:eastAsia="zh-CN"/>
        </w:rPr>
      </w:pPr>
    </w:p>
    <w:p w14:paraId="2DB09C56">
      <w:pPr>
        <w:rPr>
          <w:rFonts w:hint="default" w:ascii="Times New Roman" w:hAnsi="Times New Roman" w:eastAsia="黑体" w:cs="Times New Roman"/>
          <w:b w:val="0"/>
          <w:bCs/>
          <w:color w:val="auto"/>
          <w:sz w:val="32"/>
          <w:szCs w:val="20"/>
          <w:highlight w:val="none"/>
          <w:u w:val="none"/>
          <w:lang w:val="en-US" w:eastAsia="zh-CN"/>
        </w:rPr>
      </w:pPr>
    </w:p>
    <w:p w14:paraId="7B55392D">
      <w:pPr>
        <w:rPr>
          <w:rFonts w:hint="default" w:ascii="Times New Roman" w:hAnsi="Times New Roman" w:eastAsia="黑体" w:cs="Times New Roman"/>
          <w:b w:val="0"/>
          <w:bCs/>
          <w:color w:val="auto"/>
          <w:sz w:val="32"/>
          <w:szCs w:val="20"/>
          <w:highlight w:val="none"/>
          <w:u w:val="none"/>
          <w:lang w:val="en-US" w:eastAsia="zh-CN"/>
        </w:rPr>
      </w:pPr>
    </w:p>
    <w:p w14:paraId="0031DE70">
      <w:pPr>
        <w:rPr>
          <w:rFonts w:hint="default" w:ascii="Times New Roman" w:hAnsi="Times New Roman" w:eastAsia="黑体" w:cs="Times New Roman"/>
          <w:b w:val="0"/>
          <w:bCs/>
          <w:color w:val="auto"/>
          <w:sz w:val="32"/>
          <w:szCs w:val="20"/>
          <w:highlight w:val="none"/>
          <w:u w:val="none"/>
          <w:lang w:val="en-US" w:eastAsia="zh-CN"/>
        </w:rPr>
      </w:pPr>
    </w:p>
    <w:p w14:paraId="0DDE6FD9">
      <w:pPr>
        <w:pStyle w:val="15"/>
        <w:rPr>
          <w:rFonts w:hint="default" w:ascii="Times New Roman" w:hAnsi="Times New Roman" w:eastAsia="黑体" w:cs="Times New Roman"/>
          <w:b w:val="0"/>
          <w:bCs/>
          <w:color w:val="auto"/>
          <w:sz w:val="32"/>
          <w:szCs w:val="20"/>
          <w:highlight w:val="none"/>
          <w:u w:val="none"/>
          <w:lang w:val="en-US" w:eastAsia="zh-CN"/>
        </w:rPr>
      </w:pPr>
    </w:p>
    <w:p w14:paraId="1B38B6F8">
      <w:pPr>
        <w:pStyle w:val="15"/>
        <w:rPr>
          <w:rFonts w:hint="default" w:ascii="Times New Roman" w:hAnsi="Times New Roman" w:eastAsia="黑体" w:cs="Times New Roman"/>
          <w:b w:val="0"/>
          <w:bCs/>
          <w:color w:val="auto"/>
          <w:sz w:val="32"/>
          <w:szCs w:val="20"/>
          <w:highlight w:val="none"/>
          <w:u w:val="none"/>
          <w:lang w:val="en-US" w:eastAsia="zh-CN"/>
        </w:rPr>
      </w:pPr>
    </w:p>
    <w:p w14:paraId="598EB01B">
      <w:pPr>
        <w:pStyle w:val="15"/>
        <w:rPr>
          <w:rFonts w:hint="default" w:ascii="Times New Roman" w:hAnsi="Times New Roman" w:eastAsia="黑体" w:cs="Times New Roman"/>
          <w:b w:val="0"/>
          <w:bCs/>
          <w:color w:val="auto"/>
          <w:sz w:val="32"/>
          <w:szCs w:val="20"/>
          <w:highlight w:val="none"/>
          <w:u w:val="none"/>
          <w:lang w:val="en-US" w:eastAsia="zh-CN"/>
        </w:rPr>
      </w:pPr>
    </w:p>
    <w:p w14:paraId="1012B2CC">
      <w:pPr>
        <w:rPr>
          <w:rFonts w:hint="default" w:ascii="Times New Roman" w:hAnsi="Times New Roman" w:eastAsia="黑体" w:cs="Times New Roman"/>
          <w:b w:val="0"/>
          <w:bCs/>
          <w:color w:val="auto"/>
          <w:sz w:val="32"/>
          <w:szCs w:val="20"/>
          <w:highlight w:val="none"/>
          <w:u w:val="none"/>
          <w:lang w:val="en-US" w:eastAsia="zh-CN"/>
        </w:rPr>
      </w:pPr>
    </w:p>
    <w:p w14:paraId="44FAC20A">
      <w:pPr>
        <w:rPr>
          <w:rFonts w:hint="default" w:ascii="Times New Roman" w:hAnsi="Times New Roman" w:eastAsia="黑体" w:cs="Times New Roman"/>
          <w:b w:val="0"/>
          <w:bCs/>
          <w:color w:val="auto"/>
          <w:sz w:val="32"/>
          <w:szCs w:val="20"/>
          <w:highlight w:val="none"/>
          <w:u w:val="none"/>
          <w:lang w:val="en-US" w:eastAsia="zh-CN"/>
        </w:rPr>
      </w:pPr>
    </w:p>
    <w:p w14:paraId="5E20335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白城市发展和改革委员会</w:t>
      </w:r>
    </w:p>
    <w:p w14:paraId="30FF2C1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二〇二六年九月</w:t>
      </w:r>
    </w:p>
    <w:p w14:paraId="7B170E5D">
      <w:pPr>
        <w:rPr>
          <w:rFonts w:hint="default" w:ascii="Times New Roman" w:hAnsi="Times New Roman" w:eastAsia="黑体" w:cs="Times New Roman"/>
          <w:b w:val="0"/>
          <w:bCs/>
          <w:color w:val="auto"/>
          <w:sz w:val="32"/>
          <w:szCs w:val="20"/>
          <w:highlight w:val="none"/>
          <w:u w:val="none"/>
          <w:lang w:val="en-US" w:eastAsia="zh-CN"/>
        </w:rPr>
        <w:sectPr>
          <w:pgSz w:w="11906" w:h="16838"/>
          <w:pgMar w:top="2041" w:right="1531" w:bottom="2041" w:left="1531" w:header="851" w:footer="992" w:gutter="0"/>
          <w:pgNumType w:fmt="decimal"/>
          <w:cols w:space="425" w:num="1"/>
          <w:docGrid w:type="lines" w:linePitch="312" w:charSpace="0"/>
        </w:sectPr>
      </w:pPr>
    </w:p>
    <w:p w14:paraId="4D407491">
      <w:pPr>
        <w:spacing w:before="0" w:after="0" w:line="240" w:lineRule="auto"/>
        <w:ind w:left="0" w:leftChars="0" w:right="0" w:rightChars="0" w:firstLine="0" w:firstLineChars="0"/>
        <w:jc w:val="center"/>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目</w:t>
      </w:r>
      <w:r>
        <w:rPr>
          <w:rFonts w:hint="default" w:ascii="Times New Roman" w:hAnsi="Times New Roman" w:eastAsia="黑体" w:cs="Times New Roman"/>
          <w:color w:val="auto"/>
          <w:sz w:val="32"/>
          <w:szCs w:val="32"/>
          <w:highlight w:val="none"/>
          <w:u w:val="none"/>
          <w:lang w:val="en-US" w:eastAsia="zh-CN"/>
        </w:rPr>
        <w:t xml:space="preserve">  </w:t>
      </w:r>
      <w:r>
        <w:rPr>
          <w:rFonts w:hint="default" w:ascii="Times New Roman" w:hAnsi="Times New Roman" w:eastAsia="黑体" w:cs="Times New Roman"/>
          <w:color w:val="auto"/>
          <w:sz w:val="32"/>
          <w:szCs w:val="32"/>
          <w:highlight w:val="none"/>
          <w:u w:val="none"/>
        </w:rPr>
        <w:t>录</w:t>
      </w:r>
    </w:p>
    <w:p w14:paraId="1FDB149E">
      <w:pPr>
        <w:pStyle w:val="8"/>
        <w:tabs>
          <w:tab w:val="right" w:leader="dot" w:pos="8844"/>
        </w:tabs>
        <w:rPr>
          <w:color w:val="auto"/>
        </w:rPr>
      </w:pPr>
      <w:r>
        <w:rPr>
          <w:rFonts w:hint="default" w:ascii="Times New Roman" w:hAnsi="Times New Roman" w:eastAsia="方正仿宋_GB2312" w:cs="Times New Roman"/>
          <w:color w:val="auto"/>
          <w:kern w:val="2"/>
          <w:sz w:val="32"/>
          <w:szCs w:val="24"/>
          <w:highlight w:val="none"/>
          <w:u w:val="none"/>
          <w:lang w:val="en-US" w:eastAsia="zh-CN" w:bidi="ar-SA"/>
        </w:rPr>
        <w:fldChar w:fldCharType="begin"/>
      </w:r>
      <w:r>
        <w:rPr>
          <w:rFonts w:hint="default" w:ascii="Times New Roman" w:hAnsi="Times New Roman" w:eastAsia="方正仿宋_GB2312" w:cs="Times New Roman"/>
          <w:color w:val="auto"/>
          <w:kern w:val="2"/>
          <w:sz w:val="32"/>
          <w:szCs w:val="24"/>
          <w:highlight w:val="none"/>
          <w:u w:val="none"/>
          <w:lang w:val="en-US" w:eastAsia="zh-CN" w:bidi="ar-SA"/>
        </w:rPr>
        <w:instrText xml:space="preserve">TOC \o "1-2" \h \u </w:instrText>
      </w:r>
      <w:r>
        <w:rPr>
          <w:rFonts w:hint="default" w:ascii="Times New Roman" w:hAnsi="Times New Roman" w:eastAsia="方正仿宋_GB2312" w:cs="Times New Roman"/>
          <w:color w:val="auto"/>
          <w:kern w:val="2"/>
          <w:sz w:val="32"/>
          <w:szCs w:val="24"/>
          <w:highlight w:val="none"/>
          <w:u w:val="none"/>
          <w:lang w:val="en-US" w:eastAsia="zh-CN" w:bidi="ar-SA"/>
        </w:rPr>
        <w:fldChar w:fldCharType="separate"/>
      </w: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_Toc1424312817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前言</w:t>
      </w:r>
      <w:r>
        <w:rPr>
          <w:color w:val="auto"/>
        </w:rPr>
        <w:tab/>
      </w:r>
      <w:r>
        <w:rPr>
          <w:color w:val="auto"/>
        </w:rPr>
        <w:fldChar w:fldCharType="begin"/>
      </w:r>
      <w:r>
        <w:rPr>
          <w:color w:val="auto"/>
        </w:rPr>
        <w:instrText xml:space="preserve"> PAGEREF _Toc1424312817 \h </w:instrText>
      </w:r>
      <w:r>
        <w:rPr>
          <w:color w:val="auto"/>
        </w:rPr>
        <w:fldChar w:fldCharType="separate"/>
      </w:r>
      <w:r>
        <w:rPr>
          <w:color w:val="auto"/>
        </w:rPr>
        <w:t>1</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759B57C7">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_Toc192162638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第一章 发展环境</w:t>
      </w:r>
      <w:r>
        <w:rPr>
          <w:color w:val="auto"/>
        </w:rPr>
        <w:tab/>
      </w:r>
      <w:r>
        <w:rPr>
          <w:color w:val="auto"/>
        </w:rPr>
        <w:fldChar w:fldCharType="begin"/>
      </w:r>
      <w:r>
        <w:rPr>
          <w:color w:val="auto"/>
        </w:rPr>
        <w:instrText xml:space="preserve"> PAGEREF _Toc192162638 \h </w:instrText>
      </w:r>
      <w:r>
        <w:rPr>
          <w:color w:val="auto"/>
        </w:rPr>
        <w:fldChar w:fldCharType="separate"/>
      </w:r>
      <w:r>
        <w:rPr>
          <w:color w:val="auto"/>
        </w:rPr>
        <w:t>1</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35BDF0E">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_Toc768375403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 xml:space="preserve">第一节 </w:t>
      </w:r>
      <w:r>
        <w:rPr>
          <w:rFonts w:hint="default" w:ascii="楷体_GB2312" w:hAnsi="楷体_GB2312" w:eastAsia="楷体_GB2312" w:cs="楷体_GB2312"/>
          <w:color w:val="auto"/>
          <w:szCs w:val="32"/>
          <w:highlight w:val="none"/>
          <w:lang w:val="en-US" w:eastAsia="zh-CN"/>
        </w:rPr>
        <w:t>发展基础</w:t>
      </w:r>
      <w:r>
        <w:rPr>
          <w:color w:val="auto"/>
        </w:rPr>
        <w:tab/>
      </w:r>
      <w:r>
        <w:rPr>
          <w:color w:val="auto"/>
        </w:rPr>
        <w:fldChar w:fldCharType="begin"/>
      </w:r>
      <w:r>
        <w:rPr>
          <w:color w:val="auto"/>
        </w:rPr>
        <w:instrText xml:space="preserve"> PAGEREF _Toc768375403 \h </w:instrText>
      </w:r>
      <w:r>
        <w:rPr>
          <w:color w:val="auto"/>
        </w:rPr>
        <w:fldChar w:fldCharType="separate"/>
      </w:r>
      <w:r>
        <w:rPr>
          <w:color w:val="auto"/>
        </w:rPr>
        <w:t>1</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34720DC9">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_Toc1338844816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第二节 发展形势</w:t>
      </w:r>
      <w:r>
        <w:rPr>
          <w:color w:val="auto"/>
        </w:rPr>
        <w:tab/>
      </w:r>
      <w:r>
        <w:rPr>
          <w:color w:val="auto"/>
        </w:rPr>
        <w:fldChar w:fldCharType="begin"/>
      </w:r>
      <w:r>
        <w:rPr>
          <w:color w:val="auto"/>
        </w:rPr>
        <w:instrText xml:space="preserve"> PAGEREF _Toc1338844816 \h </w:instrText>
      </w:r>
      <w:r>
        <w:rPr>
          <w:color w:val="auto"/>
        </w:rPr>
        <w:fldChar w:fldCharType="separate"/>
      </w:r>
      <w:r>
        <w:rPr>
          <w:color w:val="auto"/>
        </w:rPr>
        <w:t>2</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94720E8">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_Toc1615133584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default" w:ascii="Calibri" w:hAnsi="Calibri" w:eastAsia="黑体" w:cs="黑体"/>
          <w:color w:val="auto"/>
          <w:highlight w:val="none"/>
          <w:lang w:val="en-US" w:eastAsia="zh-CN"/>
        </w:rPr>
        <w:t>第二章 总体要求</w:t>
      </w:r>
      <w:r>
        <w:rPr>
          <w:color w:val="auto"/>
        </w:rPr>
        <w:tab/>
      </w:r>
      <w:r>
        <w:rPr>
          <w:color w:val="auto"/>
        </w:rPr>
        <w:fldChar w:fldCharType="begin"/>
      </w:r>
      <w:r>
        <w:rPr>
          <w:color w:val="auto"/>
        </w:rPr>
        <w:instrText xml:space="preserve"> PAGEREF _Toc1615133584 \h </w:instrText>
      </w:r>
      <w:r>
        <w:rPr>
          <w:color w:val="auto"/>
        </w:rPr>
        <w:fldChar w:fldCharType="separate"/>
      </w:r>
      <w:r>
        <w:rPr>
          <w:color w:val="auto"/>
        </w:rPr>
        <w:t>3</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79ABE97B">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_Toc436790654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第一节 总体思路</w:t>
      </w:r>
      <w:r>
        <w:rPr>
          <w:color w:val="auto"/>
        </w:rPr>
        <w:tab/>
      </w:r>
      <w:r>
        <w:rPr>
          <w:color w:val="auto"/>
        </w:rPr>
        <w:fldChar w:fldCharType="begin"/>
      </w:r>
      <w:r>
        <w:rPr>
          <w:color w:val="auto"/>
        </w:rPr>
        <w:instrText xml:space="preserve"> PAGEREF _Toc436790654 \h </w:instrText>
      </w:r>
      <w:r>
        <w:rPr>
          <w:color w:val="auto"/>
        </w:rPr>
        <w:fldChar w:fldCharType="separate"/>
      </w:r>
      <w:r>
        <w:rPr>
          <w:color w:val="auto"/>
        </w:rPr>
        <w:t>3</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4D0B80E5">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_Toc1341763548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 xml:space="preserve">第二节 </w:t>
      </w:r>
      <w:r>
        <w:rPr>
          <w:rFonts w:hint="default" w:ascii="楷体_GB2312" w:hAnsi="楷体_GB2312" w:eastAsia="楷体_GB2312" w:cs="楷体_GB2312"/>
          <w:color w:val="auto"/>
          <w:szCs w:val="32"/>
          <w:highlight w:val="none"/>
          <w:lang w:val="en-US" w:eastAsia="zh-CN"/>
        </w:rPr>
        <w:t>发展目标</w:t>
      </w:r>
      <w:r>
        <w:rPr>
          <w:color w:val="auto"/>
        </w:rPr>
        <w:tab/>
      </w:r>
      <w:r>
        <w:rPr>
          <w:color w:val="auto"/>
        </w:rPr>
        <w:fldChar w:fldCharType="begin"/>
      </w:r>
      <w:r>
        <w:rPr>
          <w:color w:val="auto"/>
        </w:rPr>
        <w:instrText xml:space="preserve"> PAGEREF _Toc1341763548 \h </w:instrText>
      </w:r>
      <w:r>
        <w:rPr>
          <w:color w:val="auto"/>
        </w:rPr>
        <w:fldChar w:fldCharType="separate"/>
      </w:r>
      <w:r>
        <w:rPr>
          <w:color w:val="auto"/>
        </w:rPr>
        <w:t>3</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38598780">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_Toc2056626748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第三章 大力发展生活性服务业</w:t>
      </w:r>
      <w:r>
        <w:rPr>
          <w:color w:val="auto"/>
        </w:rPr>
        <w:tab/>
      </w:r>
      <w:r>
        <w:rPr>
          <w:color w:val="auto"/>
        </w:rPr>
        <w:fldChar w:fldCharType="begin"/>
      </w:r>
      <w:r>
        <w:rPr>
          <w:color w:val="auto"/>
        </w:rPr>
        <w:instrText xml:space="preserve"> PAGEREF _Toc2056626748 \h </w:instrText>
      </w:r>
      <w:r>
        <w:rPr>
          <w:color w:val="auto"/>
        </w:rPr>
        <w:fldChar w:fldCharType="separate"/>
      </w:r>
      <w:r>
        <w:rPr>
          <w:color w:val="auto"/>
        </w:rPr>
        <w:t>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4FE0C259">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_Toc866796532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第一节 促进文化旅游体育融合发展</w:t>
      </w:r>
      <w:r>
        <w:rPr>
          <w:color w:val="auto"/>
        </w:rPr>
        <w:tab/>
      </w:r>
      <w:r>
        <w:rPr>
          <w:color w:val="auto"/>
        </w:rPr>
        <w:fldChar w:fldCharType="begin"/>
      </w:r>
      <w:r>
        <w:rPr>
          <w:color w:val="auto"/>
        </w:rPr>
        <w:instrText xml:space="preserve"> PAGEREF _Toc866796532 \h </w:instrText>
      </w:r>
      <w:r>
        <w:rPr>
          <w:color w:val="auto"/>
        </w:rPr>
        <w:fldChar w:fldCharType="separate"/>
      </w:r>
      <w:r>
        <w:rPr>
          <w:color w:val="auto"/>
        </w:rPr>
        <w:t>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79D4A06F">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_Toc1237824028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bCs w:val="0"/>
          <w:color w:val="auto"/>
          <w:szCs w:val="32"/>
          <w:highlight w:val="none"/>
          <w:lang w:val="en-US" w:eastAsia="zh-CN"/>
        </w:rPr>
        <w:t>第二节 提高健康养老托育服务适配水平</w:t>
      </w:r>
      <w:r>
        <w:rPr>
          <w:color w:val="auto"/>
        </w:rPr>
        <w:tab/>
      </w:r>
      <w:r>
        <w:rPr>
          <w:color w:val="auto"/>
        </w:rPr>
        <w:fldChar w:fldCharType="begin"/>
      </w:r>
      <w:r>
        <w:rPr>
          <w:color w:val="auto"/>
        </w:rPr>
        <w:instrText xml:space="preserve"> PAGEREF _Toc1237824028 \h </w:instrText>
      </w:r>
      <w:r>
        <w:rPr>
          <w:color w:val="auto"/>
        </w:rPr>
        <w:fldChar w:fldCharType="separate"/>
      </w:r>
      <w:r>
        <w:rPr>
          <w:color w:val="auto"/>
        </w:rPr>
        <w:t>5</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52956697">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_Toc1792209634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方正楷体_GB2312" w:hAnsi="方正楷体_GB2312" w:eastAsia="方正楷体_GB2312" w:cs="方正楷体_GB2312"/>
          <w:color w:val="auto"/>
          <w:szCs w:val="32"/>
          <w:highlight w:val="none"/>
          <w:lang w:val="en-US" w:eastAsia="zh-CN"/>
        </w:rPr>
        <w:t>第三节 推动商贸服务业提质扩容</w:t>
      </w:r>
      <w:r>
        <w:rPr>
          <w:color w:val="auto"/>
        </w:rPr>
        <w:tab/>
      </w:r>
      <w:r>
        <w:rPr>
          <w:color w:val="auto"/>
        </w:rPr>
        <w:fldChar w:fldCharType="begin"/>
      </w:r>
      <w:r>
        <w:rPr>
          <w:color w:val="auto"/>
        </w:rPr>
        <w:instrText xml:space="preserve"> PAGEREF _Toc1792209634 \h </w:instrText>
      </w:r>
      <w:r>
        <w:rPr>
          <w:color w:val="auto"/>
        </w:rPr>
        <w:fldChar w:fldCharType="separate"/>
      </w:r>
      <w:r>
        <w:rPr>
          <w:color w:val="auto"/>
        </w:rPr>
        <w:t>6</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8502C5C">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_Toc1427109869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bCs w:val="0"/>
          <w:color w:val="auto"/>
          <w:szCs w:val="32"/>
          <w:highlight w:val="none"/>
          <w:lang w:val="en-US" w:eastAsia="zh-CN"/>
        </w:rPr>
        <w:t>第四节 推动房地产业平稳健康发展</w:t>
      </w:r>
      <w:r>
        <w:rPr>
          <w:color w:val="auto"/>
        </w:rPr>
        <w:tab/>
      </w:r>
      <w:r>
        <w:rPr>
          <w:color w:val="auto"/>
        </w:rPr>
        <w:fldChar w:fldCharType="begin"/>
      </w:r>
      <w:r>
        <w:rPr>
          <w:color w:val="auto"/>
        </w:rPr>
        <w:instrText xml:space="preserve"> PAGEREF _Toc1427109869 \h </w:instrText>
      </w:r>
      <w:r>
        <w:rPr>
          <w:color w:val="auto"/>
        </w:rPr>
        <w:fldChar w:fldCharType="separate"/>
      </w:r>
      <w:r>
        <w:rPr>
          <w:color w:val="auto"/>
        </w:rPr>
        <w:t>8</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3688160D">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_Toc37304687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第四章 加快发展生产性服务业</w:t>
      </w:r>
      <w:r>
        <w:rPr>
          <w:color w:val="auto"/>
        </w:rPr>
        <w:tab/>
      </w:r>
      <w:r>
        <w:rPr>
          <w:color w:val="auto"/>
        </w:rPr>
        <w:fldChar w:fldCharType="begin"/>
      </w:r>
      <w:r>
        <w:rPr>
          <w:color w:val="auto"/>
        </w:rPr>
        <w:instrText xml:space="preserve"> PAGEREF _Toc37304687 \h </w:instrText>
      </w:r>
      <w:r>
        <w:rPr>
          <w:color w:val="auto"/>
        </w:rPr>
        <w:fldChar w:fldCharType="separate"/>
      </w:r>
      <w:r>
        <w:rPr>
          <w:color w:val="auto"/>
        </w:rPr>
        <w:t>9</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6BED15C0">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_Toc2057348474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第一节 增强交通物流综合竞争力</w:t>
      </w:r>
      <w:r>
        <w:rPr>
          <w:color w:val="auto"/>
        </w:rPr>
        <w:tab/>
      </w:r>
      <w:r>
        <w:rPr>
          <w:color w:val="auto"/>
        </w:rPr>
        <w:fldChar w:fldCharType="begin"/>
      </w:r>
      <w:r>
        <w:rPr>
          <w:color w:val="auto"/>
        </w:rPr>
        <w:instrText xml:space="preserve"> PAGEREF _Toc2057348474 \h </w:instrText>
      </w:r>
      <w:r>
        <w:rPr>
          <w:color w:val="auto"/>
        </w:rPr>
        <w:fldChar w:fldCharType="separate"/>
      </w:r>
      <w:r>
        <w:rPr>
          <w:color w:val="auto"/>
        </w:rPr>
        <w:t>9</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4EDFC61A">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_Toc535262445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default" w:ascii="Times New Roman" w:hAnsi="Times New Roman" w:eastAsia="楷体_GB2312" w:cs="Times New Roman"/>
          <w:color w:val="auto"/>
          <w:szCs w:val="32"/>
          <w:highlight w:val="none"/>
          <w:lang w:val="en-US" w:eastAsia="zh-CN"/>
        </w:rPr>
        <w:t>第</w:t>
      </w:r>
      <w:r>
        <w:rPr>
          <w:rFonts w:hint="eastAsia" w:ascii="Times New Roman" w:hAnsi="Times New Roman" w:eastAsia="楷体_GB2312" w:cs="Times New Roman"/>
          <w:color w:val="auto"/>
          <w:szCs w:val="32"/>
          <w:highlight w:val="none"/>
          <w:lang w:val="en-US" w:eastAsia="zh-CN"/>
        </w:rPr>
        <w:t>二</w:t>
      </w:r>
      <w:r>
        <w:rPr>
          <w:rFonts w:hint="default" w:ascii="Times New Roman" w:hAnsi="Times New Roman" w:eastAsia="楷体_GB2312" w:cs="Times New Roman"/>
          <w:color w:val="auto"/>
          <w:szCs w:val="32"/>
          <w:highlight w:val="none"/>
          <w:lang w:val="en-US" w:eastAsia="zh-CN"/>
        </w:rPr>
        <w:t>节 提速发展信息服务</w:t>
      </w:r>
      <w:r>
        <w:rPr>
          <w:color w:val="auto"/>
        </w:rPr>
        <w:tab/>
      </w:r>
      <w:r>
        <w:rPr>
          <w:color w:val="auto"/>
        </w:rPr>
        <w:fldChar w:fldCharType="begin"/>
      </w:r>
      <w:r>
        <w:rPr>
          <w:color w:val="auto"/>
        </w:rPr>
        <w:instrText xml:space="preserve"> PAGEREF _Toc535262445 \h </w:instrText>
      </w:r>
      <w:r>
        <w:rPr>
          <w:color w:val="auto"/>
        </w:rPr>
        <w:fldChar w:fldCharType="separate"/>
      </w:r>
      <w:r>
        <w:rPr>
          <w:color w:val="auto"/>
        </w:rPr>
        <w:t>10</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6D1DDBD5">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_Toc2116379329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default" w:ascii="Times New Roman" w:hAnsi="Times New Roman" w:eastAsia="楷体_GB2312" w:cs="Times New Roman"/>
          <w:color w:val="auto"/>
          <w:szCs w:val="32"/>
          <w:highlight w:val="none"/>
          <w:lang w:val="en-US" w:eastAsia="zh-CN"/>
        </w:rPr>
        <w:t>第</w:t>
      </w:r>
      <w:r>
        <w:rPr>
          <w:rFonts w:hint="eastAsia" w:ascii="Times New Roman" w:hAnsi="Times New Roman" w:eastAsia="楷体_GB2312" w:cs="Times New Roman"/>
          <w:color w:val="auto"/>
          <w:szCs w:val="32"/>
          <w:highlight w:val="none"/>
          <w:lang w:val="en-US" w:eastAsia="zh-CN"/>
        </w:rPr>
        <w:t>三</w:t>
      </w:r>
      <w:r>
        <w:rPr>
          <w:rFonts w:hint="default" w:ascii="Times New Roman" w:hAnsi="Times New Roman" w:eastAsia="楷体_GB2312" w:cs="Times New Roman"/>
          <w:color w:val="auto"/>
          <w:szCs w:val="32"/>
          <w:highlight w:val="none"/>
          <w:lang w:val="en-US" w:eastAsia="zh-CN"/>
        </w:rPr>
        <w:t>节 做优做强科技服务</w:t>
      </w:r>
      <w:r>
        <w:rPr>
          <w:color w:val="auto"/>
        </w:rPr>
        <w:tab/>
      </w:r>
      <w:r>
        <w:rPr>
          <w:color w:val="auto"/>
        </w:rPr>
        <w:fldChar w:fldCharType="begin"/>
      </w:r>
      <w:r>
        <w:rPr>
          <w:color w:val="auto"/>
        </w:rPr>
        <w:instrText xml:space="preserve"> PAGEREF _Toc2116379329 \h </w:instrText>
      </w:r>
      <w:r>
        <w:rPr>
          <w:color w:val="auto"/>
        </w:rPr>
        <w:fldChar w:fldCharType="separate"/>
      </w:r>
      <w:r>
        <w:rPr>
          <w:color w:val="auto"/>
        </w:rPr>
        <w:t>11</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7296678B">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_Toc1819665509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第四节 提升金融服务实体经济能力</w:t>
      </w:r>
      <w:r>
        <w:rPr>
          <w:color w:val="auto"/>
        </w:rPr>
        <w:tab/>
      </w:r>
      <w:r>
        <w:rPr>
          <w:color w:val="auto"/>
        </w:rPr>
        <w:fldChar w:fldCharType="begin"/>
      </w:r>
      <w:r>
        <w:rPr>
          <w:color w:val="auto"/>
        </w:rPr>
        <w:instrText xml:space="preserve"> PAGEREF _Toc1819665509 \h </w:instrText>
      </w:r>
      <w:r>
        <w:rPr>
          <w:color w:val="auto"/>
        </w:rPr>
        <w:fldChar w:fldCharType="separate"/>
      </w:r>
      <w:r>
        <w:rPr>
          <w:color w:val="auto"/>
        </w:rPr>
        <w:t>13</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24D2A61E">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_Toc1676681180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第五章 建设开放型服务市场体系</w:t>
      </w:r>
      <w:r>
        <w:rPr>
          <w:color w:val="auto"/>
        </w:rPr>
        <w:tab/>
      </w:r>
      <w:r>
        <w:rPr>
          <w:color w:val="auto"/>
        </w:rPr>
        <w:fldChar w:fldCharType="begin"/>
      </w:r>
      <w:r>
        <w:rPr>
          <w:color w:val="auto"/>
        </w:rPr>
        <w:instrText xml:space="preserve"> PAGEREF _Toc1676681180 \h </w:instrText>
      </w:r>
      <w:r>
        <w:rPr>
          <w:color w:val="auto"/>
        </w:rPr>
        <w:fldChar w:fldCharType="separate"/>
      </w:r>
      <w:r>
        <w:rPr>
          <w:color w:val="auto"/>
        </w:rPr>
        <w:t>14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61FF82B3">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_Toc1593492816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第一节 破除体制机制障碍</w:t>
      </w:r>
      <w:r>
        <w:rPr>
          <w:color w:val="auto"/>
        </w:rPr>
        <w:tab/>
      </w:r>
      <w:r>
        <w:rPr>
          <w:color w:val="auto"/>
        </w:rPr>
        <w:fldChar w:fldCharType="begin"/>
      </w:r>
      <w:r>
        <w:rPr>
          <w:color w:val="auto"/>
        </w:rPr>
        <w:instrText xml:space="preserve"> PAGEREF _Toc1593492816 \h </w:instrText>
      </w:r>
      <w:r>
        <w:rPr>
          <w:color w:val="auto"/>
        </w:rPr>
        <w:fldChar w:fldCharType="separate"/>
      </w:r>
      <w:r>
        <w:rPr>
          <w:color w:val="auto"/>
        </w:rPr>
        <w:t>14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5DDC313">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_Toc1868582665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第二节 优化</w:t>
      </w:r>
      <w:r>
        <w:rPr>
          <w:rFonts w:hint="default" w:ascii="楷体_GB2312" w:hAnsi="楷体_GB2312" w:eastAsia="楷体_GB2312" w:cs="楷体_GB2312"/>
          <w:color w:val="auto"/>
          <w:szCs w:val="32"/>
          <w:highlight w:val="none"/>
          <w:lang w:val="en-US" w:eastAsia="zh-CN"/>
        </w:rPr>
        <w:t>营商环境</w:t>
      </w:r>
      <w:r>
        <w:rPr>
          <w:color w:val="auto"/>
        </w:rPr>
        <w:tab/>
      </w:r>
      <w:r>
        <w:rPr>
          <w:color w:val="auto"/>
        </w:rPr>
        <w:fldChar w:fldCharType="begin"/>
      </w:r>
      <w:r>
        <w:rPr>
          <w:color w:val="auto"/>
        </w:rPr>
        <w:instrText xml:space="preserve"> PAGEREF _Toc1868582665 \h </w:instrText>
      </w:r>
      <w:r>
        <w:rPr>
          <w:color w:val="auto"/>
        </w:rPr>
        <w:fldChar w:fldCharType="separate"/>
      </w:r>
      <w:r>
        <w:rPr>
          <w:color w:val="auto"/>
        </w:rPr>
        <w:t>14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21B3A993">
      <w:pPr>
        <w:pStyle w:val="9"/>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_Toc364284795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楷体_GB2312" w:hAnsi="楷体_GB2312" w:eastAsia="楷体_GB2312" w:cs="楷体_GB2312"/>
          <w:color w:val="auto"/>
          <w:szCs w:val="32"/>
          <w:highlight w:val="none"/>
          <w:lang w:val="en-US" w:eastAsia="zh-CN"/>
        </w:rPr>
        <w:t>第三节 深化对外开放合作</w:t>
      </w:r>
      <w:r>
        <w:rPr>
          <w:color w:val="auto"/>
        </w:rPr>
        <w:tab/>
      </w:r>
      <w:r>
        <w:rPr>
          <w:color w:val="auto"/>
        </w:rPr>
        <w:fldChar w:fldCharType="begin"/>
      </w:r>
      <w:r>
        <w:rPr>
          <w:color w:val="auto"/>
        </w:rPr>
        <w:instrText xml:space="preserve"> PAGEREF _Toc364284795 \h </w:instrText>
      </w:r>
      <w:r>
        <w:rPr>
          <w:color w:val="auto"/>
        </w:rPr>
        <w:fldChar w:fldCharType="separate"/>
      </w:r>
      <w:r>
        <w:rPr>
          <w:color w:val="auto"/>
        </w:rPr>
        <w:t>14</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3CDD52D">
      <w:pPr>
        <w:pStyle w:val="8"/>
        <w:tabs>
          <w:tab w:val="right" w:leader="dot" w:pos="8844"/>
        </w:tabs>
        <w:rPr>
          <w:color w:val="auto"/>
        </w:rPr>
      </w:pPr>
      <w:r>
        <w:rPr>
          <w:rFonts w:hint="default" w:ascii="Times New Roman" w:hAnsi="Times New Roman" w:eastAsia="方正仿宋_GB2312" w:cs="Times New Roman"/>
          <w:color w:val="auto"/>
          <w:kern w:val="2"/>
          <w:szCs w:val="24"/>
          <w:highlight w:val="none"/>
          <w:u w:val="none"/>
          <w:lang w:val="en-US" w:eastAsia="zh-CN" w:bidi="ar-SA"/>
        </w:rPr>
        <w:fldChar w:fldCharType="begin"/>
      </w:r>
      <w:r>
        <w:rPr>
          <w:rFonts w:hint="default" w:ascii="Times New Roman" w:hAnsi="Times New Roman" w:eastAsia="方正仿宋_GB2312" w:cs="Times New Roman"/>
          <w:color w:val="auto"/>
          <w:kern w:val="2"/>
          <w:szCs w:val="24"/>
          <w:highlight w:val="none"/>
          <w:lang w:val="en-US" w:eastAsia="zh-CN" w:bidi="ar-SA"/>
        </w:rPr>
        <w:instrText xml:space="preserve"> HYPERLINK \l _Toc201816103 </w:instrText>
      </w:r>
      <w:r>
        <w:rPr>
          <w:rFonts w:hint="default" w:ascii="Times New Roman" w:hAnsi="Times New Roman" w:eastAsia="方正仿宋_GB2312" w:cs="Times New Roman"/>
          <w:color w:val="auto"/>
          <w:kern w:val="2"/>
          <w:szCs w:val="24"/>
          <w:highlight w:val="none"/>
          <w:lang w:val="en-US" w:eastAsia="zh-CN" w:bidi="ar-SA"/>
        </w:rPr>
        <w:fldChar w:fldCharType="separate"/>
      </w:r>
      <w:r>
        <w:rPr>
          <w:rFonts w:hint="eastAsia" w:ascii="Calibri" w:hAnsi="Calibri" w:eastAsia="黑体" w:cs="黑体"/>
          <w:color w:val="auto"/>
          <w:highlight w:val="none"/>
          <w:lang w:val="en-US" w:eastAsia="zh-CN"/>
        </w:rPr>
        <w:t xml:space="preserve">第六章 </w:t>
      </w:r>
      <w:r>
        <w:rPr>
          <w:rFonts w:hint="default" w:ascii="Calibri" w:hAnsi="Calibri" w:eastAsia="黑体" w:cs="黑体"/>
          <w:color w:val="auto"/>
          <w:highlight w:val="none"/>
          <w:lang w:val="en-US" w:eastAsia="zh-CN"/>
        </w:rPr>
        <w:t>保障措施</w:t>
      </w:r>
      <w:r>
        <w:rPr>
          <w:color w:val="auto"/>
        </w:rPr>
        <w:tab/>
      </w:r>
      <w:r>
        <w:rPr>
          <w:color w:val="auto"/>
        </w:rPr>
        <w:fldChar w:fldCharType="begin"/>
      </w:r>
      <w:r>
        <w:rPr>
          <w:color w:val="auto"/>
        </w:rPr>
        <w:instrText xml:space="preserve"> PAGEREF _Toc201816103 \h </w:instrText>
      </w:r>
      <w:r>
        <w:rPr>
          <w:color w:val="auto"/>
        </w:rPr>
        <w:fldChar w:fldCharType="separate"/>
      </w:r>
      <w:r>
        <w:rPr>
          <w:color w:val="auto"/>
        </w:rPr>
        <w:t>15</w:t>
      </w:r>
      <w:r>
        <w:rPr>
          <w:color w:val="auto"/>
        </w:rPr>
        <w:fldChar w:fldCharType="end"/>
      </w: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1A0D2A41">
      <w:pPr>
        <w:pStyle w:val="15"/>
        <w:rPr>
          <w:rFonts w:hint="default" w:ascii="Calibri" w:hAnsi="Calibri" w:eastAsia="方正仿宋_GB2312" w:cs="宋体"/>
          <w:color w:val="auto"/>
          <w:kern w:val="2"/>
          <w:sz w:val="32"/>
          <w:szCs w:val="24"/>
          <w:highlight w:val="none"/>
          <w:u w:val="none"/>
          <w:lang w:val="en-US" w:eastAsia="zh-CN" w:bidi="ar-SA"/>
        </w:rPr>
      </w:pPr>
      <w:r>
        <w:rPr>
          <w:rFonts w:hint="default" w:ascii="Times New Roman" w:hAnsi="Times New Roman" w:eastAsia="方正仿宋_GB2312" w:cs="Times New Roman"/>
          <w:color w:val="auto"/>
          <w:kern w:val="2"/>
          <w:szCs w:val="24"/>
          <w:highlight w:val="none"/>
          <w:u w:val="none"/>
          <w:lang w:val="en-US" w:eastAsia="zh-CN" w:bidi="ar-SA"/>
        </w:rPr>
        <w:fldChar w:fldCharType="end"/>
      </w:r>
    </w:p>
    <w:p w14:paraId="67CB46E7">
      <w:pPr>
        <w:pStyle w:val="2"/>
        <w:keepNext w:val="0"/>
        <w:keepLines w:val="0"/>
        <w:pageBreakBefore w:val="0"/>
        <w:widowControl w:val="0"/>
        <w:kinsoku/>
        <w:wordWrap/>
        <w:topLinePunct w:val="0"/>
        <w:autoSpaceDE/>
        <w:autoSpaceDN/>
        <w:bidi w:val="0"/>
        <w:adjustRightInd/>
        <w:snapToGrid/>
        <w:spacing w:before="100" w:beforeLines="100" w:beforeAutospacing="0" w:after="100" w:afterLines="100" w:afterAutospacing="0" w:line="560" w:lineRule="exact"/>
        <w:ind w:leftChars="0" w:firstLine="0" w:firstLineChars="0"/>
        <w:jc w:val="center"/>
        <w:textAlignment w:val="auto"/>
        <w:rPr>
          <w:rFonts w:hint="default" w:ascii="Times New Roman" w:hAnsi="Times New Roman" w:eastAsia="黑体" w:cs="Times New Roman"/>
          <w:b w:val="0"/>
          <w:color w:val="auto"/>
          <w:sz w:val="32"/>
          <w:highlight w:val="none"/>
          <w:u w:val="none"/>
          <w:lang w:val="en-US" w:eastAsia="zh-CN"/>
        </w:rPr>
        <w:sectPr>
          <w:footerReference r:id="rId3" w:type="default"/>
          <w:pgSz w:w="11906" w:h="16838"/>
          <w:pgMar w:top="2041" w:right="1531" w:bottom="2041" w:left="1531" w:header="851" w:footer="992" w:gutter="0"/>
          <w:pgNumType w:fmt="decimal" w:start="1"/>
          <w:cols w:space="425" w:num="1"/>
          <w:docGrid w:type="lines" w:linePitch="312" w:charSpace="0"/>
        </w:sectPr>
      </w:pPr>
    </w:p>
    <w:p w14:paraId="7050BA9F">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jc w:val="center"/>
        <w:textAlignment w:val="auto"/>
        <w:rPr>
          <w:rFonts w:hint="default" w:ascii="Calibri" w:hAnsi="Calibri" w:eastAsia="黑体" w:cs="黑体"/>
          <w:b w:val="0"/>
          <w:color w:val="auto"/>
          <w:sz w:val="32"/>
          <w:highlight w:val="none"/>
          <w:u w:val="none"/>
          <w:lang w:val="en-US" w:eastAsia="zh-CN"/>
        </w:rPr>
      </w:pPr>
      <w:bookmarkStart w:id="0" w:name="_Toc1424312817"/>
      <w:r>
        <w:rPr>
          <w:rFonts w:hint="eastAsia" w:ascii="Calibri" w:hAnsi="Calibri" w:eastAsia="黑体" w:cs="黑体"/>
          <w:b w:val="0"/>
          <w:color w:val="auto"/>
          <w:sz w:val="32"/>
          <w:highlight w:val="none"/>
          <w:u w:val="none"/>
          <w:lang w:val="en-US" w:eastAsia="zh-CN"/>
        </w:rPr>
        <w:t>前言</w:t>
      </w:r>
      <w:bookmarkEnd w:id="0"/>
    </w:p>
    <w:p w14:paraId="227FE51C">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firstLine="640" w:firstLineChars="200"/>
        <w:textAlignment w:val="auto"/>
        <w:rPr>
          <w:rFonts w:hint="default" w:ascii="Times New Roman" w:hAnsi="Times New Roman" w:eastAsia="仿宋_GB2312" w:cs="Times New Roman"/>
          <w:color w:val="auto"/>
          <w:sz w:val="32"/>
          <w:szCs w:val="40"/>
          <w:highlight w:val="none"/>
          <w:u w:val="none"/>
          <w:lang w:val="en-US" w:eastAsia="zh-CN"/>
        </w:rPr>
      </w:pPr>
      <w:r>
        <w:rPr>
          <w:rFonts w:hint="default" w:ascii="Times New Roman" w:hAnsi="Times New Roman" w:eastAsia="仿宋_GB2312" w:cs="Times New Roman"/>
          <w:color w:val="auto"/>
          <w:sz w:val="32"/>
          <w:szCs w:val="40"/>
          <w:highlight w:val="none"/>
          <w:u w:val="none"/>
          <w:lang w:val="en-US" w:eastAsia="zh-CN"/>
        </w:rPr>
        <w:t>为</w:t>
      </w:r>
      <w:r>
        <w:rPr>
          <w:rFonts w:hint="eastAsia" w:ascii="Times New Roman" w:hAnsi="Times New Roman" w:eastAsia="仿宋_GB2312" w:cs="Times New Roman"/>
          <w:color w:val="auto"/>
          <w:sz w:val="32"/>
          <w:szCs w:val="40"/>
          <w:highlight w:val="none"/>
          <w:u w:val="none"/>
          <w:lang w:val="en-US" w:eastAsia="zh-CN"/>
        </w:rPr>
        <w:t>更好发挥服务业在经济发展中的重要作用，构建优质高效、结构优化、竞争力强的服务业新体系，</w:t>
      </w:r>
      <w:r>
        <w:rPr>
          <w:rFonts w:hint="default" w:ascii="Times New Roman" w:hAnsi="Times New Roman" w:eastAsia="仿宋_GB2312" w:cs="Times New Roman"/>
          <w:color w:val="auto"/>
          <w:sz w:val="32"/>
          <w:szCs w:val="40"/>
          <w:highlight w:val="none"/>
          <w:u w:val="none"/>
          <w:lang w:val="en-US" w:eastAsia="zh-CN"/>
        </w:rPr>
        <w:t>根据《白城市国民经济和社会发展第十五个五年规划纲要》，</w:t>
      </w:r>
      <w:r>
        <w:rPr>
          <w:rFonts w:hint="eastAsia" w:ascii="Times New Roman" w:hAnsi="Times New Roman" w:eastAsia="仿宋_GB2312" w:cs="Times New Roman"/>
          <w:color w:val="auto"/>
          <w:sz w:val="32"/>
          <w:szCs w:val="40"/>
          <w:highlight w:val="none"/>
          <w:u w:val="none"/>
          <w:lang w:val="en-US" w:eastAsia="zh-CN"/>
        </w:rPr>
        <w:t>编制</w:t>
      </w:r>
      <w:r>
        <w:rPr>
          <w:rFonts w:hint="default" w:ascii="Times New Roman" w:hAnsi="Times New Roman" w:eastAsia="仿宋_GB2312" w:cs="Times New Roman"/>
          <w:color w:val="auto"/>
          <w:sz w:val="32"/>
          <w:szCs w:val="40"/>
          <w:highlight w:val="none"/>
          <w:u w:val="none"/>
          <w:lang w:val="en-US" w:eastAsia="zh-CN"/>
        </w:rPr>
        <w:t>本规划。</w:t>
      </w:r>
    </w:p>
    <w:p w14:paraId="1A5811D0">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jc w:val="center"/>
        <w:textAlignment w:val="auto"/>
        <w:rPr>
          <w:rFonts w:hint="default" w:ascii="Calibri" w:hAnsi="Calibri" w:eastAsia="黑体" w:cs="黑体"/>
          <w:b w:val="0"/>
          <w:color w:val="auto"/>
          <w:sz w:val="32"/>
          <w:highlight w:val="none"/>
          <w:u w:val="none"/>
          <w:lang w:val="en-US" w:eastAsia="zh-CN"/>
        </w:rPr>
      </w:pPr>
      <w:bookmarkStart w:id="1" w:name="_Toc192162638"/>
      <w:r>
        <w:rPr>
          <w:rFonts w:hint="eastAsia" w:ascii="Calibri" w:hAnsi="Calibri" w:eastAsia="黑体" w:cs="黑体"/>
          <w:b w:val="0"/>
          <w:color w:val="auto"/>
          <w:sz w:val="32"/>
          <w:highlight w:val="none"/>
          <w:u w:val="none"/>
          <w:lang w:val="en-US" w:eastAsia="zh-CN"/>
        </w:rPr>
        <w:t>第一章 发展环境</w:t>
      </w:r>
      <w:bookmarkEnd w:id="1"/>
    </w:p>
    <w:p w14:paraId="16BA3ABB">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jc w:val="center"/>
        <w:textAlignment w:val="auto"/>
        <w:rPr>
          <w:rFonts w:hint="default" w:ascii="楷体_GB2312" w:hAnsi="楷体_GB2312" w:eastAsia="楷体_GB2312" w:cs="楷体_GB2312"/>
          <w:color w:val="auto"/>
          <w:sz w:val="32"/>
          <w:szCs w:val="32"/>
          <w:highlight w:val="none"/>
          <w:u w:val="none"/>
          <w:lang w:val="en-US" w:eastAsia="zh-CN"/>
        </w:rPr>
      </w:pPr>
      <w:bookmarkStart w:id="2" w:name="_Toc768375403"/>
      <w:r>
        <w:rPr>
          <w:rFonts w:hint="eastAsia" w:ascii="楷体_GB2312" w:hAnsi="楷体_GB2312" w:eastAsia="楷体_GB2312" w:cs="楷体_GB2312"/>
          <w:color w:val="auto"/>
          <w:sz w:val="32"/>
          <w:szCs w:val="32"/>
          <w:highlight w:val="none"/>
          <w:u w:val="none"/>
          <w:lang w:val="en-US" w:eastAsia="zh-CN"/>
        </w:rPr>
        <w:t xml:space="preserve">第一节 </w:t>
      </w:r>
      <w:r>
        <w:rPr>
          <w:rFonts w:hint="default" w:ascii="楷体_GB2312" w:hAnsi="楷体_GB2312" w:eastAsia="楷体_GB2312" w:cs="楷体_GB2312"/>
          <w:color w:val="auto"/>
          <w:sz w:val="32"/>
          <w:szCs w:val="32"/>
          <w:highlight w:val="none"/>
          <w:u w:val="none"/>
          <w:lang w:val="en-US" w:eastAsia="zh-CN"/>
        </w:rPr>
        <w:t>发展基础</w:t>
      </w:r>
      <w:bookmarkEnd w:id="2"/>
    </w:p>
    <w:p w14:paraId="1C19C5A7">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firstLine="640" w:firstLineChars="200"/>
        <w:jc w:val="both"/>
        <w:textAlignment w:val="auto"/>
        <w:rPr>
          <w:rFonts w:hint="default" w:ascii="Times New Roman" w:hAnsi="Times New Roman" w:eastAsia="仿宋_GB2312" w:cs="Times New Roman"/>
          <w:color w:val="auto"/>
          <w:sz w:val="32"/>
          <w:szCs w:val="40"/>
          <w:highlight w:val="none"/>
          <w:u w:val="none"/>
          <w:lang w:val="en-US" w:eastAsia="zh-CN"/>
        </w:rPr>
      </w:pPr>
      <w:r>
        <w:rPr>
          <w:rFonts w:hint="eastAsia" w:ascii="Times New Roman" w:hAnsi="Times New Roman" w:eastAsia="仿宋_GB2312" w:cs="Times New Roman"/>
          <w:b w:val="0"/>
          <w:bCs w:val="0"/>
          <w:color w:val="auto"/>
          <w:sz w:val="32"/>
          <w:szCs w:val="40"/>
          <w:highlight w:val="none"/>
          <w:u w:val="none"/>
          <w:lang w:val="en-US" w:eastAsia="zh-CN"/>
        </w:rPr>
        <w:t>服务业</w:t>
      </w:r>
      <w:r>
        <w:rPr>
          <w:rFonts w:hint="default" w:ascii="Times New Roman" w:hAnsi="Times New Roman" w:eastAsia="仿宋_GB2312" w:cs="Times New Roman"/>
          <w:b w:val="0"/>
          <w:bCs w:val="0"/>
          <w:color w:val="auto"/>
          <w:sz w:val="32"/>
          <w:szCs w:val="40"/>
          <w:highlight w:val="none"/>
          <w:u w:val="none"/>
          <w:lang w:val="en-US" w:eastAsia="zh-CN"/>
        </w:rPr>
        <w:t>总量规模持续扩大</w:t>
      </w:r>
      <w:r>
        <w:rPr>
          <w:rFonts w:hint="eastAsia" w:ascii="Times New Roman" w:hAnsi="Times New Roman" w:eastAsia="仿宋_GB2312" w:cs="Times New Roman"/>
          <w:b w:val="0"/>
          <w:bCs w:val="0"/>
          <w:color w:val="auto"/>
          <w:sz w:val="32"/>
          <w:szCs w:val="40"/>
          <w:highlight w:val="none"/>
          <w:u w:val="none"/>
          <w:lang w:val="en-US" w:eastAsia="zh-CN"/>
        </w:rPr>
        <w:t>，“十四五”末期</w:t>
      </w:r>
      <w:r>
        <w:rPr>
          <w:rFonts w:hint="default" w:ascii="Times New Roman" w:hAnsi="Times New Roman" w:eastAsia="仿宋_GB2312" w:cs="Times New Roman"/>
          <w:color w:val="auto"/>
          <w:sz w:val="32"/>
          <w:szCs w:val="40"/>
          <w:highlight w:val="none"/>
          <w:u w:val="none"/>
          <w:lang w:val="en-US" w:eastAsia="zh-CN"/>
        </w:rPr>
        <w:t>全市服务业增加值达到325亿元，占GDP比重52%，已成为拉动全市经济增长的重要引擎。</w:t>
      </w:r>
      <w:r>
        <w:rPr>
          <w:rFonts w:hint="eastAsia" w:ascii="Times New Roman" w:hAnsi="Times New Roman" w:eastAsia="仿宋_GB2312" w:cs="Times New Roman"/>
          <w:color w:val="auto"/>
          <w:sz w:val="32"/>
          <w:szCs w:val="40"/>
          <w:highlight w:val="none"/>
          <w:u w:val="none"/>
          <w:lang w:val="en-US" w:eastAsia="zh-CN"/>
        </w:rPr>
        <w:t>文旅产业实现突破性发展，向海国家级自然保护区、莫莫格国家级自然保护区与四大湿地公园共同构成了国字号湿地矩阵，</w:t>
      </w:r>
      <w:r>
        <w:rPr>
          <w:rFonts w:hint="default" w:ascii="Times New Roman" w:hAnsi="Times New Roman" w:eastAsia="仿宋_GB2312" w:cs="Times New Roman"/>
          <w:color w:val="auto"/>
          <w:sz w:val="32"/>
          <w:szCs w:val="40"/>
          <w:highlight w:val="none"/>
          <w:u w:val="none"/>
          <w:lang w:val="en-US" w:eastAsia="zh-CN"/>
        </w:rPr>
        <w:t>嫩江湾成功创建国家5A级旅游景区，</w:t>
      </w:r>
      <w:r>
        <w:rPr>
          <w:rFonts w:hint="eastAsia" w:ascii="Times New Roman" w:hAnsi="Times New Roman" w:eastAsia="仿宋_GB2312" w:cs="Times New Roman"/>
          <w:color w:val="auto"/>
          <w:sz w:val="32"/>
          <w:szCs w:val="40"/>
          <w:highlight w:val="none"/>
          <w:u w:val="none"/>
          <w:lang w:val="en-US" w:eastAsia="zh-CN"/>
        </w:rPr>
        <w:t>填补我市最高等级旅游景区空白</w:t>
      </w:r>
      <w:r>
        <w:rPr>
          <w:rFonts w:hint="default" w:ascii="Times New Roman" w:hAnsi="Times New Roman" w:eastAsia="仿宋_GB2312" w:cs="Times New Roman"/>
          <w:color w:val="auto"/>
          <w:sz w:val="32"/>
          <w:szCs w:val="40"/>
          <w:highlight w:val="none"/>
          <w:u w:val="none"/>
          <w:lang w:val="en-US" w:eastAsia="zh-CN"/>
        </w:rPr>
        <w:t>。养老服务供给持续加强，建成27个嵌入式养老服务中心，养老餐厅实现街道、乡镇全覆盖。商贸消费扩容提质，</w:t>
      </w:r>
      <w:r>
        <w:rPr>
          <w:rFonts w:hint="eastAsia" w:ascii="Times New Roman" w:hAnsi="Times New Roman" w:eastAsia="仿宋_GB2312" w:cs="Times New Roman"/>
          <w:color w:val="auto"/>
          <w:sz w:val="32"/>
          <w:szCs w:val="40"/>
          <w:highlight w:val="none"/>
          <w:u w:val="none"/>
          <w:lang w:val="en-US" w:eastAsia="zh-CN"/>
        </w:rPr>
        <w:t>社会消费品零售总额达119亿元，</w:t>
      </w:r>
      <w:r>
        <w:rPr>
          <w:rFonts w:hint="default" w:ascii="Times New Roman" w:hAnsi="Times New Roman" w:eastAsia="仿宋_GB2312" w:cs="Times New Roman"/>
          <w:color w:val="auto"/>
          <w:sz w:val="32"/>
          <w:szCs w:val="40"/>
          <w:highlight w:val="none"/>
          <w:u w:val="none"/>
          <w:lang w:val="en-US" w:eastAsia="zh-CN"/>
        </w:rPr>
        <w:t>网络零售额达37亿元。房地产业平稳发展，城乡居民人均住房面积达45平方米。</w:t>
      </w:r>
      <w:r>
        <w:rPr>
          <w:rFonts w:hint="default" w:ascii="Times New Roman" w:hAnsi="Times New Roman" w:eastAsia="仿宋_GB2312" w:cs="Times New Roman"/>
          <w:b w:val="0"/>
          <w:bCs w:val="0"/>
          <w:color w:val="auto"/>
          <w:sz w:val="32"/>
          <w:szCs w:val="40"/>
          <w:highlight w:val="none"/>
          <w:u w:val="none"/>
          <w:lang w:val="en-US" w:eastAsia="zh-CN"/>
        </w:rPr>
        <w:t>现代物流体系持续完善，</w:t>
      </w:r>
      <w:r>
        <w:rPr>
          <w:rFonts w:hint="default" w:ascii="Times New Roman" w:hAnsi="Times New Roman" w:eastAsia="仿宋_GB2312" w:cs="Times New Roman"/>
          <w:color w:val="auto"/>
          <w:sz w:val="32"/>
          <w:szCs w:val="40"/>
          <w:highlight w:val="none"/>
          <w:u w:val="none"/>
          <w:lang w:val="en-US" w:eastAsia="zh-CN"/>
        </w:rPr>
        <w:t>全市75个乡镇全部建成运输服务站，</w:t>
      </w:r>
      <w:r>
        <w:rPr>
          <w:rFonts w:hint="eastAsia" w:ascii="Times New Roman" w:hAnsi="Times New Roman" w:eastAsia="仿宋_GB2312" w:cs="Times New Roman"/>
          <w:color w:val="auto"/>
          <w:sz w:val="32"/>
          <w:szCs w:val="40"/>
          <w:highlight w:val="none"/>
          <w:u w:val="none"/>
          <w:lang w:val="en-US" w:eastAsia="zh-CN"/>
        </w:rPr>
        <w:t>布局</w:t>
      </w:r>
      <w:r>
        <w:rPr>
          <w:rFonts w:hint="default" w:ascii="Times New Roman" w:hAnsi="Times New Roman" w:eastAsia="仿宋_GB2312" w:cs="Times New Roman"/>
          <w:color w:val="auto"/>
          <w:sz w:val="32"/>
          <w:szCs w:val="40"/>
          <w:highlight w:val="none"/>
          <w:u w:val="none"/>
          <w:lang w:val="en-US" w:eastAsia="zh-CN"/>
        </w:rPr>
        <w:t>农村物流网点</w:t>
      </w:r>
      <w:r>
        <w:rPr>
          <w:rFonts w:hint="eastAsia" w:ascii="Times New Roman" w:hAnsi="Times New Roman" w:eastAsia="仿宋_GB2312" w:cs="Times New Roman"/>
          <w:color w:val="auto"/>
          <w:sz w:val="32"/>
          <w:szCs w:val="40"/>
          <w:highlight w:val="none"/>
          <w:u w:val="none"/>
          <w:lang w:val="en-US" w:eastAsia="zh-CN"/>
        </w:rPr>
        <w:t>921</w:t>
      </w:r>
      <w:r>
        <w:rPr>
          <w:rFonts w:hint="default" w:ascii="Times New Roman" w:hAnsi="Times New Roman" w:eastAsia="仿宋_GB2312" w:cs="Times New Roman"/>
          <w:color w:val="auto"/>
          <w:sz w:val="32"/>
          <w:szCs w:val="40"/>
          <w:highlight w:val="none"/>
          <w:u w:val="none"/>
          <w:lang w:val="en-US" w:eastAsia="zh-CN"/>
        </w:rPr>
        <w:t>个，村级快递站点</w:t>
      </w:r>
      <w:r>
        <w:rPr>
          <w:rFonts w:hint="eastAsia" w:ascii="Times New Roman" w:hAnsi="Times New Roman" w:eastAsia="仿宋_GB2312" w:cs="Times New Roman"/>
          <w:color w:val="auto"/>
          <w:sz w:val="32"/>
          <w:szCs w:val="40"/>
          <w:highlight w:val="none"/>
          <w:u w:val="none"/>
          <w:lang w:val="en-US" w:eastAsia="zh-CN"/>
        </w:rPr>
        <w:t>实现</w:t>
      </w:r>
      <w:r>
        <w:rPr>
          <w:rFonts w:hint="default" w:ascii="Times New Roman" w:hAnsi="Times New Roman" w:eastAsia="仿宋_GB2312" w:cs="Times New Roman"/>
          <w:color w:val="auto"/>
          <w:sz w:val="32"/>
          <w:szCs w:val="40"/>
          <w:highlight w:val="none"/>
          <w:u w:val="none"/>
          <w:lang w:val="en-US" w:eastAsia="zh-CN"/>
        </w:rPr>
        <w:t>全覆盖。金融</w:t>
      </w:r>
      <w:r>
        <w:rPr>
          <w:rFonts w:hint="eastAsia" w:ascii="Times New Roman" w:hAnsi="Times New Roman" w:eastAsia="仿宋_GB2312" w:cs="Times New Roman"/>
          <w:color w:val="auto"/>
          <w:sz w:val="32"/>
          <w:szCs w:val="40"/>
          <w:highlight w:val="none"/>
          <w:u w:val="none"/>
          <w:lang w:val="en-US" w:eastAsia="zh-CN"/>
        </w:rPr>
        <w:t>服务实体经济效能提升</w:t>
      </w:r>
      <w:r>
        <w:rPr>
          <w:rFonts w:hint="default" w:ascii="Times New Roman" w:hAnsi="Times New Roman" w:eastAsia="仿宋_GB2312" w:cs="Times New Roman"/>
          <w:color w:val="auto"/>
          <w:sz w:val="32"/>
          <w:szCs w:val="40"/>
          <w:highlight w:val="none"/>
          <w:u w:val="none"/>
          <w:lang w:val="en-US" w:eastAsia="zh-CN"/>
        </w:rPr>
        <w:t>，</w:t>
      </w:r>
      <w:r>
        <w:rPr>
          <w:rFonts w:hint="eastAsia" w:ascii="Times New Roman" w:hAnsi="Times New Roman" w:eastAsia="仿宋_GB2312" w:cs="Times New Roman"/>
          <w:b w:val="0"/>
          <w:bCs w:val="0"/>
          <w:color w:val="auto"/>
          <w:sz w:val="32"/>
          <w:szCs w:val="40"/>
          <w:highlight w:val="none"/>
          <w:u w:val="none"/>
          <w:lang w:val="en-US" w:eastAsia="zh-CN"/>
        </w:rPr>
        <w:t>“十四五”末期，全市各项贷款余额增长</w:t>
      </w:r>
      <w:r>
        <w:rPr>
          <w:rFonts w:hint="default" w:ascii="Times New Roman" w:hAnsi="Times New Roman" w:eastAsia="仿宋_GB2312" w:cs="Times New Roman"/>
          <w:b w:val="0"/>
          <w:bCs w:val="0"/>
          <w:color w:val="auto"/>
          <w:sz w:val="32"/>
          <w:szCs w:val="40"/>
          <w:highlight w:val="none"/>
          <w:u w:val="none"/>
          <w:lang w:val="en-US" w:eastAsia="zh-CN"/>
        </w:rPr>
        <w:t>3.9%</w:t>
      </w:r>
      <w:r>
        <w:rPr>
          <w:rFonts w:hint="eastAsia" w:ascii="Times New Roman" w:hAnsi="Times New Roman" w:eastAsia="仿宋_GB2312" w:cs="Times New Roman"/>
          <w:b w:val="0"/>
          <w:bCs w:val="0"/>
          <w:color w:val="auto"/>
          <w:sz w:val="32"/>
          <w:szCs w:val="40"/>
          <w:highlight w:val="none"/>
          <w:u w:val="none"/>
          <w:lang w:val="en-US" w:eastAsia="zh-CN"/>
        </w:rPr>
        <w:t>、存款余额增长</w:t>
      </w:r>
      <w:r>
        <w:rPr>
          <w:rFonts w:hint="default" w:ascii="Times New Roman" w:hAnsi="Times New Roman" w:eastAsia="仿宋_GB2312" w:cs="Times New Roman"/>
          <w:b w:val="0"/>
          <w:bCs w:val="0"/>
          <w:color w:val="auto"/>
          <w:sz w:val="32"/>
          <w:szCs w:val="40"/>
          <w:highlight w:val="none"/>
          <w:u w:val="none"/>
          <w:lang w:val="en-US" w:eastAsia="zh-CN"/>
        </w:rPr>
        <w:t>8.2%</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中小微企业贷款增长7.6%</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涉农贷款增长3.6%</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绿色贷款增长12.3%。</w:t>
      </w:r>
    </w:p>
    <w:p w14:paraId="7E03519E">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jc w:val="center"/>
        <w:textAlignment w:val="auto"/>
        <w:rPr>
          <w:rFonts w:hint="eastAsia" w:ascii="楷体_GB2312" w:hAnsi="楷体_GB2312" w:eastAsia="楷体_GB2312" w:cs="楷体_GB2312"/>
          <w:color w:val="auto"/>
          <w:sz w:val="32"/>
          <w:szCs w:val="32"/>
          <w:highlight w:val="none"/>
          <w:u w:val="none"/>
          <w:lang w:val="en-US" w:eastAsia="zh-CN"/>
        </w:rPr>
      </w:pPr>
      <w:bookmarkStart w:id="3" w:name="_Toc1338844816"/>
      <w:r>
        <w:rPr>
          <w:rFonts w:hint="eastAsia" w:ascii="楷体_GB2312" w:hAnsi="楷体_GB2312" w:eastAsia="楷体_GB2312" w:cs="楷体_GB2312"/>
          <w:color w:val="auto"/>
          <w:sz w:val="32"/>
          <w:szCs w:val="32"/>
          <w:highlight w:val="none"/>
          <w:u w:val="none"/>
          <w:lang w:val="en-US" w:eastAsia="zh-CN"/>
        </w:rPr>
        <w:t>第二节 发展形势</w:t>
      </w:r>
      <w:bookmarkEnd w:id="3"/>
    </w:p>
    <w:p w14:paraId="013A01FA">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firstLine="643" w:firstLineChars="200"/>
        <w:jc w:val="both"/>
        <w:textAlignment w:val="auto"/>
        <w:rPr>
          <w:color w:val="auto"/>
          <w:highlight w:val="none"/>
        </w:rPr>
      </w:pPr>
      <w:r>
        <w:rPr>
          <w:rFonts w:hint="default" w:ascii="Times New Roman" w:hAnsi="Times New Roman" w:eastAsia="仿宋_GB2312" w:cs="Times New Roman"/>
          <w:b/>
          <w:bCs/>
          <w:color w:val="auto"/>
          <w:sz w:val="32"/>
          <w:szCs w:val="40"/>
          <w:highlight w:val="none"/>
          <w:u w:val="none"/>
          <w:lang w:val="en-US" w:eastAsia="zh-CN"/>
        </w:rPr>
        <w:t>发展机遇多重叠加，</w:t>
      </w:r>
      <w:r>
        <w:rPr>
          <w:rFonts w:hint="default" w:ascii="Times New Roman" w:hAnsi="Times New Roman" w:eastAsia="仿宋_GB2312" w:cs="Times New Roman"/>
          <w:color w:val="auto"/>
          <w:sz w:val="32"/>
          <w:szCs w:val="40"/>
          <w:highlight w:val="none"/>
          <w:u w:val="none"/>
          <w:lang w:val="en-US" w:eastAsia="zh-CN"/>
        </w:rPr>
        <w:t>我国首次召开全国服务业大会，习近平总书记作出重要指示，</w:t>
      </w:r>
      <w:r>
        <w:rPr>
          <w:rFonts w:hint="eastAsia" w:ascii="Times New Roman" w:hAnsi="Times New Roman" w:eastAsia="仿宋_GB2312" w:cs="Times New Roman"/>
          <w:b w:val="0"/>
          <w:bCs w:val="0"/>
          <w:color w:val="auto"/>
          <w:sz w:val="32"/>
          <w:szCs w:val="40"/>
          <w:highlight w:val="none"/>
          <w:u w:val="none"/>
          <w:lang w:val="en-US" w:eastAsia="zh-CN"/>
        </w:rPr>
        <w:t>将服务业发展纳入国家战略全局统筹部署，为服务业发展带来重大政策机遇。</w:t>
      </w:r>
      <w:r>
        <w:rPr>
          <w:rFonts w:hint="default" w:ascii="Times New Roman" w:hAnsi="Times New Roman" w:eastAsia="仿宋_GB2312" w:cs="Times New Roman"/>
          <w:color w:val="auto"/>
          <w:sz w:val="32"/>
          <w:szCs w:val="40"/>
          <w:highlight w:val="none"/>
          <w:u w:val="none"/>
          <w:lang w:val="en-US" w:eastAsia="zh-CN"/>
        </w:rPr>
        <w:t>吉林省出台《推进服务业扩能提质实施方案》，聚力打造“6+6”特色服务业产业体系，政策叠加效应持续释放。</w:t>
      </w:r>
      <w:r>
        <w:rPr>
          <w:rFonts w:hint="default" w:ascii="Times New Roman" w:hAnsi="Times New Roman" w:eastAsia="仿宋_GB2312" w:cs="Times New Roman"/>
          <w:b/>
          <w:bCs/>
          <w:color w:val="auto"/>
          <w:sz w:val="32"/>
          <w:szCs w:val="40"/>
          <w:highlight w:val="none"/>
          <w:u w:val="none"/>
          <w:lang w:val="en-US" w:eastAsia="zh-CN"/>
        </w:rPr>
        <w:t>产业动能</w:t>
      </w:r>
      <w:r>
        <w:rPr>
          <w:rFonts w:hint="eastAsia" w:ascii="Times New Roman" w:hAnsi="Times New Roman" w:eastAsia="仿宋_GB2312" w:cs="Times New Roman"/>
          <w:b/>
          <w:bCs/>
          <w:color w:val="auto"/>
          <w:sz w:val="32"/>
          <w:szCs w:val="40"/>
          <w:highlight w:val="none"/>
          <w:u w:val="none"/>
          <w:lang w:val="en-US" w:eastAsia="zh-CN"/>
        </w:rPr>
        <w:t>加速集聚</w:t>
      </w:r>
      <w:r>
        <w:rPr>
          <w:rFonts w:hint="default" w:ascii="Times New Roman" w:hAnsi="Times New Roman" w:eastAsia="仿宋_GB2312" w:cs="Times New Roman"/>
          <w:b/>
          <w:bCs/>
          <w:color w:val="auto"/>
          <w:sz w:val="32"/>
          <w:szCs w:val="40"/>
          <w:highlight w:val="none"/>
          <w:u w:val="none"/>
          <w:lang w:val="en-US" w:eastAsia="zh-CN"/>
        </w:rPr>
        <w:t>，</w:t>
      </w:r>
      <w:r>
        <w:rPr>
          <w:rFonts w:hint="eastAsia" w:ascii="Times New Roman" w:hAnsi="Times New Roman" w:eastAsia="仿宋_GB2312" w:cs="Times New Roman"/>
          <w:color w:val="auto"/>
          <w:sz w:val="32"/>
          <w:szCs w:val="40"/>
          <w:highlight w:val="none"/>
          <w:u w:val="none"/>
          <w:lang w:val="en-US" w:eastAsia="zh-CN"/>
        </w:rPr>
        <w:t>“十五五”末期，全市</w:t>
      </w:r>
      <w:r>
        <w:rPr>
          <w:rFonts w:hint="default" w:ascii="Times New Roman" w:hAnsi="Times New Roman" w:eastAsia="仿宋_GB2312" w:cs="Times New Roman"/>
          <w:color w:val="auto"/>
          <w:sz w:val="32"/>
          <w:szCs w:val="40"/>
          <w:highlight w:val="none"/>
          <w:u w:val="none"/>
          <w:lang w:val="en-US" w:eastAsia="zh-CN"/>
        </w:rPr>
        <w:t>新能源装机规模</w:t>
      </w:r>
      <w:r>
        <w:rPr>
          <w:rFonts w:hint="eastAsia" w:ascii="Times New Roman" w:hAnsi="Times New Roman" w:eastAsia="仿宋_GB2312" w:cs="Times New Roman"/>
          <w:color w:val="auto"/>
          <w:sz w:val="32"/>
          <w:szCs w:val="40"/>
          <w:highlight w:val="none"/>
          <w:u w:val="none"/>
          <w:lang w:val="en-US" w:eastAsia="zh-CN"/>
        </w:rPr>
        <w:t>将</w:t>
      </w:r>
      <w:r>
        <w:rPr>
          <w:rFonts w:hint="default" w:ascii="Times New Roman" w:hAnsi="Times New Roman" w:eastAsia="仿宋_GB2312" w:cs="Times New Roman"/>
          <w:color w:val="auto"/>
          <w:sz w:val="32"/>
          <w:szCs w:val="40"/>
          <w:highlight w:val="none"/>
          <w:u w:val="none"/>
          <w:lang w:val="en-US" w:eastAsia="zh-CN"/>
        </w:rPr>
        <w:t>达到</w:t>
      </w:r>
      <w:r>
        <w:rPr>
          <w:rFonts w:hint="eastAsia" w:ascii="Times New Roman" w:hAnsi="Times New Roman" w:eastAsia="仿宋_GB2312" w:cs="Times New Roman"/>
          <w:color w:val="auto"/>
          <w:sz w:val="32"/>
          <w:szCs w:val="40"/>
          <w:highlight w:val="none"/>
          <w:u w:val="none"/>
          <w:lang w:val="en-US" w:eastAsia="zh-CN"/>
        </w:rPr>
        <w:t>4000</w:t>
      </w:r>
      <w:r>
        <w:rPr>
          <w:rFonts w:hint="default" w:ascii="Times New Roman" w:hAnsi="Times New Roman" w:eastAsia="仿宋_GB2312" w:cs="Times New Roman"/>
          <w:color w:val="auto"/>
          <w:sz w:val="32"/>
          <w:szCs w:val="40"/>
          <w:highlight w:val="none"/>
          <w:u w:val="none"/>
          <w:lang w:val="en-US" w:eastAsia="zh-CN"/>
        </w:rPr>
        <w:t>万千瓦，</w:t>
      </w:r>
      <w:r>
        <w:rPr>
          <w:rFonts w:hint="eastAsia" w:ascii="Times New Roman" w:hAnsi="Times New Roman" w:eastAsia="仿宋_GB2312" w:cs="Times New Roman"/>
          <w:color w:val="auto"/>
          <w:sz w:val="32"/>
          <w:szCs w:val="40"/>
          <w:highlight w:val="none"/>
          <w:u w:val="none"/>
          <w:lang w:val="en-US" w:eastAsia="zh-CN"/>
        </w:rPr>
        <w:t>随着“</w:t>
      </w:r>
      <w:r>
        <w:rPr>
          <w:rFonts w:hint="default" w:ascii="Times New Roman" w:hAnsi="Times New Roman" w:eastAsia="仿宋_GB2312" w:cs="Times New Roman"/>
          <w:color w:val="auto"/>
          <w:sz w:val="32"/>
          <w:szCs w:val="40"/>
          <w:highlight w:val="none"/>
          <w:u w:val="none"/>
          <w:lang w:val="en-US" w:eastAsia="zh-CN"/>
        </w:rPr>
        <w:t>吉电入京</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氢动吉林</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等</w:t>
      </w:r>
      <w:r>
        <w:rPr>
          <w:rFonts w:hint="eastAsia" w:ascii="Times New Roman" w:hAnsi="Times New Roman" w:eastAsia="仿宋_GB2312" w:cs="Times New Roman"/>
          <w:color w:val="auto"/>
          <w:sz w:val="32"/>
          <w:szCs w:val="40"/>
          <w:highlight w:val="none"/>
          <w:u w:val="none"/>
          <w:lang w:val="en-US" w:eastAsia="zh-CN"/>
        </w:rPr>
        <w:t>重大</w:t>
      </w:r>
      <w:r>
        <w:rPr>
          <w:rFonts w:hint="default" w:ascii="Times New Roman" w:hAnsi="Times New Roman" w:eastAsia="仿宋_GB2312" w:cs="Times New Roman"/>
          <w:color w:val="auto"/>
          <w:sz w:val="32"/>
          <w:szCs w:val="40"/>
          <w:highlight w:val="none"/>
          <w:u w:val="none"/>
          <w:lang w:val="en-US" w:eastAsia="zh-CN"/>
        </w:rPr>
        <w:t>战略</w:t>
      </w:r>
      <w:r>
        <w:rPr>
          <w:rFonts w:hint="eastAsia" w:ascii="Times New Roman" w:hAnsi="Times New Roman" w:eastAsia="仿宋_GB2312" w:cs="Times New Roman"/>
          <w:color w:val="auto"/>
          <w:sz w:val="32"/>
          <w:szCs w:val="40"/>
          <w:highlight w:val="none"/>
          <w:u w:val="none"/>
          <w:lang w:val="en-US" w:eastAsia="zh-CN"/>
        </w:rPr>
        <w:t>落地</w:t>
      </w:r>
      <w:r>
        <w:rPr>
          <w:rFonts w:hint="default" w:ascii="Times New Roman" w:hAnsi="Times New Roman" w:eastAsia="仿宋_GB2312" w:cs="Times New Roman"/>
          <w:color w:val="auto"/>
          <w:sz w:val="32"/>
          <w:szCs w:val="40"/>
          <w:highlight w:val="none"/>
          <w:u w:val="none"/>
          <w:lang w:val="en-US" w:eastAsia="zh-CN"/>
        </w:rPr>
        <w:t>实施</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为生产性服务业提供了巨大市场需求；</w:t>
      </w:r>
      <w:r>
        <w:rPr>
          <w:rFonts w:hint="eastAsia" w:ascii="Times New Roman" w:hAnsi="Times New Roman" w:eastAsia="仿宋_GB2312" w:cs="Times New Roman"/>
          <w:color w:val="auto"/>
          <w:sz w:val="32"/>
          <w:szCs w:val="40"/>
          <w:highlight w:val="none"/>
          <w:u w:val="none"/>
          <w:lang w:val="en-US" w:eastAsia="zh-CN"/>
        </w:rPr>
        <w:t>教育、健康、养老、文旅等</w:t>
      </w:r>
      <w:r>
        <w:rPr>
          <w:rFonts w:hint="default" w:ascii="Times New Roman" w:hAnsi="Times New Roman" w:eastAsia="仿宋_GB2312" w:cs="Times New Roman"/>
          <w:color w:val="auto"/>
          <w:sz w:val="32"/>
          <w:szCs w:val="40"/>
          <w:highlight w:val="none"/>
          <w:u w:val="none"/>
          <w:lang w:val="en-US" w:eastAsia="zh-CN"/>
        </w:rPr>
        <w:t>生活性服务业</w:t>
      </w:r>
      <w:r>
        <w:rPr>
          <w:rFonts w:hint="eastAsia" w:ascii="Times New Roman" w:hAnsi="Times New Roman" w:eastAsia="仿宋_GB2312" w:cs="Times New Roman"/>
          <w:color w:val="auto"/>
          <w:sz w:val="32"/>
          <w:szCs w:val="40"/>
          <w:highlight w:val="none"/>
          <w:u w:val="none"/>
          <w:lang w:val="en-US" w:eastAsia="zh-CN"/>
        </w:rPr>
        <w:t>发展空间有待释放</w:t>
      </w:r>
      <w:r>
        <w:rPr>
          <w:rFonts w:hint="default"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b/>
          <w:bCs/>
          <w:color w:val="auto"/>
          <w:sz w:val="32"/>
          <w:szCs w:val="40"/>
          <w:highlight w:val="none"/>
          <w:u w:val="none"/>
          <w:lang w:val="en-US" w:eastAsia="zh-CN"/>
        </w:rPr>
        <w:t>开放协同纵深推进</w:t>
      </w:r>
      <w:r>
        <w:rPr>
          <w:rFonts w:hint="default" w:ascii="Times New Roman" w:hAnsi="Times New Roman" w:eastAsia="仿宋_GB2312" w:cs="Times New Roman"/>
          <w:color w:val="auto"/>
          <w:sz w:val="32"/>
          <w:szCs w:val="40"/>
          <w:highlight w:val="none"/>
          <w:u w:val="none"/>
          <w:lang w:val="en-US" w:eastAsia="zh-CN"/>
        </w:rPr>
        <w:t>，</w:t>
      </w:r>
      <w:r>
        <w:rPr>
          <w:rFonts w:hint="eastAsia" w:ascii="Times New Roman" w:hAnsi="Times New Roman" w:eastAsia="仿宋_GB2312" w:cs="Times New Roman"/>
          <w:color w:val="auto"/>
          <w:sz w:val="32"/>
          <w:szCs w:val="40"/>
          <w:highlight w:val="none"/>
          <w:u w:val="none"/>
          <w:lang w:val="en-US" w:eastAsia="zh-CN"/>
        </w:rPr>
        <w:t>开发区改革不断深化，贸易投资便利化水平持续提升，积极融入长春现代化都市圈，深入对接“</w:t>
      </w:r>
      <w:r>
        <w:rPr>
          <w:rFonts w:hint="default" w:ascii="Times New Roman" w:hAnsi="Times New Roman" w:eastAsia="仿宋_GB2312" w:cs="Times New Roman"/>
          <w:color w:val="auto"/>
          <w:sz w:val="32"/>
          <w:szCs w:val="40"/>
          <w:highlight w:val="none"/>
          <w:u w:val="none"/>
          <w:lang w:val="en-US" w:eastAsia="zh-CN"/>
        </w:rPr>
        <w:t>一带一路</w:t>
      </w:r>
      <w:r>
        <w:rPr>
          <w:rFonts w:hint="eastAsia" w:ascii="Times New Roman" w:hAnsi="Times New Roman" w:eastAsia="仿宋_GB2312" w:cs="Times New Roman"/>
          <w:color w:val="auto"/>
          <w:sz w:val="32"/>
          <w:szCs w:val="40"/>
          <w:highlight w:val="none"/>
          <w:u w:val="none"/>
          <w:lang w:val="en-US" w:eastAsia="zh-CN"/>
        </w:rPr>
        <w:t>”、京津冀协同发展，与嘉兴、长春对口合作持续加强</w:t>
      </w:r>
      <w:r>
        <w:rPr>
          <w:rFonts w:hint="default"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b/>
          <w:bCs/>
          <w:color w:val="auto"/>
          <w:sz w:val="32"/>
          <w:szCs w:val="40"/>
          <w:highlight w:val="none"/>
          <w:u w:val="none"/>
          <w:lang w:val="en-US" w:eastAsia="zh-CN"/>
        </w:rPr>
        <w:t>科技支撑加速赋能</w:t>
      </w:r>
      <w:r>
        <w:rPr>
          <w:rFonts w:hint="default" w:ascii="Times New Roman" w:hAnsi="Times New Roman" w:eastAsia="仿宋_GB2312" w:cs="Times New Roman"/>
          <w:color w:val="auto"/>
          <w:sz w:val="32"/>
          <w:szCs w:val="40"/>
          <w:highlight w:val="none"/>
          <w:u w:val="none"/>
          <w:lang w:val="en-US" w:eastAsia="zh-CN"/>
        </w:rPr>
        <w:t>，</w:t>
      </w:r>
      <w:r>
        <w:rPr>
          <w:rFonts w:hint="eastAsia" w:ascii="Times New Roman" w:hAnsi="Times New Roman" w:eastAsia="仿宋_GB2312" w:cs="Times New Roman"/>
          <w:color w:val="auto"/>
          <w:sz w:val="32"/>
          <w:szCs w:val="40"/>
          <w:highlight w:val="none"/>
          <w:u w:val="none"/>
          <w:lang w:val="en-US" w:eastAsia="zh-CN"/>
        </w:rPr>
        <w:t>现代种业、装备制造、绿色燃料、</w:t>
      </w:r>
      <w:r>
        <w:rPr>
          <w:rFonts w:hint="default" w:ascii="Times New Roman" w:hAnsi="Times New Roman" w:eastAsia="仿宋_GB2312" w:cs="Times New Roman"/>
          <w:color w:val="auto"/>
          <w:sz w:val="32"/>
          <w:szCs w:val="40"/>
          <w:highlight w:val="none"/>
          <w:u w:val="none"/>
          <w:lang w:val="en-US" w:eastAsia="zh-CN"/>
        </w:rPr>
        <w:t>智算中心</w:t>
      </w:r>
      <w:r>
        <w:rPr>
          <w:rFonts w:hint="eastAsia" w:ascii="Times New Roman" w:hAnsi="Times New Roman" w:eastAsia="仿宋_GB2312" w:cs="Times New Roman"/>
          <w:color w:val="auto"/>
          <w:sz w:val="32"/>
          <w:szCs w:val="40"/>
          <w:highlight w:val="none"/>
          <w:u w:val="none"/>
          <w:lang w:val="en-US" w:eastAsia="zh-CN"/>
        </w:rPr>
        <w:t>、盐碱地改造</w:t>
      </w:r>
      <w:r>
        <w:rPr>
          <w:rFonts w:hint="default" w:ascii="Times New Roman" w:hAnsi="Times New Roman" w:eastAsia="仿宋_GB2312" w:cs="Times New Roman"/>
          <w:color w:val="auto"/>
          <w:sz w:val="32"/>
          <w:szCs w:val="40"/>
          <w:highlight w:val="none"/>
          <w:u w:val="none"/>
          <w:lang w:val="en-US" w:eastAsia="zh-CN"/>
        </w:rPr>
        <w:t>等</w:t>
      </w:r>
      <w:r>
        <w:rPr>
          <w:rFonts w:hint="eastAsia" w:ascii="Times New Roman" w:hAnsi="Times New Roman" w:eastAsia="仿宋_GB2312" w:cs="Times New Roman"/>
          <w:color w:val="auto"/>
          <w:sz w:val="32"/>
          <w:szCs w:val="40"/>
          <w:highlight w:val="none"/>
          <w:u w:val="none"/>
          <w:lang w:val="en-US" w:eastAsia="zh-CN"/>
        </w:rPr>
        <w:t>技术</w:t>
      </w:r>
      <w:r>
        <w:rPr>
          <w:rFonts w:hint="default" w:ascii="Times New Roman" w:hAnsi="Times New Roman" w:eastAsia="仿宋_GB2312" w:cs="Times New Roman"/>
          <w:color w:val="auto"/>
          <w:sz w:val="32"/>
          <w:szCs w:val="40"/>
          <w:highlight w:val="none"/>
          <w:u w:val="none"/>
          <w:lang w:val="en-US" w:eastAsia="zh-CN"/>
        </w:rPr>
        <w:t>加速布局，为服务业</w:t>
      </w:r>
      <w:r>
        <w:rPr>
          <w:rFonts w:hint="eastAsia" w:ascii="Times New Roman" w:hAnsi="Times New Roman" w:eastAsia="仿宋_GB2312" w:cs="Times New Roman"/>
          <w:color w:val="auto"/>
          <w:sz w:val="32"/>
          <w:szCs w:val="40"/>
          <w:highlight w:val="none"/>
          <w:u w:val="none"/>
          <w:lang w:val="en-US" w:eastAsia="zh-CN"/>
        </w:rPr>
        <w:t>转型</w:t>
      </w:r>
      <w:r>
        <w:rPr>
          <w:rFonts w:hint="default" w:ascii="Times New Roman" w:hAnsi="Times New Roman" w:eastAsia="仿宋_GB2312" w:cs="Times New Roman"/>
          <w:color w:val="auto"/>
          <w:sz w:val="32"/>
          <w:szCs w:val="40"/>
          <w:highlight w:val="none"/>
          <w:u w:val="none"/>
          <w:lang w:val="en-US" w:eastAsia="zh-CN"/>
        </w:rPr>
        <w:t>升级注入新动力。</w:t>
      </w:r>
    </w:p>
    <w:p w14:paraId="13B13301">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firstLine="640" w:firstLineChars="200"/>
        <w:jc w:val="both"/>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Times New Roman" w:hAnsi="Times New Roman" w:eastAsia="仿宋_GB2312" w:cs="Times New Roman"/>
          <w:color w:val="auto"/>
          <w:sz w:val="32"/>
          <w:szCs w:val="40"/>
          <w:highlight w:val="none"/>
          <w:u w:val="none"/>
          <w:lang w:val="en-US" w:eastAsia="zh-CN"/>
        </w:rPr>
        <w:t>在抢抓机遇、稳步发展的同时，我们也清醒看到，全市服务业发展仍存在诸多短板弱项，扩能提质面临不少瓶颈制约。整体来看，全</w:t>
      </w:r>
      <w:r>
        <w:rPr>
          <w:rFonts w:hint="default" w:ascii="Times New Roman" w:hAnsi="Times New Roman" w:eastAsia="仿宋_GB2312" w:cs="Times New Roman"/>
          <w:color w:val="auto"/>
          <w:sz w:val="32"/>
          <w:szCs w:val="40"/>
          <w:highlight w:val="none"/>
          <w:u w:val="none"/>
          <w:lang w:val="en-US" w:eastAsia="zh-CN"/>
        </w:rPr>
        <w:t>市</w:t>
      </w:r>
      <w:r>
        <w:rPr>
          <w:rFonts w:hint="default" w:ascii="Times New Roman" w:hAnsi="Times New Roman" w:eastAsia="仿宋_GB2312" w:cs="Times New Roman"/>
          <w:b w:val="0"/>
          <w:bCs w:val="0"/>
          <w:color w:val="auto"/>
          <w:sz w:val="32"/>
          <w:szCs w:val="40"/>
          <w:highlight w:val="none"/>
          <w:u w:val="none"/>
          <w:lang w:val="en-US" w:eastAsia="zh-CN"/>
        </w:rPr>
        <w:t>服务业</w:t>
      </w:r>
      <w:r>
        <w:rPr>
          <w:rFonts w:hint="eastAsia" w:ascii="Times New Roman" w:hAnsi="Times New Roman" w:eastAsia="仿宋_GB2312" w:cs="Times New Roman"/>
          <w:b w:val="0"/>
          <w:bCs w:val="0"/>
          <w:color w:val="auto"/>
          <w:sz w:val="32"/>
          <w:szCs w:val="40"/>
          <w:highlight w:val="none"/>
          <w:u w:val="none"/>
          <w:lang w:val="en-US" w:eastAsia="zh-CN"/>
        </w:rPr>
        <w:t>总量不大、</w:t>
      </w:r>
      <w:r>
        <w:rPr>
          <w:rFonts w:hint="default" w:ascii="Times New Roman" w:hAnsi="Times New Roman" w:eastAsia="仿宋_GB2312" w:cs="Times New Roman"/>
          <w:b w:val="0"/>
          <w:bCs w:val="0"/>
          <w:color w:val="auto"/>
          <w:sz w:val="32"/>
          <w:szCs w:val="40"/>
          <w:highlight w:val="none"/>
          <w:u w:val="none"/>
          <w:lang w:val="en-US" w:eastAsia="zh-CN"/>
        </w:rPr>
        <w:t>结构不优</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生产性服务业与农业、制造业融合度不够</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文旅资源转化不足</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点状分散</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特征明显，</w:t>
      </w:r>
      <w:r>
        <w:rPr>
          <w:rFonts w:hint="eastAsia" w:ascii="Times New Roman" w:hAnsi="Times New Roman" w:eastAsia="仿宋_GB2312" w:cs="Times New Roman"/>
          <w:b w:val="0"/>
          <w:bCs w:val="0"/>
          <w:color w:val="auto"/>
          <w:sz w:val="32"/>
          <w:szCs w:val="40"/>
          <w:highlight w:val="none"/>
          <w:u w:val="none"/>
          <w:lang w:val="en-US" w:eastAsia="zh-CN"/>
        </w:rPr>
        <w:t>文旅业态</w:t>
      </w:r>
      <w:r>
        <w:rPr>
          <w:rFonts w:hint="default" w:ascii="Times New Roman" w:hAnsi="Times New Roman" w:eastAsia="仿宋_GB2312" w:cs="Times New Roman"/>
          <w:b w:val="0"/>
          <w:bCs w:val="0"/>
          <w:color w:val="auto"/>
          <w:sz w:val="32"/>
          <w:szCs w:val="40"/>
          <w:highlight w:val="none"/>
          <w:u w:val="none"/>
          <w:lang w:val="en-US" w:eastAsia="zh-CN"/>
        </w:rPr>
        <w:t>链条较短</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消费市场</w:t>
      </w:r>
      <w:r>
        <w:rPr>
          <w:rFonts w:hint="eastAsia" w:ascii="Times New Roman" w:hAnsi="Times New Roman" w:eastAsia="仿宋_GB2312" w:cs="Times New Roman"/>
          <w:b w:val="0"/>
          <w:bCs w:val="0"/>
          <w:color w:val="auto"/>
          <w:sz w:val="32"/>
          <w:szCs w:val="40"/>
          <w:highlight w:val="none"/>
          <w:u w:val="none"/>
          <w:lang w:val="en-US" w:eastAsia="zh-CN"/>
        </w:rPr>
        <w:t>发展</w:t>
      </w:r>
      <w:r>
        <w:rPr>
          <w:rFonts w:hint="default" w:ascii="Times New Roman" w:hAnsi="Times New Roman" w:eastAsia="仿宋_GB2312" w:cs="Times New Roman"/>
          <w:b w:val="0"/>
          <w:bCs w:val="0"/>
          <w:color w:val="auto"/>
          <w:sz w:val="32"/>
          <w:szCs w:val="40"/>
          <w:highlight w:val="none"/>
          <w:u w:val="none"/>
          <w:lang w:val="en-US" w:eastAsia="zh-CN"/>
        </w:rPr>
        <w:t>不充分</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i w:val="0"/>
          <w:iCs w:val="0"/>
          <w:color w:val="auto"/>
          <w:kern w:val="2"/>
          <w:sz w:val="32"/>
          <w:szCs w:val="40"/>
          <w:highlight w:val="none"/>
          <w:vertAlign w:val="baseline"/>
          <w:lang w:val="en-US" w:eastAsia="zh-CN" w:bidi="ar-SA"/>
        </w:rPr>
        <w:t>常住人口净流出导致消费人口减少，消费年龄偏老，城乡居民收入偏低</w:t>
      </w:r>
      <w:r>
        <w:rPr>
          <w:rFonts w:hint="eastAsia" w:ascii="Times New Roman" w:hAnsi="Times New Roman" w:eastAsia="仿宋_GB2312" w:cs="Times New Roman"/>
          <w:b w:val="0"/>
          <w:bCs w:val="0"/>
          <w:i w:val="0"/>
          <w:iCs w:val="0"/>
          <w:color w:val="auto"/>
          <w:kern w:val="2"/>
          <w:sz w:val="32"/>
          <w:szCs w:val="40"/>
          <w:highlight w:val="none"/>
          <w:vertAlign w:val="baseline"/>
          <w:lang w:val="en-US" w:eastAsia="zh-CN" w:bidi="ar-SA"/>
        </w:rPr>
        <w:t>，</w:t>
      </w:r>
      <w:r>
        <w:rPr>
          <w:rFonts w:hint="default" w:ascii="Times New Roman" w:hAnsi="Times New Roman" w:eastAsia="仿宋_GB2312" w:cs="Times New Roman"/>
          <w:b w:val="0"/>
          <w:bCs w:val="0"/>
          <w:i w:val="0"/>
          <w:iCs w:val="0"/>
          <w:color w:val="auto"/>
          <w:kern w:val="2"/>
          <w:sz w:val="32"/>
          <w:szCs w:val="40"/>
          <w:highlight w:val="none"/>
          <w:vertAlign w:val="baseline"/>
          <w:lang w:val="en-US" w:eastAsia="zh-CN" w:bidi="ar-SA"/>
        </w:rPr>
        <w:t>影响了居民消费能力，消费场景偏于传统，消费环境吸引力不足，也降低了消费欲望</w:t>
      </w:r>
      <w:r>
        <w:rPr>
          <w:rFonts w:hint="eastAsia" w:ascii="Times New Roman" w:hAnsi="Times New Roman" w:eastAsia="仿宋_GB2312" w:cs="Times New Roman"/>
          <w:b w:val="0"/>
          <w:bCs w:val="0"/>
          <w:i w:val="0"/>
          <w:iCs w:val="0"/>
          <w:color w:val="auto"/>
          <w:kern w:val="2"/>
          <w:sz w:val="32"/>
          <w:szCs w:val="40"/>
          <w:highlight w:val="none"/>
          <w:vertAlign w:val="baseline"/>
          <w:lang w:val="en-US" w:eastAsia="zh-CN" w:bidi="ar-SA"/>
        </w:rPr>
        <w:t>，</w:t>
      </w:r>
      <w:r>
        <w:rPr>
          <w:rFonts w:hint="default" w:ascii="Times New Roman" w:hAnsi="Times New Roman" w:eastAsia="仿宋_GB2312" w:cs="Times New Roman"/>
          <w:b w:val="0"/>
          <w:bCs w:val="0"/>
          <w:color w:val="auto"/>
          <w:sz w:val="32"/>
          <w:szCs w:val="40"/>
          <w:highlight w:val="none"/>
          <w:u w:val="none"/>
          <w:lang w:val="en-US" w:eastAsia="zh-CN"/>
        </w:rPr>
        <w:t>农村消费市场潜力尚未充分释放，线上零售加速发展与传统商贸转型滞后并存</w:t>
      </w:r>
    </w:p>
    <w:p w14:paraId="118B5CDD">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jc w:val="center"/>
        <w:textAlignment w:val="auto"/>
        <w:rPr>
          <w:rFonts w:hint="default" w:ascii="Calibri" w:hAnsi="Calibri" w:eastAsia="黑体" w:cs="黑体"/>
          <w:b w:val="0"/>
          <w:color w:val="auto"/>
          <w:sz w:val="32"/>
          <w:highlight w:val="none"/>
          <w:u w:val="none"/>
          <w:lang w:val="en-US" w:eastAsia="zh-CN"/>
        </w:rPr>
      </w:pPr>
      <w:bookmarkStart w:id="4" w:name="_Toc1615133584"/>
      <w:r>
        <w:rPr>
          <w:rFonts w:hint="default" w:ascii="Calibri" w:hAnsi="Calibri" w:eastAsia="黑体" w:cs="黑体"/>
          <w:b w:val="0"/>
          <w:color w:val="auto"/>
          <w:sz w:val="32"/>
          <w:highlight w:val="none"/>
          <w:u w:val="none"/>
          <w:lang w:val="en-US" w:eastAsia="zh-CN"/>
        </w:rPr>
        <w:t>第二章 总体要求</w:t>
      </w:r>
      <w:bookmarkEnd w:id="4"/>
    </w:p>
    <w:p w14:paraId="51C0F5FA">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jc w:val="center"/>
        <w:textAlignment w:val="auto"/>
        <w:rPr>
          <w:rFonts w:hint="default" w:ascii="楷体_GB2312" w:hAnsi="楷体_GB2312" w:eastAsia="楷体_GB2312" w:cs="楷体_GB2312"/>
          <w:color w:val="auto"/>
          <w:sz w:val="32"/>
          <w:szCs w:val="32"/>
          <w:highlight w:val="none"/>
          <w:u w:val="none"/>
          <w:lang w:val="en-US" w:eastAsia="zh-CN"/>
        </w:rPr>
      </w:pPr>
      <w:bookmarkStart w:id="5" w:name="_Toc436790654"/>
      <w:r>
        <w:rPr>
          <w:rFonts w:hint="eastAsia" w:ascii="楷体_GB2312" w:hAnsi="楷体_GB2312" w:eastAsia="楷体_GB2312" w:cs="楷体_GB2312"/>
          <w:color w:val="auto"/>
          <w:sz w:val="32"/>
          <w:szCs w:val="32"/>
          <w:highlight w:val="none"/>
          <w:u w:val="none"/>
          <w:lang w:val="en-US" w:eastAsia="zh-CN"/>
        </w:rPr>
        <w:t>第一节 总体思路</w:t>
      </w:r>
      <w:bookmarkEnd w:id="5"/>
    </w:p>
    <w:p w14:paraId="17E88B1A">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Times New Roman" w:hAnsi="Times New Roman" w:eastAsia="仿宋_GB2312" w:cs="Times New Roman"/>
          <w:b w:val="0"/>
          <w:bCs w:val="0"/>
          <w:color w:val="auto"/>
          <w:sz w:val="32"/>
          <w:szCs w:val="40"/>
          <w:highlight w:val="none"/>
          <w:u w:val="none"/>
          <w:lang w:val="en-US" w:eastAsia="zh-CN"/>
        </w:rPr>
        <w:t>坚持</w:t>
      </w:r>
      <w:r>
        <w:rPr>
          <w:rFonts w:hint="default" w:ascii="Times New Roman" w:hAnsi="Times New Roman" w:eastAsia="仿宋_GB2312" w:cs="Times New Roman"/>
          <w:b w:val="0"/>
          <w:bCs w:val="0"/>
          <w:color w:val="auto"/>
          <w:sz w:val="32"/>
          <w:szCs w:val="40"/>
          <w:highlight w:val="none"/>
          <w:u w:val="none"/>
          <w:lang w:val="en-US" w:eastAsia="zh-CN"/>
        </w:rPr>
        <w:t>以习近平新时代中国特色社会主义思想为指导，</w:t>
      </w:r>
      <w:r>
        <w:rPr>
          <w:rFonts w:hint="eastAsia" w:ascii="Times New Roman" w:hAnsi="Times New Roman" w:eastAsia="仿宋_GB2312" w:cs="Times New Roman"/>
          <w:b w:val="0"/>
          <w:bCs w:val="0"/>
          <w:color w:val="auto"/>
          <w:sz w:val="32"/>
          <w:szCs w:val="40"/>
          <w:highlight w:val="none"/>
          <w:u w:val="none"/>
          <w:lang w:val="en-US" w:eastAsia="zh-CN"/>
        </w:rPr>
        <w:t>全面贯彻党的二十大和二十届历次全会精神，深入落实习近平总书记关于服务业发展的重要论述重要指示和视察吉林重要讲话精神，瞄定提升服务业企业数量和质量核心任务，紧盯增加消费人口、提升消费能力、升级消费场景、优化消费环境具体任务，</w:t>
      </w:r>
      <w:r>
        <w:rPr>
          <w:rFonts w:hint="default" w:ascii="Times New Roman" w:hAnsi="Times New Roman" w:eastAsia="仿宋_GB2312" w:cs="Times New Roman"/>
          <w:b w:val="0"/>
          <w:bCs w:val="0"/>
          <w:color w:val="auto"/>
          <w:sz w:val="32"/>
          <w:szCs w:val="40"/>
          <w:highlight w:val="none"/>
          <w:u w:val="none"/>
          <w:lang w:val="en-US" w:eastAsia="zh-CN"/>
        </w:rPr>
        <w:t>坚持需求牵引、改革攻坚、科技赋能、开放合作</w:t>
      </w:r>
      <w:r>
        <w:rPr>
          <w:rFonts w:hint="eastAsia" w:ascii="Times New Roman" w:hAnsi="Times New Roman" w:eastAsia="仿宋_GB2312" w:cs="Times New Roman"/>
          <w:b w:val="0"/>
          <w:bCs w:val="0"/>
          <w:color w:val="auto"/>
          <w:sz w:val="32"/>
          <w:szCs w:val="40"/>
          <w:highlight w:val="none"/>
          <w:u w:val="none"/>
          <w:lang w:val="en-US" w:eastAsia="zh-CN"/>
        </w:rPr>
        <w:t>实施路径</w:t>
      </w:r>
      <w:r>
        <w:rPr>
          <w:rFonts w:hint="default" w:ascii="Times New Roman" w:hAnsi="Times New Roman" w:eastAsia="仿宋_GB2312" w:cs="Times New Roman"/>
          <w:b w:val="0"/>
          <w:bCs w:val="0"/>
          <w:color w:val="auto"/>
          <w:sz w:val="32"/>
          <w:szCs w:val="40"/>
          <w:highlight w:val="none"/>
          <w:u w:val="none"/>
          <w:lang w:val="en-US" w:eastAsia="zh-CN"/>
        </w:rPr>
        <w:t>，</w:t>
      </w:r>
      <w:r>
        <w:rPr>
          <w:rFonts w:hint="eastAsia" w:ascii="Times New Roman" w:hAnsi="Times New Roman" w:eastAsia="仿宋_GB2312" w:cs="Times New Roman"/>
          <w:b w:val="0"/>
          <w:bCs w:val="0"/>
          <w:color w:val="auto"/>
          <w:sz w:val="32"/>
          <w:szCs w:val="40"/>
          <w:highlight w:val="none"/>
          <w:u w:val="none"/>
          <w:lang w:val="en-US" w:eastAsia="zh-CN"/>
        </w:rPr>
        <w:t>促进</w:t>
      </w:r>
      <w:r>
        <w:rPr>
          <w:rFonts w:hint="default" w:ascii="Times New Roman" w:hAnsi="Times New Roman" w:eastAsia="仿宋_GB2312" w:cs="Times New Roman"/>
          <w:b w:val="0"/>
          <w:bCs w:val="0"/>
          <w:color w:val="auto"/>
          <w:sz w:val="32"/>
          <w:szCs w:val="40"/>
          <w:highlight w:val="none"/>
          <w:u w:val="none"/>
          <w:lang w:val="en-US" w:eastAsia="zh-CN"/>
        </w:rPr>
        <w:t>生活性服务业向品质</w:t>
      </w:r>
      <w:r>
        <w:rPr>
          <w:rFonts w:hint="eastAsia" w:ascii="Times New Roman" w:hAnsi="Times New Roman" w:eastAsia="仿宋_GB2312" w:cs="Times New Roman"/>
          <w:b w:val="0"/>
          <w:bCs w:val="0"/>
          <w:color w:val="auto"/>
          <w:sz w:val="32"/>
          <w:szCs w:val="40"/>
          <w:highlight w:val="none"/>
          <w:u w:val="none"/>
          <w:lang w:val="en-US" w:eastAsia="zh-CN"/>
        </w:rPr>
        <w:t>化</w:t>
      </w:r>
      <w:r>
        <w:rPr>
          <w:rFonts w:hint="default" w:ascii="Times New Roman" w:hAnsi="Times New Roman" w:eastAsia="仿宋_GB2312" w:cs="Times New Roman"/>
          <w:b w:val="0"/>
          <w:bCs w:val="0"/>
          <w:color w:val="auto"/>
          <w:sz w:val="32"/>
          <w:szCs w:val="40"/>
          <w:highlight w:val="none"/>
          <w:u w:val="none"/>
          <w:lang w:val="en-US" w:eastAsia="zh-CN"/>
        </w:rPr>
        <w:t>、多样化和便利化方向发展</w:t>
      </w:r>
      <w:r>
        <w:rPr>
          <w:rFonts w:hint="eastAsia" w:ascii="Times New Roman" w:hAnsi="Times New Roman" w:eastAsia="仿宋_GB2312" w:cs="Times New Roman"/>
          <w:b w:val="0"/>
          <w:bCs w:val="0"/>
          <w:color w:val="auto"/>
          <w:sz w:val="32"/>
          <w:szCs w:val="40"/>
          <w:highlight w:val="none"/>
          <w:u w:val="none"/>
          <w:lang w:val="en-US" w:eastAsia="zh-CN"/>
        </w:rPr>
        <w:t>，推动</w:t>
      </w:r>
      <w:r>
        <w:rPr>
          <w:rFonts w:hint="default" w:ascii="Times New Roman" w:hAnsi="Times New Roman" w:eastAsia="仿宋_GB2312" w:cs="Times New Roman"/>
          <w:b w:val="0"/>
          <w:bCs w:val="0"/>
          <w:color w:val="auto"/>
          <w:sz w:val="32"/>
          <w:szCs w:val="40"/>
          <w:highlight w:val="none"/>
          <w:u w:val="none"/>
          <w:lang w:val="en-US" w:eastAsia="zh-CN"/>
        </w:rPr>
        <w:t>生产性服务业向专业化和价值链高端延伸</w:t>
      </w:r>
      <w:r>
        <w:rPr>
          <w:rFonts w:hint="eastAsia" w:ascii="Times New Roman" w:hAnsi="Times New Roman" w:eastAsia="仿宋_GB2312" w:cs="Times New Roman"/>
          <w:b w:val="0"/>
          <w:bCs w:val="0"/>
          <w:color w:val="auto"/>
          <w:sz w:val="32"/>
          <w:szCs w:val="40"/>
          <w:highlight w:val="none"/>
          <w:u w:val="none"/>
          <w:lang w:val="en-US" w:eastAsia="zh-CN"/>
        </w:rPr>
        <w:t>，着力构建优质高效、结构优化、竞争力强的服务业新体系，为白城打造省域新的经济增长极，实现高质量发展明显进位、全面振兴取得新突破提供坚实支撑。</w:t>
      </w:r>
    </w:p>
    <w:p w14:paraId="7DE6538B">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jc w:val="center"/>
        <w:textAlignment w:val="auto"/>
        <w:rPr>
          <w:rFonts w:hint="default" w:ascii="楷体_GB2312" w:hAnsi="楷体_GB2312" w:eastAsia="楷体_GB2312" w:cs="楷体_GB2312"/>
          <w:color w:val="auto"/>
          <w:sz w:val="32"/>
          <w:szCs w:val="32"/>
          <w:highlight w:val="none"/>
          <w:u w:val="none"/>
          <w:lang w:val="en-US" w:eastAsia="zh-CN"/>
        </w:rPr>
      </w:pPr>
      <w:bookmarkStart w:id="6" w:name="_Toc1341763548"/>
      <w:r>
        <w:rPr>
          <w:rFonts w:hint="eastAsia" w:ascii="楷体_GB2312" w:hAnsi="楷体_GB2312" w:eastAsia="楷体_GB2312" w:cs="楷体_GB2312"/>
          <w:color w:val="auto"/>
          <w:sz w:val="32"/>
          <w:szCs w:val="32"/>
          <w:highlight w:val="none"/>
          <w:u w:val="none"/>
          <w:lang w:val="en-US" w:eastAsia="zh-CN"/>
        </w:rPr>
        <w:t xml:space="preserve">第二节 </w:t>
      </w:r>
      <w:r>
        <w:rPr>
          <w:rFonts w:hint="default" w:ascii="楷体_GB2312" w:hAnsi="楷体_GB2312" w:eastAsia="楷体_GB2312" w:cs="楷体_GB2312"/>
          <w:color w:val="auto"/>
          <w:sz w:val="32"/>
          <w:szCs w:val="32"/>
          <w:highlight w:val="none"/>
          <w:u w:val="none"/>
          <w:lang w:val="en-US" w:eastAsia="zh-CN"/>
        </w:rPr>
        <w:t>发展目标</w:t>
      </w:r>
      <w:bookmarkEnd w:id="6"/>
    </w:p>
    <w:p w14:paraId="54F4F22D">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600" w:lineRule="exact"/>
        <w:ind w:firstLine="640" w:firstLineChars="200"/>
        <w:textAlignment w:val="auto"/>
        <w:rPr>
          <w:rFonts w:hint="eastAsia" w:ascii="Times New Roman" w:hAnsi="Times New Roman" w:eastAsia="仿宋_GB2312" w:cs="Times New Roman"/>
          <w:b w:val="0"/>
          <w:bCs w:val="0"/>
          <w:color w:val="auto"/>
          <w:sz w:val="32"/>
          <w:szCs w:val="40"/>
          <w:highlight w:val="none"/>
          <w:u w:val="none"/>
          <w:lang w:val="en-US" w:eastAsia="zh-CN"/>
        </w:rPr>
      </w:pPr>
      <w:r>
        <w:rPr>
          <w:rFonts w:hint="default" w:ascii="Times New Roman" w:hAnsi="Times New Roman" w:eastAsia="仿宋_GB2312" w:cs="Times New Roman"/>
          <w:b w:val="0"/>
          <w:bCs w:val="0"/>
          <w:color w:val="auto"/>
          <w:sz w:val="32"/>
          <w:szCs w:val="40"/>
          <w:highlight w:val="none"/>
          <w:u w:val="none"/>
          <w:lang w:val="en-US" w:eastAsia="zh-CN"/>
        </w:rPr>
        <w:t>到</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十五五</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末期，</w:t>
      </w:r>
      <w:r>
        <w:rPr>
          <w:rFonts w:hint="eastAsia" w:ascii="Times New Roman" w:hAnsi="Times New Roman" w:eastAsia="仿宋_GB2312" w:cs="Times New Roman"/>
          <w:b w:val="0"/>
          <w:bCs w:val="0"/>
          <w:color w:val="auto"/>
          <w:sz w:val="32"/>
          <w:szCs w:val="40"/>
          <w:highlight w:val="none"/>
          <w:u w:val="none"/>
          <w:lang w:val="en-US" w:eastAsia="zh-CN"/>
        </w:rPr>
        <w:t>服务业增加值增速保持与全市经济增长基本同步，生活性服务供给质量与可及性持续提升，生产性服务</w:t>
      </w:r>
    </w:p>
    <w:p w14:paraId="1B626A10">
      <w:pPr>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600" w:lineRule="exact"/>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Times New Roman" w:hAnsi="Times New Roman" w:eastAsia="仿宋_GB2312" w:cs="Times New Roman"/>
          <w:b w:val="0"/>
          <w:bCs w:val="0"/>
          <w:color w:val="auto"/>
          <w:sz w:val="32"/>
          <w:szCs w:val="40"/>
          <w:highlight w:val="none"/>
          <w:u w:val="none"/>
          <w:lang w:val="en-US" w:eastAsia="zh-CN"/>
        </w:rPr>
        <w:t>对实体经济的支撑赋能作用显著增强。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3576"/>
        <w:gridCol w:w="846"/>
        <w:gridCol w:w="1056"/>
        <w:gridCol w:w="945"/>
        <w:gridCol w:w="945"/>
      </w:tblGrid>
      <w:tr w14:paraId="67B3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gridSpan w:val="6"/>
            <w:vAlign w:val="center"/>
          </w:tcPr>
          <w:p w14:paraId="64B29BBC">
            <w:pPr>
              <w:keepNext w:val="0"/>
              <w:keepLines w:val="0"/>
              <w:suppressLineNumbers w:val="0"/>
              <w:spacing w:before="0" w:beforeAutospacing="0" w:after="0" w:afterAutospacing="0"/>
              <w:ind w:left="0" w:right="0"/>
              <w:jc w:val="center"/>
              <w:rPr>
                <w:rFonts w:hint="eastAsia" w:ascii="方正黑体_GBK" w:hAnsi="方正黑体_GBK" w:eastAsia="方正黑体_GBK" w:cs="方正黑体_GBK"/>
                <w:color w:val="auto"/>
                <w:sz w:val="21"/>
                <w:szCs w:val="21"/>
                <w:highlight w:val="none"/>
                <w:u w:val="none"/>
                <w:lang w:val="en-US" w:eastAsia="zh-CN"/>
              </w:rPr>
            </w:pPr>
            <w:r>
              <w:rPr>
                <w:rFonts w:hint="eastAsia" w:ascii="Times New Roman" w:hAnsi="Times New Roman" w:eastAsia="黑体" w:cs="Times New Roman"/>
                <w:color w:val="auto"/>
                <w:sz w:val="28"/>
                <w:szCs w:val="36"/>
                <w:highlight w:val="none"/>
                <w:u w:val="none"/>
                <w:lang w:val="en-US" w:eastAsia="zh-CN"/>
              </w:rPr>
              <w:t>专栏1</w:t>
            </w:r>
            <w:r>
              <w:rPr>
                <w:rFonts w:hint="default" w:ascii="Times New Roman" w:hAnsi="Times New Roman" w:eastAsia="黑体" w:cs="Times New Roman"/>
                <w:color w:val="auto"/>
                <w:sz w:val="28"/>
                <w:szCs w:val="36"/>
                <w:highlight w:val="none"/>
                <w:u w:val="none"/>
                <w:lang w:val="en-US" w:eastAsia="zh-CN"/>
              </w:rPr>
              <w:t xml:space="preserve"> “十五五”时期服务业发展主要指标</w:t>
            </w:r>
          </w:p>
        </w:tc>
      </w:tr>
      <w:tr w14:paraId="5274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DE4CC49">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lang w:val="en-US" w:eastAsia="zh-CN"/>
              </w:rPr>
              <w:t>序号</w:t>
            </w:r>
          </w:p>
        </w:tc>
        <w:tc>
          <w:tcPr>
            <w:tcW w:w="0" w:type="auto"/>
            <w:shd w:val="clear" w:color="auto" w:fill="auto"/>
            <w:vAlign w:val="center"/>
          </w:tcPr>
          <w:p w14:paraId="08E3CA5B">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rPr>
              <w:t>指标</w:t>
            </w:r>
            <w:r>
              <w:rPr>
                <w:rFonts w:hint="eastAsia" w:ascii="方正黑体_GBK" w:hAnsi="方正黑体_GBK" w:eastAsia="方正黑体_GBK" w:cs="方正黑体_GBK"/>
                <w:color w:val="auto"/>
                <w:sz w:val="21"/>
                <w:szCs w:val="21"/>
                <w:highlight w:val="none"/>
                <w:u w:val="none"/>
                <w:lang w:val="en-US" w:eastAsia="zh-CN"/>
              </w:rPr>
              <w:t>名称</w:t>
            </w:r>
          </w:p>
        </w:tc>
        <w:tc>
          <w:tcPr>
            <w:tcW w:w="0" w:type="auto"/>
            <w:shd w:val="clear" w:color="auto" w:fill="auto"/>
            <w:vAlign w:val="center"/>
          </w:tcPr>
          <w:p w14:paraId="75F51570">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lang w:eastAsia="zh-CN"/>
              </w:rPr>
              <w:t>单位</w:t>
            </w:r>
          </w:p>
        </w:tc>
        <w:tc>
          <w:tcPr>
            <w:tcW w:w="0" w:type="auto"/>
            <w:shd w:val="clear" w:color="auto" w:fill="auto"/>
            <w:vAlign w:val="center"/>
          </w:tcPr>
          <w:p w14:paraId="03B02540">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lang w:eastAsia="zh-CN"/>
              </w:rPr>
              <w:t>指标性质</w:t>
            </w:r>
          </w:p>
        </w:tc>
        <w:tc>
          <w:tcPr>
            <w:tcW w:w="0" w:type="auto"/>
            <w:shd w:val="clear" w:color="auto" w:fill="auto"/>
            <w:vAlign w:val="center"/>
          </w:tcPr>
          <w:p w14:paraId="4B95A5B8">
            <w:pPr>
              <w:keepNext w:val="0"/>
              <w:keepLines w:val="0"/>
              <w:suppressLineNumbers w:val="0"/>
              <w:bidi w:val="0"/>
              <w:spacing w:before="0" w:beforeAutospacing="0" w:after="0" w:afterAutospacing="0"/>
              <w:ind w:left="0" w:right="0"/>
              <w:jc w:val="center"/>
              <w:rPr>
                <w:rFonts w:hint="eastAsia" w:ascii="方正黑体_GBK" w:hAnsi="方正黑体_GBK" w:eastAsia="方正黑体_GBK" w:cs="方正黑体_GBK"/>
                <w:color w:val="auto"/>
                <w:sz w:val="21"/>
                <w:szCs w:val="21"/>
                <w:highlight w:val="none"/>
                <w:u w:val="none"/>
              </w:rPr>
            </w:pPr>
            <w:r>
              <w:rPr>
                <w:rFonts w:hint="eastAsia" w:ascii="方正黑体_GBK" w:hAnsi="方正黑体_GBK" w:eastAsia="方正黑体_GBK" w:cs="方正黑体_GBK"/>
                <w:color w:val="auto"/>
                <w:sz w:val="21"/>
                <w:szCs w:val="21"/>
                <w:highlight w:val="none"/>
                <w:u w:val="none"/>
              </w:rPr>
              <w:t>202</w:t>
            </w:r>
            <w:r>
              <w:rPr>
                <w:rFonts w:hint="eastAsia" w:ascii="方正黑体_GBK" w:hAnsi="方正黑体_GBK" w:eastAsia="方正黑体_GBK" w:cs="方正黑体_GBK"/>
                <w:color w:val="auto"/>
                <w:sz w:val="21"/>
                <w:szCs w:val="21"/>
                <w:highlight w:val="none"/>
                <w:u w:val="none"/>
                <w:lang w:val="en-US" w:eastAsia="zh-CN"/>
              </w:rPr>
              <w:t>5</w:t>
            </w:r>
            <w:r>
              <w:rPr>
                <w:rFonts w:hint="eastAsia" w:ascii="方正黑体_GBK" w:hAnsi="方正黑体_GBK" w:eastAsia="方正黑体_GBK" w:cs="方正黑体_GBK"/>
                <w:color w:val="auto"/>
                <w:sz w:val="21"/>
                <w:szCs w:val="21"/>
                <w:highlight w:val="none"/>
                <w:u w:val="none"/>
              </w:rPr>
              <w:t>年</w:t>
            </w:r>
          </w:p>
          <w:p w14:paraId="58C976F1">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lang w:eastAsia="zh-CN"/>
              </w:rPr>
              <w:t>完成</w:t>
            </w:r>
          </w:p>
        </w:tc>
        <w:tc>
          <w:tcPr>
            <w:tcW w:w="0" w:type="auto"/>
            <w:shd w:val="clear" w:color="auto" w:fill="auto"/>
            <w:vAlign w:val="center"/>
          </w:tcPr>
          <w:p w14:paraId="6BC3CE48">
            <w:pPr>
              <w:keepNext w:val="0"/>
              <w:keepLines w:val="0"/>
              <w:suppressLineNumbers w:val="0"/>
              <w:bidi w:val="0"/>
              <w:spacing w:before="0" w:beforeAutospacing="0" w:after="0" w:afterAutospacing="0"/>
              <w:ind w:left="0" w:right="0"/>
              <w:jc w:val="center"/>
              <w:rPr>
                <w:rFonts w:hint="eastAsia" w:ascii="方正黑体_GBK" w:hAnsi="方正黑体_GBK" w:eastAsia="方正黑体_GBK" w:cs="方正黑体_GBK"/>
                <w:color w:val="auto"/>
                <w:sz w:val="21"/>
                <w:szCs w:val="21"/>
                <w:highlight w:val="none"/>
                <w:u w:val="none"/>
              </w:rPr>
            </w:pPr>
            <w:r>
              <w:rPr>
                <w:rFonts w:hint="eastAsia" w:ascii="方正黑体_GBK" w:hAnsi="方正黑体_GBK" w:eastAsia="方正黑体_GBK" w:cs="方正黑体_GBK"/>
                <w:color w:val="auto"/>
                <w:sz w:val="21"/>
                <w:szCs w:val="21"/>
                <w:highlight w:val="none"/>
                <w:u w:val="none"/>
              </w:rPr>
              <w:t>2030年</w:t>
            </w:r>
          </w:p>
          <w:p w14:paraId="184B2D80">
            <w:pPr>
              <w:keepNext w:val="0"/>
              <w:keepLines w:val="0"/>
              <w:suppressLineNumbers w:val="0"/>
              <w:bidi w:val="0"/>
              <w:spacing w:before="0" w:beforeAutospacing="0" w:after="0" w:afterAutospacing="0"/>
              <w:ind w:left="0" w:leftChars="0" w:right="0" w:rightChars="0"/>
              <w:jc w:val="center"/>
              <w:rPr>
                <w:rFonts w:hint="eastAsia" w:ascii="方正黑体_GBK" w:hAnsi="方正黑体_GBK" w:eastAsia="方正黑体_GBK" w:cs="方正黑体_GBK"/>
                <w:color w:val="auto"/>
                <w:kern w:val="2"/>
                <w:sz w:val="21"/>
                <w:szCs w:val="21"/>
                <w:highlight w:val="none"/>
                <w:u w:val="none"/>
                <w:lang w:val="en-US" w:eastAsia="zh-CN" w:bidi="ar-SA"/>
              </w:rPr>
            </w:pPr>
            <w:r>
              <w:rPr>
                <w:rFonts w:hint="eastAsia" w:ascii="方正黑体_GBK" w:hAnsi="方正黑体_GBK" w:eastAsia="方正黑体_GBK" w:cs="方正黑体_GBK"/>
                <w:color w:val="auto"/>
                <w:sz w:val="21"/>
                <w:szCs w:val="21"/>
                <w:highlight w:val="none"/>
                <w:u w:val="none"/>
                <w:lang w:eastAsia="zh-CN"/>
              </w:rPr>
              <w:t>目标</w:t>
            </w:r>
          </w:p>
        </w:tc>
      </w:tr>
      <w:tr w14:paraId="7B0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5C9AE54A">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1</w:t>
            </w:r>
          </w:p>
        </w:tc>
        <w:tc>
          <w:tcPr>
            <w:tcW w:w="0" w:type="auto"/>
            <w:shd w:val="clear" w:color="auto" w:fill="auto"/>
            <w:vAlign w:val="center"/>
          </w:tcPr>
          <w:p w14:paraId="5210C2F8">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接待国内游客总人数</w:t>
            </w:r>
          </w:p>
        </w:tc>
        <w:tc>
          <w:tcPr>
            <w:tcW w:w="0" w:type="auto"/>
            <w:shd w:val="clear" w:color="auto" w:fill="auto"/>
            <w:vAlign w:val="center"/>
          </w:tcPr>
          <w:p w14:paraId="2BB7AFA5">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万人次</w:t>
            </w:r>
          </w:p>
        </w:tc>
        <w:tc>
          <w:tcPr>
            <w:tcW w:w="0" w:type="auto"/>
            <w:shd w:val="clear" w:color="auto" w:fill="auto"/>
            <w:vAlign w:val="center"/>
          </w:tcPr>
          <w:p w14:paraId="2C965B58">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160610AA">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2619</w:t>
            </w:r>
          </w:p>
        </w:tc>
        <w:tc>
          <w:tcPr>
            <w:tcW w:w="0" w:type="auto"/>
            <w:shd w:val="clear" w:color="auto" w:fill="auto"/>
            <w:vAlign w:val="center"/>
          </w:tcPr>
          <w:p w14:paraId="45E2D0D7">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3500</w:t>
            </w:r>
          </w:p>
        </w:tc>
      </w:tr>
      <w:tr w14:paraId="2AE2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DE2967A">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2</w:t>
            </w:r>
          </w:p>
        </w:tc>
        <w:tc>
          <w:tcPr>
            <w:tcW w:w="0" w:type="auto"/>
            <w:shd w:val="clear" w:color="auto" w:fill="auto"/>
            <w:vAlign w:val="center"/>
          </w:tcPr>
          <w:p w14:paraId="5E3C1A56">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国内游客出游总花费</w:t>
            </w:r>
          </w:p>
        </w:tc>
        <w:tc>
          <w:tcPr>
            <w:tcW w:w="0" w:type="auto"/>
            <w:shd w:val="clear" w:color="auto" w:fill="auto"/>
            <w:vAlign w:val="center"/>
          </w:tcPr>
          <w:p w14:paraId="580D604B">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亿元</w:t>
            </w:r>
          </w:p>
        </w:tc>
        <w:tc>
          <w:tcPr>
            <w:tcW w:w="0" w:type="auto"/>
            <w:shd w:val="clear" w:color="auto" w:fill="auto"/>
            <w:vAlign w:val="center"/>
          </w:tcPr>
          <w:p w14:paraId="1402DF52">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2D14C8E8">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244</w:t>
            </w:r>
          </w:p>
        </w:tc>
        <w:tc>
          <w:tcPr>
            <w:tcW w:w="0" w:type="auto"/>
            <w:shd w:val="clear" w:color="auto" w:fill="auto"/>
            <w:vAlign w:val="center"/>
          </w:tcPr>
          <w:p w14:paraId="2CECACEB">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350</w:t>
            </w:r>
          </w:p>
        </w:tc>
      </w:tr>
      <w:tr w14:paraId="26C1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B2354FE">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3</w:t>
            </w:r>
          </w:p>
        </w:tc>
        <w:tc>
          <w:tcPr>
            <w:tcW w:w="0" w:type="auto"/>
            <w:shd w:val="clear" w:color="auto" w:fill="auto"/>
            <w:vAlign w:val="center"/>
          </w:tcPr>
          <w:p w14:paraId="205B3A04">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社会消费品零售总额增长</w:t>
            </w:r>
          </w:p>
        </w:tc>
        <w:tc>
          <w:tcPr>
            <w:tcW w:w="0" w:type="auto"/>
            <w:shd w:val="clear" w:color="auto" w:fill="auto"/>
            <w:vAlign w:val="center"/>
          </w:tcPr>
          <w:p w14:paraId="4F400307">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w:t>
            </w:r>
          </w:p>
        </w:tc>
        <w:tc>
          <w:tcPr>
            <w:tcW w:w="0" w:type="auto"/>
            <w:shd w:val="clear" w:color="auto" w:fill="auto"/>
            <w:vAlign w:val="center"/>
          </w:tcPr>
          <w:p w14:paraId="0B6B8F8D">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31337F16">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3.3</w:t>
            </w:r>
          </w:p>
        </w:tc>
        <w:tc>
          <w:tcPr>
            <w:tcW w:w="0" w:type="auto"/>
            <w:shd w:val="clear" w:color="auto" w:fill="auto"/>
            <w:vAlign w:val="center"/>
          </w:tcPr>
          <w:p w14:paraId="7FAE7473">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5</w:t>
            </w:r>
          </w:p>
        </w:tc>
      </w:tr>
      <w:tr w14:paraId="7FFF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625E07D9">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4</w:t>
            </w:r>
          </w:p>
        </w:tc>
        <w:tc>
          <w:tcPr>
            <w:tcW w:w="0" w:type="auto"/>
            <w:shd w:val="clear" w:color="auto" w:fill="auto"/>
            <w:vAlign w:val="center"/>
          </w:tcPr>
          <w:p w14:paraId="3D3A1314">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default" w:ascii="Times New Roman" w:hAnsi="Times New Roman" w:eastAsia="仿宋_GB2312" w:cs="Times New Roman"/>
                <w:color w:val="auto"/>
                <w:sz w:val="21"/>
                <w:szCs w:val="21"/>
                <w:highlight w:val="none"/>
                <w:u w:val="none"/>
                <w:vertAlign w:val="baseline"/>
                <w:lang w:val="en-US" w:eastAsia="zh-CN"/>
              </w:rPr>
              <w:t>网络零售额</w:t>
            </w:r>
          </w:p>
        </w:tc>
        <w:tc>
          <w:tcPr>
            <w:tcW w:w="0" w:type="auto"/>
            <w:shd w:val="clear" w:color="auto" w:fill="auto"/>
            <w:vAlign w:val="center"/>
          </w:tcPr>
          <w:p w14:paraId="4557F99B">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亿元</w:t>
            </w:r>
          </w:p>
        </w:tc>
        <w:tc>
          <w:tcPr>
            <w:tcW w:w="0" w:type="auto"/>
            <w:shd w:val="clear" w:color="auto" w:fill="auto"/>
            <w:vAlign w:val="center"/>
          </w:tcPr>
          <w:p w14:paraId="1D59596C">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5226DA60">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37</w:t>
            </w:r>
          </w:p>
        </w:tc>
        <w:tc>
          <w:tcPr>
            <w:tcW w:w="0" w:type="auto"/>
            <w:shd w:val="clear" w:color="auto" w:fill="auto"/>
            <w:vAlign w:val="center"/>
          </w:tcPr>
          <w:p w14:paraId="5FBFEF76">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45</w:t>
            </w:r>
          </w:p>
        </w:tc>
      </w:tr>
      <w:tr w14:paraId="0705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1DD80161">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5</w:t>
            </w:r>
          </w:p>
        </w:tc>
        <w:tc>
          <w:tcPr>
            <w:tcW w:w="0" w:type="auto"/>
            <w:shd w:val="clear" w:color="auto" w:fill="auto"/>
            <w:vAlign w:val="center"/>
          </w:tcPr>
          <w:p w14:paraId="700ADF0A">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农特产品快递业务量</w:t>
            </w:r>
          </w:p>
        </w:tc>
        <w:tc>
          <w:tcPr>
            <w:tcW w:w="0" w:type="auto"/>
            <w:shd w:val="clear" w:color="auto" w:fill="auto"/>
            <w:vAlign w:val="center"/>
          </w:tcPr>
          <w:p w14:paraId="177BD683">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万件</w:t>
            </w:r>
          </w:p>
        </w:tc>
        <w:tc>
          <w:tcPr>
            <w:tcW w:w="0" w:type="auto"/>
            <w:shd w:val="clear" w:color="auto" w:fill="auto"/>
            <w:vAlign w:val="center"/>
          </w:tcPr>
          <w:p w14:paraId="08F546A3">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0388C2E1">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100</w:t>
            </w:r>
          </w:p>
        </w:tc>
        <w:tc>
          <w:tcPr>
            <w:tcW w:w="0" w:type="auto"/>
            <w:shd w:val="clear" w:color="auto" w:fill="auto"/>
            <w:vAlign w:val="center"/>
          </w:tcPr>
          <w:p w14:paraId="1EF58B25">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200</w:t>
            </w:r>
          </w:p>
        </w:tc>
      </w:tr>
      <w:tr w14:paraId="1737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777FF73">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6</w:t>
            </w:r>
          </w:p>
        </w:tc>
        <w:tc>
          <w:tcPr>
            <w:tcW w:w="0" w:type="auto"/>
            <w:shd w:val="clear" w:color="auto" w:fill="auto"/>
            <w:vAlign w:val="center"/>
          </w:tcPr>
          <w:p w14:paraId="17546CB0">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智能快递柜格口使用量</w:t>
            </w:r>
          </w:p>
        </w:tc>
        <w:tc>
          <w:tcPr>
            <w:tcW w:w="0" w:type="auto"/>
            <w:shd w:val="clear" w:color="auto" w:fill="auto"/>
            <w:vAlign w:val="center"/>
          </w:tcPr>
          <w:p w14:paraId="13F14511">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sz w:val="21"/>
                <w:szCs w:val="21"/>
                <w:highlight w:val="none"/>
                <w:u w:val="none"/>
                <w:vertAlign w:val="baseline"/>
                <w:lang w:val="en-US" w:eastAsia="zh-CN"/>
              </w:rPr>
              <w:t>万个</w:t>
            </w:r>
          </w:p>
        </w:tc>
        <w:tc>
          <w:tcPr>
            <w:tcW w:w="0" w:type="auto"/>
            <w:shd w:val="clear" w:color="auto" w:fill="auto"/>
            <w:vAlign w:val="center"/>
          </w:tcPr>
          <w:p w14:paraId="63E3E39A">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shd w:val="clear" w:color="auto" w:fill="auto"/>
            <w:vAlign w:val="center"/>
          </w:tcPr>
          <w:p w14:paraId="74FC5028">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1</w:t>
            </w:r>
          </w:p>
        </w:tc>
        <w:tc>
          <w:tcPr>
            <w:tcW w:w="0" w:type="auto"/>
            <w:shd w:val="clear" w:color="auto" w:fill="auto"/>
            <w:vAlign w:val="center"/>
          </w:tcPr>
          <w:p w14:paraId="1EAA236C">
            <w:pPr>
              <w:keepNext w:val="0"/>
              <w:keepLines w:val="0"/>
              <w:suppressLineNumbers w:val="0"/>
              <w:spacing w:before="0" w:beforeAutospacing="0" w:after="0" w:afterAutospacing="0"/>
              <w:ind w:left="0" w:leftChars="0" w:right="0" w:rightChars="0"/>
              <w:jc w:val="center"/>
              <w:rPr>
                <w:rFonts w:hint="eastAsia" w:ascii="Times New Roman" w:hAnsi="Times New Roman" w:eastAsia="仿宋_GB2312" w:cs="Times New Roman"/>
                <w:color w:val="auto"/>
                <w:kern w:val="2"/>
                <w:sz w:val="21"/>
                <w:szCs w:val="21"/>
                <w:highlight w:val="none"/>
                <w:u w:val="none"/>
                <w:vertAlign w:val="baseline"/>
                <w:lang w:val="en-US" w:eastAsia="zh-CN" w:bidi="ar-SA"/>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3</w:t>
            </w:r>
          </w:p>
        </w:tc>
      </w:tr>
      <w:tr w14:paraId="582A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14:paraId="62CF085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7</w:t>
            </w:r>
          </w:p>
        </w:tc>
        <w:tc>
          <w:tcPr>
            <w:tcW w:w="0" w:type="auto"/>
            <w:vAlign w:val="center"/>
          </w:tcPr>
          <w:p w14:paraId="1932A99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全社会研发经费投入增长</w:t>
            </w:r>
          </w:p>
        </w:tc>
        <w:tc>
          <w:tcPr>
            <w:tcW w:w="0" w:type="auto"/>
            <w:vAlign w:val="center"/>
          </w:tcPr>
          <w:p w14:paraId="3A8FAB1D">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w:t>
            </w:r>
          </w:p>
        </w:tc>
        <w:tc>
          <w:tcPr>
            <w:tcW w:w="0" w:type="auto"/>
            <w:vAlign w:val="center"/>
          </w:tcPr>
          <w:p w14:paraId="0F2177C2">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vAlign w:val="center"/>
          </w:tcPr>
          <w:p w14:paraId="3689635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5</w:t>
            </w:r>
          </w:p>
        </w:tc>
        <w:tc>
          <w:tcPr>
            <w:tcW w:w="0" w:type="auto"/>
            <w:vAlign w:val="center"/>
          </w:tcPr>
          <w:p w14:paraId="0A648A1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6</w:t>
            </w:r>
          </w:p>
        </w:tc>
      </w:tr>
      <w:tr w14:paraId="33D8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14:paraId="423AA86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8</w:t>
            </w:r>
          </w:p>
        </w:tc>
        <w:tc>
          <w:tcPr>
            <w:tcW w:w="0" w:type="auto"/>
            <w:vAlign w:val="center"/>
          </w:tcPr>
          <w:p w14:paraId="674489B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银行业金融机构各项贷款余额增</w:t>
            </w:r>
            <w:r>
              <w:rPr>
                <w:rFonts w:hint="eastAsia" w:ascii="Times New Roman" w:hAnsi="Times New Roman" w:eastAsia="仿宋_GB2312" w:cs="Times New Roman"/>
                <w:color w:val="auto"/>
                <w:sz w:val="21"/>
                <w:szCs w:val="21"/>
                <w:highlight w:val="none"/>
                <w:u w:val="none"/>
                <w:vertAlign w:val="baseline"/>
                <w:lang w:val="en-US" w:eastAsia="zh-CN"/>
              </w:rPr>
              <w:t>长</w:t>
            </w:r>
          </w:p>
        </w:tc>
        <w:tc>
          <w:tcPr>
            <w:tcW w:w="0" w:type="auto"/>
            <w:vAlign w:val="center"/>
          </w:tcPr>
          <w:p w14:paraId="1F41C78A">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w:t>
            </w:r>
          </w:p>
        </w:tc>
        <w:tc>
          <w:tcPr>
            <w:tcW w:w="0" w:type="auto"/>
            <w:vAlign w:val="center"/>
          </w:tcPr>
          <w:p w14:paraId="2AA12CEE">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vAlign w:val="center"/>
          </w:tcPr>
          <w:p w14:paraId="0FAC8DA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3.9</w:t>
            </w:r>
          </w:p>
        </w:tc>
        <w:tc>
          <w:tcPr>
            <w:tcW w:w="0" w:type="auto"/>
            <w:vAlign w:val="center"/>
          </w:tcPr>
          <w:p w14:paraId="3D93977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 xml:space="preserve">4 </w:t>
            </w:r>
          </w:p>
        </w:tc>
      </w:tr>
      <w:tr w14:paraId="5841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14:paraId="219C528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9</w:t>
            </w:r>
          </w:p>
        </w:tc>
        <w:tc>
          <w:tcPr>
            <w:tcW w:w="0" w:type="auto"/>
            <w:vAlign w:val="center"/>
          </w:tcPr>
          <w:p w14:paraId="5A71EE6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全年新发放普惠型小微企业贷款</w:t>
            </w:r>
            <w:r>
              <w:rPr>
                <w:rFonts w:hint="eastAsia" w:ascii="Times New Roman" w:hAnsi="Times New Roman" w:eastAsia="仿宋_GB2312" w:cs="Times New Roman"/>
                <w:color w:val="auto"/>
                <w:sz w:val="21"/>
                <w:szCs w:val="21"/>
                <w:highlight w:val="none"/>
                <w:u w:val="none"/>
                <w:vertAlign w:val="baseline"/>
                <w:lang w:val="en-US" w:eastAsia="zh-CN"/>
              </w:rPr>
              <w:t>增长</w:t>
            </w:r>
          </w:p>
        </w:tc>
        <w:tc>
          <w:tcPr>
            <w:tcW w:w="0" w:type="auto"/>
            <w:vAlign w:val="center"/>
          </w:tcPr>
          <w:p w14:paraId="51310C09">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default" w:ascii="Times New Roman" w:hAnsi="Times New Roman" w:eastAsia="仿宋_GB2312" w:cs="Times New Roman"/>
                <w:color w:val="auto"/>
                <w:sz w:val="21"/>
                <w:szCs w:val="21"/>
                <w:highlight w:val="none"/>
                <w:u w:val="none"/>
                <w:vertAlign w:val="baseline"/>
                <w:lang w:val="en-US" w:eastAsia="zh-CN"/>
              </w:rPr>
              <w:t>%</w:t>
            </w:r>
          </w:p>
        </w:tc>
        <w:tc>
          <w:tcPr>
            <w:tcW w:w="0" w:type="auto"/>
            <w:vAlign w:val="center"/>
          </w:tcPr>
          <w:p w14:paraId="27DD98CF">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kern w:val="2"/>
                <w:sz w:val="21"/>
                <w:szCs w:val="21"/>
                <w:highlight w:val="none"/>
                <w:u w:val="none"/>
                <w:vertAlign w:val="baseline"/>
                <w:lang w:val="en-US" w:eastAsia="zh-CN" w:bidi="ar-SA"/>
              </w:rPr>
              <w:t>预期性</w:t>
            </w:r>
          </w:p>
        </w:tc>
        <w:tc>
          <w:tcPr>
            <w:tcW w:w="0" w:type="auto"/>
            <w:vAlign w:val="center"/>
          </w:tcPr>
          <w:p w14:paraId="5478D90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-0.4</w:t>
            </w:r>
          </w:p>
        </w:tc>
        <w:tc>
          <w:tcPr>
            <w:tcW w:w="0" w:type="auto"/>
            <w:vAlign w:val="center"/>
          </w:tcPr>
          <w:p w14:paraId="30946CF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u w:val="none"/>
                <w:vertAlign w:val="baseline"/>
                <w:lang w:val="en-US" w:eastAsia="zh-CN"/>
              </w:rPr>
            </w:pPr>
            <w:r>
              <w:rPr>
                <w:rFonts w:hint="eastAsia" w:ascii="Times New Roman" w:hAnsi="Times New Roman" w:eastAsia="仿宋_GB2312" w:cs="Times New Roman"/>
                <w:color w:val="auto"/>
                <w:sz w:val="21"/>
                <w:szCs w:val="21"/>
                <w:highlight w:val="none"/>
                <w:u w:val="none"/>
                <w:vertAlign w:val="baseline"/>
                <w:lang w:val="en-US" w:eastAsia="zh-CN"/>
              </w:rPr>
              <w:t>2</w:t>
            </w:r>
          </w:p>
        </w:tc>
      </w:tr>
    </w:tbl>
    <w:p w14:paraId="50A69C71">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ind w:left="0" w:leftChars="0"/>
        <w:jc w:val="center"/>
        <w:textAlignment w:val="auto"/>
        <w:rPr>
          <w:rFonts w:hint="default" w:ascii="Calibri" w:hAnsi="Calibri" w:eastAsia="黑体" w:cs="黑体"/>
          <w:b w:val="0"/>
          <w:color w:val="auto"/>
          <w:sz w:val="32"/>
          <w:highlight w:val="none"/>
          <w:u w:val="none"/>
          <w:lang w:val="en-US" w:eastAsia="zh-CN"/>
        </w:rPr>
      </w:pPr>
      <w:bookmarkStart w:id="7" w:name="_Toc2056626748"/>
      <w:r>
        <w:rPr>
          <w:rFonts w:hint="eastAsia" w:ascii="Calibri" w:hAnsi="Calibri" w:eastAsia="黑体" w:cs="黑体"/>
          <w:b w:val="0"/>
          <w:color w:val="auto"/>
          <w:sz w:val="32"/>
          <w:highlight w:val="none"/>
          <w:u w:val="none"/>
          <w:lang w:val="en-US" w:eastAsia="zh-CN"/>
        </w:rPr>
        <w:t>第三章 大力发展生活性服务业</w:t>
      </w:r>
      <w:bookmarkEnd w:id="7"/>
    </w:p>
    <w:p w14:paraId="58E990C6">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color w:val="auto"/>
          <w:kern w:val="2"/>
          <w:sz w:val="32"/>
          <w:szCs w:val="40"/>
          <w:highlight w:val="none"/>
          <w:u w:val="none"/>
          <w:lang w:val="en-US" w:eastAsia="zh-CN" w:bidi="ar-SA"/>
        </w:rPr>
      </w:pPr>
      <w:r>
        <w:rPr>
          <w:rFonts w:hint="eastAsia" w:ascii="Times New Roman" w:hAnsi="Times New Roman" w:eastAsia="仿宋_GB2312" w:cs="Times New Roman"/>
          <w:color w:val="auto"/>
          <w:kern w:val="2"/>
          <w:sz w:val="32"/>
          <w:szCs w:val="40"/>
          <w:highlight w:val="none"/>
          <w:u w:val="none"/>
          <w:lang w:val="en-US" w:eastAsia="zh-CN" w:bidi="ar-SA"/>
        </w:rPr>
        <w:t>顺应消费升级趋势和人口结构变化，以提升便利化水平、满足多样化需求、打造高品质生活为导向，推动生活性服务业补短板、上水平。</w:t>
      </w:r>
    </w:p>
    <w:p w14:paraId="2CF2029F">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eastAsia" w:ascii="楷体_GB2312" w:hAnsi="楷体_GB2312" w:eastAsia="楷体_GB2312" w:cs="楷体_GB2312"/>
          <w:color w:val="auto"/>
          <w:sz w:val="32"/>
          <w:szCs w:val="32"/>
          <w:highlight w:val="none"/>
          <w:u w:val="none"/>
          <w:lang w:val="en-US" w:eastAsia="zh-CN"/>
        </w:rPr>
      </w:pPr>
      <w:bookmarkStart w:id="8" w:name="_Toc866796532"/>
      <w:r>
        <w:rPr>
          <w:rFonts w:hint="eastAsia" w:ascii="楷体_GB2312" w:hAnsi="楷体_GB2312" w:eastAsia="楷体_GB2312" w:cs="楷体_GB2312"/>
          <w:color w:val="auto"/>
          <w:sz w:val="32"/>
          <w:szCs w:val="32"/>
          <w:highlight w:val="none"/>
          <w:u w:val="none"/>
          <w:lang w:val="en-US" w:eastAsia="zh-CN"/>
        </w:rPr>
        <w:t>第一节 促进文化旅游体育融合发展</w:t>
      </w:r>
      <w:bookmarkEnd w:id="8"/>
    </w:p>
    <w:p w14:paraId="657F6E69">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kern w:val="2"/>
          <w:sz w:val="32"/>
          <w:szCs w:val="40"/>
          <w:highlight w:val="none"/>
          <w:u w:val="none"/>
          <w:lang w:val="en-US" w:eastAsia="zh-CN" w:bidi="ar-SA"/>
        </w:rPr>
      </w:pPr>
      <w:r>
        <w:rPr>
          <w:rFonts w:hint="eastAsia" w:ascii="楷体_GB2312" w:hAnsi="楷体_GB2312" w:eastAsia="楷体_GB2312" w:cs="楷体_GB2312"/>
          <w:b w:val="0"/>
          <w:bCs w:val="0"/>
          <w:color w:val="auto"/>
          <w:kern w:val="2"/>
          <w:sz w:val="32"/>
          <w:szCs w:val="40"/>
          <w:highlight w:val="none"/>
          <w:u w:val="none"/>
          <w:lang w:val="en-US" w:eastAsia="zh-CN" w:bidi="ar-SA"/>
        </w:rPr>
        <w:t>（一）</w:t>
      </w:r>
      <w:r>
        <w:rPr>
          <w:rFonts w:hint="eastAsia" w:ascii="楷体_GB2312" w:hAnsi="楷体_GB2312" w:eastAsia="楷体_GB2312" w:cs="楷体_GB2312"/>
          <w:b w:val="0"/>
          <w:bCs w:val="0"/>
          <w:color w:val="auto"/>
          <w:sz w:val="32"/>
          <w:szCs w:val="32"/>
          <w:highlight w:val="none"/>
          <w:u w:val="none"/>
          <w:lang w:val="en-US" w:eastAsia="zh-CN"/>
        </w:rPr>
        <w:t>推动文化影视发展。</w:t>
      </w:r>
      <w:r>
        <w:rPr>
          <w:rFonts w:hint="default" w:ascii="Times New Roman" w:hAnsi="Times New Roman" w:eastAsia="仿宋_GB2312" w:cs="Times New Roman"/>
          <w:b w:val="0"/>
          <w:bCs w:val="0"/>
          <w:color w:val="auto"/>
          <w:kern w:val="2"/>
          <w:sz w:val="32"/>
          <w:szCs w:val="40"/>
          <w:highlight w:val="none"/>
          <w:u w:val="none"/>
          <w:lang w:val="en-US" w:eastAsia="zh-CN" w:bidi="ar-SA"/>
        </w:rPr>
        <w:t>打磨红色历史与冰雪主题文艺作品，创排历史题材舞台剧、小戏</w:t>
      </w:r>
      <w:r>
        <w:rPr>
          <w:rFonts w:hint="eastAsia" w:ascii="Times New Roman" w:hAnsi="Times New Roman" w:eastAsia="仿宋_GB2312" w:cs="Times New Roman"/>
          <w:b w:val="0"/>
          <w:bCs w:val="0"/>
          <w:color w:val="auto"/>
          <w:kern w:val="2"/>
          <w:sz w:val="32"/>
          <w:szCs w:val="40"/>
          <w:highlight w:val="none"/>
          <w:u w:val="none"/>
          <w:lang w:val="en-US" w:eastAsia="zh-CN" w:bidi="ar-SA"/>
        </w:rPr>
        <w:t>、</w:t>
      </w:r>
      <w:r>
        <w:rPr>
          <w:rFonts w:hint="default" w:ascii="Times New Roman" w:hAnsi="Times New Roman" w:eastAsia="仿宋_GB2312" w:cs="Times New Roman"/>
          <w:b w:val="0"/>
          <w:bCs w:val="0"/>
          <w:color w:val="auto"/>
          <w:kern w:val="2"/>
          <w:sz w:val="32"/>
          <w:szCs w:val="40"/>
          <w:highlight w:val="none"/>
          <w:u w:val="none"/>
          <w:lang w:val="en-US" w:eastAsia="zh-CN" w:bidi="ar-SA"/>
        </w:rPr>
        <w:t>情景剧等精品剧目，推出一批具有白城特色的文艺精品，创新开展“电影+”融合活动。推动非遗传承发展，完善非遗名录体系</w:t>
      </w:r>
      <w:r>
        <w:rPr>
          <w:rFonts w:hint="eastAsia" w:ascii="Times New Roman" w:hAnsi="Times New Roman" w:eastAsia="仿宋_GB2312" w:cs="Times New Roman"/>
          <w:b w:val="0"/>
          <w:bCs w:val="0"/>
          <w:color w:val="auto"/>
          <w:kern w:val="2"/>
          <w:sz w:val="32"/>
          <w:szCs w:val="40"/>
          <w:highlight w:val="none"/>
          <w:u w:val="none"/>
          <w:lang w:val="en-US" w:eastAsia="zh-CN" w:bidi="ar-SA"/>
        </w:rPr>
        <w:t>。</w:t>
      </w:r>
      <w:r>
        <w:rPr>
          <w:rFonts w:hint="default" w:ascii="Times New Roman" w:hAnsi="Times New Roman" w:eastAsia="仿宋_GB2312" w:cs="Times New Roman"/>
          <w:b w:val="0"/>
          <w:bCs w:val="0"/>
          <w:color w:val="auto"/>
          <w:kern w:val="2"/>
          <w:sz w:val="32"/>
          <w:szCs w:val="40"/>
          <w:highlight w:val="none"/>
          <w:u w:val="none"/>
          <w:lang w:val="en-US" w:eastAsia="zh-CN" w:bidi="ar-SA"/>
        </w:rPr>
        <w:t>加强城四家子城址、双塔、天恩地局等历史文化遗产保护利用，打造3条以上红色精品</w:t>
      </w:r>
      <w:r>
        <w:rPr>
          <w:rFonts w:hint="eastAsia" w:ascii="Times New Roman" w:hAnsi="Times New Roman" w:eastAsia="仿宋_GB2312" w:cs="Times New Roman"/>
          <w:b w:val="0"/>
          <w:bCs w:val="0"/>
          <w:color w:val="auto"/>
          <w:kern w:val="2"/>
          <w:sz w:val="32"/>
          <w:szCs w:val="40"/>
          <w:highlight w:val="none"/>
          <w:u w:val="none"/>
          <w:lang w:val="en-US" w:eastAsia="zh-CN" w:bidi="ar-SA"/>
        </w:rPr>
        <w:t>文旅</w:t>
      </w:r>
      <w:r>
        <w:rPr>
          <w:rFonts w:hint="default" w:ascii="Times New Roman" w:hAnsi="Times New Roman" w:eastAsia="仿宋_GB2312" w:cs="Times New Roman"/>
          <w:b w:val="0"/>
          <w:bCs w:val="0"/>
          <w:color w:val="auto"/>
          <w:kern w:val="2"/>
          <w:sz w:val="32"/>
          <w:szCs w:val="40"/>
          <w:highlight w:val="none"/>
          <w:u w:val="none"/>
          <w:lang w:val="en-US" w:eastAsia="zh-CN" w:bidi="ar-SA"/>
        </w:rPr>
        <w:t>路线。</w:t>
      </w:r>
    </w:p>
    <w:p w14:paraId="7B8688B2">
      <w:pPr>
        <w:pStyle w:val="15"/>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baseline"/>
        <w:rPr>
          <w:rFonts w:hint="default" w:ascii="Times New Roman" w:hAnsi="Times New Roman" w:eastAsia="仿宋_GB2312" w:cs="Times New Roman"/>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（二）丰富旅游产品供给。</w:t>
      </w:r>
      <w:r>
        <w:rPr>
          <w:rFonts w:hint="default" w:ascii="Times New Roman" w:hAnsi="Times New Roman" w:eastAsia="仿宋_GB2312" w:cs="Times New Roman"/>
          <w:color w:val="auto"/>
          <w:sz w:val="32"/>
          <w:szCs w:val="32"/>
          <w:highlight w:val="none"/>
          <w:u w:val="none"/>
          <w:lang w:val="en-US" w:eastAsia="zh-CN"/>
        </w:rPr>
        <w:t>围绕“</w:t>
      </w:r>
      <w:r>
        <w:rPr>
          <w:rFonts w:hint="eastAsia" w:ascii="Times New Roman" w:hAnsi="Times New Roman" w:eastAsia="仿宋_GB2312" w:cs="Times New Roman"/>
          <w:color w:val="auto"/>
          <w:sz w:val="32"/>
          <w:szCs w:val="32"/>
          <w:highlight w:val="none"/>
          <w:u w:val="none"/>
          <w:lang w:val="en-US" w:eastAsia="zh-CN"/>
        </w:rPr>
        <w:t>湿地</w:t>
      </w:r>
      <w:r>
        <w:rPr>
          <w:rFonts w:hint="default" w:ascii="Times New Roman" w:hAnsi="Times New Roman" w:eastAsia="仿宋_GB2312" w:cs="Times New Roman"/>
          <w:color w:val="auto"/>
          <w:sz w:val="32"/>
          <w:szCs w:val="32"/>
          <w:highlight w:val="none"/>
          <w:u w:val="none"/>
          <w:lang w:val="en-US" w:eastAsia="zh-CN"/>
        </w:rPr>
        <w:t>鹤乡，</w:t>
      </w:r>
      <w:r>
        <w:rPr>
          <w:rFonts w:hint="eastAsia" w:ascii="Times New Roman" w:hAnsi="Times New Roman" w:eastAsia="仿宋_GB2312" w:cs="Times New Roman"/>
          <w:color w:val="auto"/>
          <w:sz w:val="32"/>
          <w:szCs w:val="32"/>
          <w:highlight w:val="none"/>
          <w:u w:val="none"/>
          <w:lang w:val="en-US" w:eastAsia="zh-CN"/>
        </w:rPr>
        <w:t>生态</w:t>
      </w:r>
      <w:r>
        <w:rPr>
          <w:rFonts w:hint="default" w:ascii="Times New Roman" w:hAnsi="Times New Roman" w:eastAsia="仿宋_GB2312" w:cs="Times New Roman"/>
          <w:color w:val="auto"/>
          <w:sz w:val="32"/>
          <w:szCs w:val="32"/>
          <w:highlight w:val="none"/>
          <w:u w:val="none"/>
          <w:lang w:val="en-US" w:eastAsia="zh-CN"/>
        </w:rPr>
        <w:t>白城”核心品牌形象，依托G334文旅大通道融入长春现代化都市圈，深度开发嫩江湾生态游、湿地研学游、苏高血马文化体验等核心产品，推出“生态康养”“红色印迹”“草原风情”“非遗寻味”四大主题精品线路。培育冰雪运动、星空露营、主题市集等新业态，打造“白城礼物”旅游商品品牌，探索开发旅居康养主题产品，新增旅居康养床位1000张。力争到2030年，实现年接待国内游客突破3500万人次、国内旅游总收入突破350亿元。</w:t>
      </w:r>
    </w:p>
    <w:p w14:paraId="70C7D1BA">
      <w:pPr>
        <w:pStyle w:val="15"/>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baseline"/>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（三）发展体育休闲服务。</w:t>
      </w:r>
      <w:r>
        <w:rPr>
          <w:rFonts w:hint="default" w:ascii="Times New Roman" w:hAnsi="Times New Roman" w:eastAsia="仿宋_GB2312" w:cs="Times New Roman"/>
          <w:color w:val="auto"/>
          <w:sz w:val="32"/>
          <w:szCs w:val="32"/>
          <w:highlight w:val="none"/>
          <w:u w:val="none"/>
          <w:lang w:val="en-US" w:eastAsia="zh-CN"/>
        </w:rPr>
        <w:t>依托生态和冰雪资源优势，构建全龄</w:t>
      </w:r>
      <w:r>
        <w:rPr>
          <w:rFonts w:hint="eastAsia" w:ascii="Times New Roman" w:hAnsi="Times New Roman" w:eastAsia="仿宋_GB2312" w:cs="Times New Roman"/>
          <w:color w:val="auto"/>
          <w:sz w:val="32"/>
          <w:szCs w:val="32"/>
          <w:highlight w:val="none"/>
          <w:u w:val="none"/>
          <w:lang w:val="en-US" w:eastAsia="zh-CN"/>
        </w:rPr>
        <w:t>段</w:t>
      </w:r>
      <w:r>
        <w:rPr>
          <w:rFonts w:hint="default" w:ascii="Times New Roman" w:hAnsi="Times New Roman" w:eastAsia="仿宋_GB2312" w:cs="Times New Roman"/>
          <w:color w:val="auto"/>
          <w:sz w:val="32"/>
          <w:szCs w:val="32"/>
          <w:highlight w:val="none"/>
          <w:u w:val="none"/>
          <w:lang w:val="en-US" w:eastAsia="zh-CN"/>
        </w:rPr>
        <w:t>覆盖的体育</w:t>
      </w:r>
      <w:r>
        <w:rPr>
          <w:rFonts w:hint="eastAsia" w:ascii="Times New Roman" w:hAnsi="Times New Roman" w:eastAsia="仿宋_GB2312" w:cs="Times New Roman"/>
          <w:color w:val="auto"/>
          <w:sz w:val="32"/>
          <w:szCs w:val="32"/>
          <w:highlight w:val="none"/>
          <w:u w:val="none"/>
          <w:lang w:val="en-US" w:eastAsia="zh-CN"/>
        </w:rPr>
        <w:t>休闲</w:t>
      </w:r>
      <w:r>
        <w:rPr>
          <w:rFonts w:hint="default" w:ascii="Times New Roman" w:hAnsi="Times New Roman" w:eastAsia="仿宋_GB2312" w:cs="Times New Roman"/>
          <w:color w:val="auto"/>
          <w:sz w:val="32"/>
          <w:szCs w:val="32"/>
          <w:highlight w:val="none"/>
          <w:u w:val="none"/>
          <w:lang w:val="en-US" w:eastAsia="zh-CN"/>
        </w:rPr>
        <w:t>产品</w:t>
      </w:r>
      <w:r>
        <w:rPr>
          <w:rFonts w:hint="eastAsia" w:ascii="Times New Roman" w:hAnsi="Times New Roman" w:eastAsia="仿宋_GB2312" w:cs="Times New Roman"/>
          <w:color w:val="auto"/>
          <w:sz w:val="32"/>
          <w:szCs w:val="32"/>
          <w:highlight w:val="none"/>
          <w:u w:val="none"/>
          <w:lang w:val="en-US" w:eastAsia="zh-CN"/>
        </w:rPr>
        <w:t>供给</w:t>
      </w:r>
      <w:r>
        <w:rPr>
          <w:rFonts w:hint="default" w:ascii="Times New Roman" w:hAnsi="Times New Roman" w:eastAsia="仿宋_GB2312" w:cs="Times New Roman"/>
          <w:color w:val="auto"/>
          <w:sz w:val="32"/>
          <w:szCs w:val="32"/>
          <w:highlight w:val="none"/>
          <w:u w:val="none"/>
          <w:lang w:val="en-US" w:eastAsia="zh-CN"/>
        </w:rPr>
        <w:t>体系。</w:t>
      </w:r>
      <w:r>
        <w:rPr>
          <w:rFonts w:hint="eastAsia" w:ascii="Times New Roman" w:hAnsi="Times New Roman" w:eastAsia="仿宋_GB2312" w:cs="Times New Roman"/>
          <w:color w:val="auto"/>
          <w:sz w:val="32"/>
          <w:szCs w:val="32"/>
          <w:highlight w:val="none"/>
          <w:u w:val="none"/>
          <w:lang w:val="en-US" w:eastAsia="zh-CN"/>
        </w:rPr>
        <w:t>发挥教练员和优秀运动员专业优势，依托冰雪假期向青少年开展冰上运动科学训练，技能普及服务。</w:t>
      </w:r>
      <w:r>
        <w:rPr>
          <w:rFonts w:hint="default" w:ascii="Times New Roman" w:hAnsi="Times New Roman" w:eastAsia="仿宋_GB2312" w:cs="Times New Roman"/>
          <w:color w:val="auto"/>
          <w:sz w:val="32"/>
          <w:szCs w:val="32"/>
          <w:highlight w:val="none"/>
          <w:u w:val="none"/>
          <w:lang w:val="en-US" w:eastAsia="zh-CN"/>
        </w:rPr>
        <w:t>持续做强冰上龙舟赛、大众速滑赛、冰雪运动会等特色赛事，每年开展各级各类冰雪赛事活动不少于20项。积极承办省级以上赛事，开展“跟着赛事去旅行”</w:t>
      </w:r>
      <w:r>
        <w:rPr>
          <w:rFonts w:hint="eastAsia" w:ascii="Times New Roman" w:hAnsi="Times New Roman" w:eastAsia="仿宋_GB2312" w:cs="Times New Roman"/>
          <w:color w:val="auto"/>
          <w:sz w:val="32"/>
          <w:szCs w:val="32"/>
          <w:highlight w:val="none"/>
          <w:u w:val="none"/>
          <w:lang w:val="en-US" w:eastAsia="zh-CN"/>
        </w:rPr>
        <w:t>主题</w:t>
      </w:r>
      <w:r>
        <w:rPr>
          <w:rFonts w:hint="default" w:ascii="Times New Roman" w:hAnsi="Times New Roman" w:eastAsia="仿宋_GB2312" w:cs="Times New Roman"/>
          <w:color w:val="auto"/>
          <w:sz w:val="32"/>
          <w:szCs w:val="32"/>
          <w:highlight w:val="none"/>
          <w:u w:val="none"/>
          <w:lang w:val="en-US" w:eastAsia="zh-CN"/>
        </w:rPr>
        <w:t>活动，</w:t>
      </w:r>
      <w:r>
        <w:rPr>
          <w:rFonts w:hint="eastAsia" w:ascii="Times New Roman" w:hAnsi="Times New Roman" w:eastAsia="仿宋_GB2312" w:cs="Times New Roman"/>
          <w:color w:val="auto"/>
          <w:sz w:val="32"/>
          <w:szCs w:val="32"/>
          <w:highlight w:val="none"/>
          <w:u w:val="none"/>
          <w:lang w:val="en-US" w:eastAsia="zh-CN"/>
        </w:rPr>
        <w:t>放大赛事经济带动效应</w:t>
      </w:r>
      <w:r>
        <w:rPr>
          <w:rFonts w:hint="default" w:ascii="Times New Roman" w:hAnsi="Times New Roman" w:eastAsia="仿宋_GB2312" w:cs="Times New Roman"/>
          <w:color w:val="auto"/>
          <w:sz w:val="32"/>
          <w:szCs w:val="32"/>
          <w:highlight w:val="none"/>
          <w:u w:val="none"/>
          <w:lang w:val="en-US" w:eastAsia="zh-CN"/>
        </w:rPr>
        <w:t>。</w:t>
      </w:r>
    </w:p>
    <w:p w14:paraId="5F75093D">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楷体_GB2312" w:hAnsi="楷体_GB2312" w:eastAsia="楷体_GB2312" w:cs="楷体_GB2312"/>
          <w:b/>
          <w:bCs w:val="0"/>
          <w:color w:val="auto"/>
          <w:sz w:val="32"/>
          <w:szCs w:val="32"/>
          <w:highlight w:val="none"/>
          <w:u w:val="none"/>
          <w:lang w:val="en-US" w:eastAsia="zh-CN"/>
        </w:rPr>
      </w:pPr>
      <w:bookmarkStart w:id="9" w:name="_Toc1237824028"/>
      <w:r>
        <w:rPr>
          <w:rFonts w:hint="eastAsia" w:ascii="楷体_GB2312" w:hAnsi="楷体_GB2312" w:eastAsia="楷体_GB2312" w:cs="楷体_GB2312"/>
          <w:b/>
          <w:bCs w:val="0"/>
          <w:color w:val="auto"/>
          <w:sz w:val="32"/>
          <w:szCs w:val="32"/>
          <w:highlight w:val="none"/>
          <w:u w:val="none"/>
          <w:lang w:val="en-US" w:eastAsia="zh-CN"/>
        </w:rPr>
        <w:t>第二节 提高健康养老托育服务适配水平</w:t>
      </w:r>
      <w:bookmarkEnd w:id="9"/>
    </w:p>
    <w:p w14:paraId="22FDB506">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（一）提升卫生健康服务能力。</w:t>
      </w:r>
      <w:r>
        <w:rPr>
          <w:rFonts w:hint="eastAsia" w:ascii="Times New Roman" w:hAnsi="Times New Roman" w:eastAsia="仿宋_GB2312" w:cs="Times New Roman"/>
          <w:b w:val="0"/>
          <w:bCs w:val="0"/>
          <w:color w:val="auto"/>
          <w:sz w:val="32"/>
          <w:szCs w:val="40"/>
          <w:highlight w:val="none"/>
          <w:u w:val="none"/>
          <w:lang w:val="en-US" w:eastAsia="zh-CN"/>
        </w:rPr>
        <w:t>做强市级综合公立医院心、脑、肿瘤三大专科，打造专科诊疗高地。推进三级甲等中医医院创建，探索中医药融入残疾儿童康复模式，推广中医药适宜技术应用。提质家庭医生签约服务，常住人口签约服务覆盖率达到70%以上，各县（市）至少有一所县级公立医院提供心理门诊服务。</w:t>
      </w:r>
    </w:p>
    <w:p w14:paraId="6BE51E4A">
      <w:pPr>
        <w:pStyle w:val="15"/>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baseline"/>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（二）健全养老服务体系。</w:t>
      </w:r>
      <w:r>
        <w:rPr>
          <w:rFonts w:hint="default" w:ascii="Times New Roman" w:hAnsi="Times New Roman" w:eastAsia="仿宋_GB2312" w:cs="Times New Roman"/>
          <w:b w:val="0"/>
          <w:bCs w:val="0"/>
          <w:color w:val="auto"/>
          <w:kern w:val="2"/>
          <w:sz w:val="32"/>
          <w:szCs w:val="40"/>
          <w:highlight w:val="none"/>
          <w:u w:val="none"/>
          <w:lang w:val="en-US" w:eastAsia="zh-CN" w:bidi="ar-SA"/>
        </w:rPr>
        <w:t>构建县、乡、村三级养老服务网络，县级综合养老服务管理平台覆盖率不低于80%，乡镇（街道）区域养老服务中心建有率不低于60%、服务覆盖率不低于80%。探索农村互助式养老试点，实施困难老年人家庭适老化改造和中度以上失能老年人养老服务消费补贴。推广“公建民营”模式，持续建设社区居家养老服务中心，推动养老餐厅向“全龄友好”餐厅升级。支持中医医疗机构与养老机构合作开展健康服务，鼓励养老机构内设医疗机构或与医疗机构紧密合作。</w:t>
      </w:r>
    </w:p>
    <w:p w14:paraId="057A80F4">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仿宋_GB2312" w:hAnsi="仿宋_GB2312" w:eastAsia="仿宋_GB2312" w:cs="仿宋_GB2312"/>
          <w:b/>
          <w:bCs/>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（三）强化普惠托育供给。</w:t>
      </w:r>
      <w:r>
        <w:rPr>
          <w:rFonts w:hint="eastAsia" w:ascii="Times New Roman" w:hAnsi="Times New Roman" w:eastAsia="仿宋_GB2312" w:cs="Times New Roman"/>
          <w:b w:val="0"/>
          <w:bCs w:val="0"/>
          <w:color w:val="auto"/>
          <w:sz w:val="32"/>
          <w:szCs w:val="40"/>
          <w:highlight w:val="none"/>
          <w:u w:val="none"/>
          <w:lang w:val="en-US" w:eastAsia="zh-CN"/>
        </w:rPr>
        <w:t>推进市级托育服务中心建设，持续增加普惠性托育服务供给，3岁以下婴幼儿入托率提高5.5个百分点。发展托幼一体化，支持公办幼儿园利用现有空余学位或闲置校舍开设托班</w:t>
      </w:r>
      <w:r>
        <w:rPr>
          <w:rFonts w:ascii="Times New Roman" w:hAnsi="Times New Roman" w:eastAsia="仿宋_GB2312" w:cs="Times New Roman"/>
          <w:b w:val="0"/>
          <w:bCs w:val="0"/>
          <w:color w:val="auto"/>
          <w:sz w:val="32"/>
          <w:szCs w:val="40"/>
          <w:highlight w:val="none"/>
          <w:u w:val="none"/>
          <w:lang w:val="en-US" w:eastAsia="zh-CN"/>
        </w:rPr>
        <w:t>，</w:t>
      </w:r>
      <w:r>
        <w:rPr>
          <w:rFonts w:hint="eastAsia" w:ascii="Times New Roman" w:hAnsi="Times New Roman" w:eastAsia="仿宋_GB2312" w:cs="Times New Roman"/>
          <w:b w:val="0"/>
          <w:bCs w:val="0"/>
          <w:color w:val="auto"/>
          <w:sz w:val="32"/>
          <w:szCs w:val="40"/>
          <w:highlight w:val="none"/>
          <w:u w:val="none"/>
          <w:lang w:val="en-US" w:eastAsia="zh-CN"/>
        </w:rPr>
        <w:t>鼓励有条件的普惠性民办幼儿园开设托班</w:t>
      </w:r>
      <w:r>
        <w:rPr>
          <w:rFonts w:ascii="Times New Roman" w:hAnsi="Times New Roman" w:eastAsia="仿宋_GB2312" w:cs="Times New Roman"/>
          <w:b w:val="0"/>
          <w:bCs w:val="0"/>
          <w:color w:val="auto"/>
          <w:sz w:val="32"/>
          <w:szCs w:val="40"/>
          <w:highlight w:val="none"/>
          <w:u w:val="none"/>
          <w:lang w:val="en-US" w:eastAsia="zh-CN"/>
        </w:rPr>
        <w:t>，重点招收2</w:t>
      </w:r>
      <w:r>
        <w:rPr>
          <w:rFonts w:ascii="Times New Roman" w:hAnsi="Times New Roman" w:eastAsia="宋体" w:cs="Times New Roman"/>
          <w:b w:val="0"/>
          <w:bCs w:val="0"/>
          <w:color w:val="auto"/>
          <w:sz w:val="32"/>
          <w:szCs w:val="40"/>
          <w:highlight w:val="none"/>
          <w:u w:val="none"/>
          <w:lang w:val="en-US" w:eastAsia="zh-CN"/>
        </w:rPr>
        <w:t>～</w:t>
      </w:r>
      <w:r>
        <w:rPr>
          <w:rFonts w:ascii="Times New Roman" w:hAnsi="Times New Roman" w:eastAsia="仿宋_GB2312" w:cs="Times New Roman"/>
          <w:b w:val="0"/>
          <w:bCs w:val="0"/>
          <w:color w:val="auto"/>
          <w:sz w:val="32"/>
          <w:szCs w:val="40"/>
          <w:highlight w:val="none"/>
          <w:u w:val="none"/>
          <w:lang w:val="en-US" w:eastAsia="zh-CN"/>
        </w:rPr>
        <w:t>3岁婴幼儿</w:t>
      </w:r>
      <w:r>
        <w:rPr>
          <w:rFonts w:hint="eastAsia" w:ascii="Times New Roman" w:hAnsi="Times New Roman" w:eastAsia="仿宋_GB2312" w:cs="Times New Roman"/>
          <w:b w:val="0"/>
          <w:bCs w:val="0"/>
          <w:color w:val="auto"/>
          <w:sz w:val="32"/>
          <w:szCs w:val="40"/>
          <w:highlight w:val="none"/>
          <w:u w:val="none"/>
          <w:lang w:val="en-US" w:eastAsia="zh-CN"/>
        </w:rPr>
        <w:t>。</w:t>
      </w:r>
    </w:p>
    <w:p w14:paraId="53E1C791">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0" w:firstLineChars="0"/>
        <w:jc w:val="center"/>
        <w:textAlignment w:val="auto"/>
        <w:rPr>
          <w:rFonts w:hint="eastAsia" w:ascii="方正仿宋_GB2312" w:hAnsi="方正仿宋_GB2312" w:eastAsia="方正仿宋_GB2312" w:cs="方正仿宋_GB2312"/>
          <w:color w:val="auto"/>
          <w:sz w:val="32"/>
          <w:szCs w:val="32"/>
          <w:highlight w:val="none"/>
          <w:u w:val="none"/>
          <w:lang w:val="en-US" w:eastAsia="zh-CN"/>
        </w:rPr>
      </w:pPr>
      <w:bookmarkStart w:id="10" w:name="_Toc1792209634"/>
      <w:bookmarkStart w:id="11" w:name="_Toc14144"/>
      <w:r>
        <w:rPr>
          <w:rFonts w:hint="eastAsia" w:ascii="方正楷体_GB2312" w:hAnsi="方正楷体_GB2312" w:eastAsia="方正楷体_GB2312" w:cs="方正楷体_GB2312"/>
          <w:color w:val="auto"/>
          <w:sz w:val="32"/>
          <w:szCs w:val="32"/>
          <w:highlight w:val="none"/>
          <w:u w:val="none"/>
          <w:lang w:val="en-US" w:eastAsia="zh-CN"/>
        </w:rPr>
        <w:t>第三节 推动商贸服务业提质扩容</w:t>
      </w:r>
      <w:bookmarkEnd w:id="10"/>
      <w:bookmarkEnd w:id="11"/>
    </w:p>
    <w:p w14:paraId="2A5412EF">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仿宋_GB2312" w:hAnsi="仿宋_GB2312" w:eastAsia="仿宋_GB2312" w:cs="仿宋_GB2312"/>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（一）优化商业空间布局。</w:t>
      </w:r>
      <w:r>
        <w:rPr>
          <w:rFonts w:hint="eastAsia" w:ascii="仿宋_GB2312" w:hAnsi="仿宋_GB2312" w:eastAsia="仿宋_GB2312" w:cs="仿宋_GB2312"/>
          <w:b w:val="0"/>
          <w:bCs w:val="0"/>
          <w:color w:val="auto"/>
          <w:sz w:val="32"/>
          <w:szCs w:val="40"/>
          <w:highlight w:val="none"/>
          <w:u w:val="none"/>
          <w:lang w:val="en-US" w:eastAsia="zh-CN"/>
        </w:rPr>
        <w:t>立足城市内涵式发展，结合城市更新行动，构建以核心商圈为引领、特色商业街区为支撑、一刻钟便民生活圈为基础的城市商业体系。科学规划商业网点布局，避免重复建设和盲目发展。引导商业资源下沉乡镇，补齐便民零售、餐饮、家政等服务短板。</w:t>
      </w:r>
    </w:p>
    <w:p w14:paraId="011F6502">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仿宋_GB2312" w:hAnsi="仿宋_GB2312" w:eastAsia="仿宋_GB2312" w:cs="仿宋_GB2312"/>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（二）培育特色消费载体。</w:t>
      </w:r>
      <w:r>
        <w:rPr>
          <w:rFonts w:hint="default" w:ascii="Times New Roman" w:hAnsi="Times New Roman" w:eastAsia="仿宋_GB2312" w:cs="Times New Roman"/>
          <w:b w:val="0"/>
          <w:bCs w:val="0"/>
          <w:color w:val="auto"/>
          <w:sz w:val="32"/>
          <w:szCs w:val="40"/>
          <w:highlight w:val="none"/>
          <w:u w:val="none"/>
          <w:lang w:val="en-US" w:eastAsia="zh-CN"/>
        </w:rPr>
        <w:t>依托白城杂粮杂豆、</w:t>
      </w:r>
      <w:r>
        <w:rPr>
          <w:rFonts w:hint="eastAsia" w:ascii="Times New Roman" w:hAnsi="Times New Roman" w:eastAsia="仿宋_GB2312" w:cs="Times New Roman"/>
          <w:b w:val="0"/>
          <w:bCs w:val="0"/>
          <w:color w:val="auto"/>
          <w:sz w:val="32"/>
          <w:szCs w:val="40"/>
          <w:highlight w:val="none"/>
          <w:u w:val="none"/>
          <w:lang w:val="en-US" w:eastAsia="zh-CN"/>
        </w:rPr>
        <w:t>果蔬</w:t>
      </w:r>
      <w:r>
        <w:rPr>
          <w:rFonts w:hint="default" w:ascii="Times New Roman" w:hAnsi="Times New Roman" w:eastAsia="仿宋_GB2312" w:cs="Times New Roman"/>
          <w:b w:val="0"/>
          <w:bCs w:val="0"/>
          <w:color w:val="auto"/>
          <w:sz w:val="32"/>
          <w:szCs w:val="40"/>
          <w:highlight w:val="none"/>
          <w:u w:val="none"/>
          <w:lang w:val="en-US" w:eastAsia="zh-CN"/>
        </w:rPr>
        <w:t>、</w:t>
      </w:r>
      <w:r>
        <w:rPr>
          <w:rFonts w:hint="eastAsia" w:ascii="Times New Roman" w:hAnsi="Times New Roman" w:eastAsia="仿宋_GB2312" w:cs="Times New Roman"/>
          <w:b w:val="0"/>
          <w:bCs w:val="0"/>
          <w:color w:val="auto"/>
          <w:sz w:val="32"/>
          <w:szCs w:val="40"/>
          <w:highlight w:val="none"/>
          <w:u w:val="none"/>
          <w:lang w:val="en-US" w:eastAsia="zh-CN"/>
        </w:rPr>
        <w:t>畜产品</w:t>
      </w:r>
      <w:r>
        <w:rPr>
          <w:rFonts w:hint="default" w:ascii="Times New Roman" w:hAnsi="Times New Roman" w:eastAsia="仿宋_GB2312" w:cs="Times New Roman"/>
          <w:b w:val="0"/>
          <w:bCs w:val="0"/>
          <w:color w:val="auto"/>
          <w:sz w:val="32"/>
          <w:szCs w:val="40"/>
          <w:highlight w:val="none"/>
          <w:u w:val="none"/>
          <w:lang w:val="en-US" w:eastAsia="zh-CN"/>
        </w:rPr>
        <w:t>、水产品等优质农产品资源，培育专业批发市场，支持大型市场拓展电商、配送、供应链金融等现代服务功能。</w:t>
      </w:r>
      <w:r>
        <w:rPr>
          <w:rFonts w:hint="eastAsia" w:ascii="仿宋_GB2312" w:hAnsi="仿宋_GB2312" w:eastAsia="仿宋_GB2312" w:cs="仿宋_GB2312"/>
          <w:b w:val="0"/>
          <w:bCs w:val="0"/>
          <w:color w:val="auto"/>
          <w:sz w:val="32"/>
          <w:szCs w:val="40"/>
          <w:highlight w:val="none"/>
          <w:u w:val="none"/>
          <w:lang w:val="en-US" w:eastAsia="zh-CN"/>
        </w:rPr>
        <w:t>丰富火车头、中农等夜市消费场景，</w:t>
      </w:r>
      <w:r>
        <w:rPr>
          <w:rFonts w:hint="default" w:ascii="Times New Roman" w:hAnsi="Times New Roman" w:eastAsia="仿宋_GB2312" w:cs="Times New Roman"/>
          <w:b w:val="0"/>
          <w:bCs w:val="0"/>
          <w:color w:val="auto"/>
          <w:sz w:val="32"/>
          <w:szCs w:val="40"/>
          <w:highlight w:val="none"/>
          <w:u w:val="none"/>
          <w:lang w:val="en-US" w:eastAsia="zh-CN"/>
        </w:rPr>
        <w:t>支持鹤城文化旅游街、辽吉历史文化街区等特色商业街区创新发展，打造夜间消费集聚区，推动夜购、夜食、夜游、夜娱融合发展。</w:t>
      </w:r>
      <w:r>
        <w:rPr>
          <w:rFonts w:hint="eastAsia" w:ascii="仿宋_GB2312" w:hAnsi="仿宋_GB2312" w:eastAsia="仿宋_GB2312" w:cs="仿宋_GB2312"/>
          <w:b w:val="0"/>
          <w:bCs w:val="0"/>
          <w:color w:val="auto"/>
          <w:sz w:val="32"/>
          <w:szCs w:val="40"/>
          <w:highlight w:val="none"/>
          <w:u w:val="none"/>
          <w:lang w:val="en-US" w:eastAsia="zh-CN"/>
        </w:rPr>
        <w:t>推广三合路早市等成功模式，合理增设摊位，带动群众稳定就业。</w:t>
      </w:r>
      <w:r>
        <w:rPr>
          <w:rFonts w:hint="default" w:ascii="Times New Roman" w:hAnsi="Times New Roman" w:eastAsia="仿宋_GB2312" w:cs="Times New Roman"/>
          <w:b w:val="0"/>
          <w:bCs w:val="0"/>
          <w:color w:val="auto"/>
          <w:sz w:val="32"/>
          <w:szCs w:val="40"/>
          <w:highlight w:val="none"/>
          <w:u w:val="none"/>
          <w:lang w:val="en-US" w:eastAsia="zh-CN"/>
        </w:rPr>
        <w:t>强化</w:t>
      </w:r>
      <w:r>
        <w:rPr>
          <w:rFonts w:hint="eastAsia" w:ascii="Times New Roman" w:hAnsi="Times New Roman" w:eastAsia="仿宋_GB2312" w:cs="Times New Roman"/>
          <w:b w:val="0"/>
          <w:bCs w:val="0"/>
          <w:color w:val="auto"/>
          <w:sz w:val="32"/>
          <w:szCs w:val="40"/>
          <w:highlight w:val="none"/>
          <w:u w:val="none"/>
          <w:lang w:val="en-US" w:eastAsia="zh-CN"/>
        </w:rPr>
        <w:t>消费</w:t>
      </w:r>
      <w:r>
        <w:rPr>
          <w:rFonts w:hint="default" w:ascii="Times New Roman" w:hAnsi="Times New Roman" w:eastAsia="仿宋_GB2312" w:cs="Times New Roman"/>
          <w:b w:val="0"/>
          <w:bCs w:val="0"/>
          <w:color w:val="auto"/>
          <w:sz w:val="32"/>
          <w:szCs w:val="40"/>
          <w:highlight w:val="none"/>
          <w:u w:val="none"/>
          <w:lang w:val="en-US" w:eastAsia="zh-CN"/>
        </w:rPr>
        <w:t>品牌培育推广</w:t>
      </w:r>
      <w:r>
        <w:rPr>
          <w:rFonts w:hint="eastAsia" w:ascii="Times New Roman" w:hAnsi="Times New Roman" w:eastAsia="仿宋_GB2312" w:cs="Times New Roman"/>
          <w:b w:val="0"/>
          <w:bCs w:val="0"/>
          <w:color w:val="auto"/>
          <w:sz w:val="32"/>
          <w:szCs w:val="40"/>
          <w:highlight w:val="none"/>
          <w:u w:val="none"/>
          <w:lang w:val="en-US" w:eastAsia="zh-CN"/>
        </w:rPr>
        <w:t>，持续</w:t>
      </w:r>
      <w:r>
        <w:rPr>
          <w:rFonts w:hint="default" w:ascii="Times New Roman" w:hAnsi="Times New Roman" w:eastAsia="仿宋_GB2312" w:cs="Times New Roman"/>
          <w:b w:val="0"/>
          <w:bCs w:val="0"/>
          <w:color w:val="auto"/>
          <w:sz w:val="32"/>
          <w:szCs w:val="40"/>
          <w:highlight w:val="none"/>
          <w:u w:val="none"/>
          <w:lang w:val="en-US" w:eastAsia="zh-CN"/>
        </w:rPr>
        <w:t>开展“中华老字号”“吉林老字号”挖掘与培育</w:t>
      </w:r>
      <w:bookmarkStart w:id="24" w:name="_GoBack"/>
      <w:bookmarkEnd w:id="24"/>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打造“白城伴手礼”体系。推动“白城燕麦”“白城绿豆”等地理标志产品品牌化运营。弘扬特色美食品牌，培育老字号餐饮、非遗美食、地方名吃，支持本土餐饮企业连锁化发展，举办美食品鉴、技能培训等活动，培育名菜、名厨、名店</w:t>
      </w:r>
      <w:r>
        <w:rPr>
          <w:rFonts w:hint="eastAsia" w:ascii="Times New Roman" w:hAnsi="Times New Roman" w:eastAsia="仿宋_GB2312" w:cs="Times New Roman"/>
          <w:b w:val="0"/>
          <w:bCs w:val="0"/>
          <w:color w:val="auto"/>
          <w:sz w:val="32"/>
          <w:szCs w:val="40"/>
          <w:highlight w:val="none"/>
          <w:u w:val="none"/>
          <w:lang w:val="en-US" w:eastAsia="zh-CN"/>
        </w:rPr>
        <w:t>。</w:t>
      </w:r>
      <w:r>
        <w:rPr>
          <w:rFonts w:hint="eastAsia" w:ascii="仿宋_GB2312" w:hAnsi="仿宋_GB2312" w:eastAsia="仿宋_GB2312" w:cs="仿宋_GB2312"/>
          <w:b w:val="0"/>
          <w:bCs w:val="0"/>
          <w:color w:val="auto"/>
          <w:sz w:val="32"/>
          <w:szCs w:val="40"/>
          <w:highlight w:val="none"/>
          <w:u w:val="none"/>
          <w:lang w:val="en-US" w:eastAsia="zh-CN"/>
        </w:rPr>
        <w:t>积极引进域外头部品牌、连锁品牌进驻，支持国内外知名商贸、餐饮、零售品牌在白城设立首店、旗舰店。拓展外贸优品消费，促进内外贸渠道对接、品牌对接、标准对接。</w:t>
      </w:r>
    </w:p>
    <w:p w14:paraId="4E8C7290">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（三）发展数字消费新业态。</w:t>
      </w:r>
      <w:r>
        <w:rPr>
          <w:rFonts w:hint="default" w:ascii="Times New Roman" w:hAnsi="Times New Roman" w:eastAsia="仿宋_GB2312" w:cs="Times New Roman"/>
          <w:color w:val="auto"/>
          <w:sz w:val="32"/>
          <w:szCs w:val="32"/>
          <w:highlight w:val="none"/>
          <w:u w:val="none"/>
          <w:lang w:val="en-US" w:eastAsia="zh-CN"/>
        </w:rPr>
        <w:t>实施新电商提升行动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培育壮大“直播电商+”“社交电商+”等消费新模式新业态，鼓励企业开设线上旗舰店、入驻地方特色馆。推动传统商贸流通企业数字化转型，发展智慧商圈、智慧商场等智能消费新场景</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通过“平台下单+门店配送”“门店下单+即时配送”等模式，实现线上线下消费场景融合发展。</w:t>
      </w:r>
    </w:p>
    <w:p w14:paraId="3DDF5FC1">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（四）</w:t>
      </w:r>
      <w:r>
        <w:rPr>
          <w:rFonts w:hint="default" w:ascii="楷体_GB2312" w:hAnsi="楷体_GB2312" w:eastAsia="楷体_GB2312" w:cs="楷体_GB2312"/>
          <w:b w:val="0"/>
          <w:bCs w:val="0"/>
          <w:color w:val="auto"/>
          <w:kern w:val="2"/>
          <w:sz w:val="32"/>
          <w:szCs w:val="40"/>
          <w:highlight w:val="none"/>
          <w:u w:val="none"/>
          <w:lang w:val="en-US" w:eastAsia="zh-CN" w:bidi="ar-SA"/>
        </w:rPr>
        <w:t>培育家政服务品牌。</w:t>
      </w:r>
      <w:r>
        <w:rPr>
          <w:rFonts w:hint="default" w:ascii="Times New Roman" w:hAnsi="Times New Roman" w:eastAsia="仿宋_GB2312" w:cs="Times New Roman"/>
          <w:b w:val="0"/>
          <w:bCs w:val="0"/>
          <w:color w:val="auto"/>
          <w:sz w:val="32"/>
          <w:szCs w:val="40"/>
          <w:highlight w:val="none"/>
          <w:u w:val="none"/>
          <w:lang w:val="en-US" w:eastAsia="zh-CN"/>
        </w:rPr>
        <w:t>对标省级标准完善家政服务规范与诚信体系，引导家政企业品牌化、规模化发展，培育一批服务规范、信誉良好的家政服务品牌，积极申报省级家政服务示范项目，推动家政服务进社区，扩大优质家政服务供给。</w:t>
      </w:r>
    </w:p>
    <w:p w14:paraId="0BA03CA1">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楷体_GB2312" w:hAnsi="楷体_GB2312" w:eastAsia="楷体_GB2312" w:cs="楷体_GB2312"/>
          <w:b/>
          <w:bCs w:val="0"/>
          <w:color w:val="auto"/>
          <w:sz w:val="32"/>
          <w:szCs w:val="32"/>
          <w:highlight w:val="none"/>
          <w:u w:val="none"/>
          <w:lang w:val="en-US" w:eastAsia="zh-CN"/>
        </w:rPr>
      </w:pPr>
      <w:bookmarkStart w:id="12" w:name="_Toc1427109869"/>
      <w:r>
        <w:rPr>
          <w:rFonts w:hint="eastAsia" w:ascii="楷体_GB2312" w:hAnsi="楷体_GB2312" w:eastAsia="楷体_GB2312" w:cs="楷体_GB2312"/>
          <w:b/>
          <w:bCs w:val="0"/>
          <w:color w:val="auto"/>
          <w:sz w:val="32"/>
          <w:szCs w:val="32"/>
          <w:highlight w:val="none"/>
          <w:u w:val="none"/>
          <w:lang w:val="en-US" w:eastAsia="zh-CN"/>
        </w:rPr>
        <w:t>第四节 推动房地产业平稳健康发展</w:t>
      </w:r>
      <w:bookmarkEnd w:id="12"/>
    </w:p>
    <w:p w14:paraId="1BE21531">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（一）</w:t>
      </w:r>
      <w:r>
        <w:rPr>
          <w:rFonts w:hint="default" w:ascii="楷体_GB2312" w:hAnsi="楷体_GB2312" w:eastAsia="楷体_GB2312" w:cs="楷体_GB2312"/>
          <w:b w:val="0"/>
          <w:bCs w:val="0"/>
          <w:color w:val="auto"/>
          <w:kern w:val="2"/>
          <w:sz w:val="32"/>
          <w:szCs w:val="40"/>
          <w:highlight w:val="none"/>
          <w:u w:val="none"/>
          <w:lang w:val="en-US" w:eastAsia="zh-CN" w:bidi="ar-SA"/>
        </w:rPr>
        <w:t>优化住房供给体系</w:t>
      </w:r>
      <w:r>
        <w:rPr>
          <w:rFonts w:hint="eastAsia" w:ascii="楷体_GB2312" w:hAnsi="楷体_GB2312" w:eastAsia="楷体_GB2312" w:cs="楷体_GB2312"/>
          <w:b w:val="0"/>
          <w:bCs w:val="0"/>
          <w:color w:val="auto"/>
          <w:kern w:val="2"/>
          <w:sz w:val="32"/>
          <w:szCs w:val="40"/>
          <w:highlight w:val="none"/>
          <w:u w:val="none"/>
          <w:lang w:val="en-US" w:eastAsia="zh-CN" w:bidi="ar-SA"/>
        </w:rPr>
        <w:t>。</w:t>
      </w:r>
      <w:r>
        <w:rPr>
          <w:rFonts w:hint="default" w:ascii="Times New Roman" w:hAnsi="Times New Roman" w:eastAsia="仿宋_GB2312" w:cs="Times New Roman"/>
          <w:b w:val="0"/>
          <w:bCs w:val="0"/>
          <w:color w:val="auto"/>
          <w:sz w:val="32"/>
          <w:szCs w:val="40"/>
          <w:highlight w:val="none"/>
          <w:u w:val="none"/>
          <w:lang w:val="en-US" w:eastAsia="zh-CN"/>
        </w:rPr>
        <w:t>坚持“以人定房、以房定地、以房定钱”原则，紧密对接未来五年约16250套购房需求总量，动态调整供应节奏。增加保障性租赁住房、配售型保障性住房、公租房供给，满足年均约210套婚房需求、130套农民进城购房需求以及新市民刚性需求。有序盘活约310万平方米存量空置房。深化购租并举，培育规模化住房租赁企业，完善长租房政策与市场监管。</w:t>
      </w:r>
      <w:r>
        <w:rPr>
          <w:rFonts w:hint="eastAsia" w:ascii="Times New Roman" w:hAnsi="Times New Roman" w:eastAsia="仿宋_GB2312" w:cs="Times New Roman"/>
          <w:b w:val="0"/>
          <w:bCs w:val="0"/>
          <w:color w:val="auto"/>
          <w:sz w:val="32"/>
          <w:szCs w:val="40"/>
          <w:highlight w:val="none"/>
          <w:u w:val="none"/>
          <w:lang w:val="en-US" w:eastAsia="zh-CN"/>
        </w:rPr>
        <w:t>精准对接我市住房发展需求，优化公积金使用政策，重点保障职工刚性和合理改善型住房消费。</w:t>
      </w:r>
    </w:p>
    <w:p w14:paraId="47B4F1FD">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（二）推进“好房子”建设。</w:t>
      </w:r>
      <w:r>
        <w:rPr>
          <w:rFonts w:hint="default" w:ascii="Times New Roman" w:hAnsi="Times New Roman" w:eastAsia="仿宋_GB2312" w:cs="Times New Roman"/>
          <w:b w:val="0"/>
          <w:bCs w:val="0"/>
          <w:color w:val="auto"/>
          <w:sz w:val="32"/>
          <w:szCs w:val="40"/>
          <w:highlight w:val="none"/>
          <w:u w:val="none"/>
          <w:lang w:val="en-US" w:eastAsia="zh-CN"/>
        </w:rPr>
        <w:t>推动房地产业向“重质量”转型，建设5个安全、舒适、绿色、智慧的</w:t>
      </w:r>
      <w:r>
        <w:rPr>
          <w:rFonts w:hint="eastAsia" w:ascii="Times New Roman" w:hAnsi="Times New Roman" w:eastAsia="仿宋_GB2312" w:cs="Times New Roman"/>
          <w:b w:val="0"/>
          <w:bCs w:val="0"/>
          <w:color w:val="auto"/>
          <w:sz w:val="32"/>
          <w:szCs w:val="40"/>
          <w:highlight w:val="none"/>
          <w:u w:val="none"/>
          <w:lang w:val="en-US" w:eastAsia="zh-CN"/>
        </w:rPr>
        <w:t>省级</w:t>
      </w:r>
      <w:r>
        <w:rPr>
          <w:rFonts w:hint="default" w:ascii="Times New Roman" w:hAnsi="Times New Roman" w:eastAsia="仿宋_GB2312" w:cs="Times New Roman"/>
          <w:b w:val="0"/>
          <w:bCs w:val="0"/>
          <w:color w:val="auto"/>
          <w:sz w:val="32"/>
          <w:szCs w:val="40"/>
          <w:highlight w:val="none"/>
          <w:u w:val="none"/>
          <w:lang w:val="en-US" w:eastAsia="zh-CN"/>
        </w:rPr>
        <w:t>“好房子”示范项目。推广符合北方寒冷地区特点的被动式超低能耗建筑、装配式建造与绿色建材。推动住宅全龄友好、健康智能化升级。完善“15分钟生活圈”服务配套</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打造8个以上设施完备、服务完善的完</w:t>
      </w:r>
      <w:r>
        <w:rPr>
          <w:rFonts w:hint="eastAsia" w:ascii="Times New Roman" w:hAnsi="Times New Roman" w:eastAsia="仿宋_GB2312" w:cs="Times New Roman"/>
          <w:b w:val="0"/>
          <w:bCs w:val="0"/>
          <w:color w:val="auto"/>
          <w:sz w:val="32"/>
          <w:szCs w:val="40"/>
          <w:highlight w:val="none"/>
          <w:u w:val="none"/>
          <w:lang w:val="en-US" w:eastAsia="zh-CN"/>
        </w:rPr>
        <w:t>整</w:t>
      </w:r>
      <w:r>
        <w:rPr>
          <w:rFonts w:hint="default" w:ascii="Times New Roman" w:hAnsi="Times New Roman" w:eastAsia="仿宋_GB2312" w:cs="Times New Roman"/>
          <w:b w:val="0"/>
          <w:bCs w:val="0"/>
          <w:color w:val="auto"/>
          <w:sz w:val="32"/>
          <w:szCs w:val="40"/>
          <w:highlight w:val="none"/>
          <w:u w:val="none"/>
          <w:lang w:val="en-US" w:eastAsia="zh-CN"/>
        </w:rPr>
        <w:t>社区。实施物业服务质量提升行动，推进物业服务标准化、规范化。</w:t>
      </w:r>
    </w:p>
    <w:p w14:paraId="69BE6FCD">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（三）实施城市更新行动。</w:t>
      </w:r>
      <w:r>
        <w:rPr>
          <w:rFonts w:hint="default" w:ascii="Times New Roman" w:hAnsi="Times New Roman" w:eastAsia="仿宋_GB2312" w:cs="Times New Roman"/>
          <w:b w:val="0"/>
          <w:bCs w:val="0"/>
          <w:color w:val="auto"/>
          <w:sz w:val="32"/>
          <w:szCs w:val="40"/>
          <w:highlight w:val="none"/>
          <w:u w:val="none"/>
          <w:lang w:val="en-US" w:eastAsia="zh-CN"/>
        </w:rPr>
        <w:t>以“城市更新”“新城建”两个三年行动为牵引，推进2005年前建成的老旧小区改造，加快既有住宅电梯加装，同步推进城中村改造与危旧房屋排查整治。注重盘活低效用地和闲置房产，将存量资源转化为保障性住房、人才公寓等多层次供给，促进去库存与结构优化。</w:t>
      </w:r>
    </w:p>
    <w:p w14:paraId="265ED9DA">
      <w:pPr>
        <w:pStyle w:val="2"/>
        <w:keepNext/>
        <w:keepLines/>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ind w:left="0" w:leftChars="0"/>
        <w:jc w:val="center"/>
        <w:textAlignment w:val="auto"/>
        <w:rPr>
          <w:rFonts w:hint="default" w:ascii="Calibri" w:hAnsi="Calibri" w:eastAsia="黑体" w:cs="黑体"/>
          <w:b w:val="0"/>
          <w:color w:val="auto"/>
          <w:sz w:val="32"/>
          <w:highlight w:val="none"/>
          <w:u w:val="none"/>
          <w:lang w:val="en-US" w:eastAsia="zh-CN"/>
        </w:rPr>
      </w:pPr>
      <w:bookmarkStart w:id="13" w:name="_Toc37304687"/>
      <w:r>
        <w:rPr>
          <w:rFonts w:hint="eastAsia" w:ascii="Calibri" w:hAnsi="Calibri" w:eastAsia="黑体" w:cs="黑体"/>
          <w:b w:val="0"/>
          <w:color w:val="auto"/>
          <w:sz w:val="32"/>
          <w:highlight w:val="none"/>
          <w:u w:val="none"/>
          <w:lang w:val="en-US" w:eastAsia="zh-CN"/>
        </w:rPr>
        <w:t>第四章 加快发展生产性服务业</w:t>
      </w:r>
      <w:bookmarkEnd w:id="13"/>
    </w:p>
    <w:p w14:paraId="32D43DDC">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color w:val="auto"/>
          <w:kern w:val="2"/>
          <w:sz w:val="32"/>
          <w:szCs w:val="40"/>
          <w:highlight w:val="none"/>
          <w:u w:val="none"/>
          <w:lang w:val="en-US" w:eastAsia="zh-CN" w:bidi="ar-SA"/>
        </w:rPr>
      </w:pPr>
      <w:r>
        <w:rPr>
          <w:rFonts w:hint="eastAsia" w:ascii="Times New Roman" w:hAnsi="Times New Roman" w:eastAsia="仿宋_GB2312" w:cs="Times New Roman"/>
          <w:color w:val="auto"/>
          <w:kern w:val="2"/>
          <w:sz w:val="32"/>
          <w:szCs w:val="40"/>
          <w:highlight w:val="none"/>
          <w:u w:val="none"/>
          <w:lang w:val="en-US" w:eastAsia="zh-CN" w:bidi="ar-SA"/>
        </w:rPr>
        <w:t>聚焦全产业链升级需求，以专业化分工、社会化协同为导向，推动生产性服务业向价值链高端延伸，赋能</w:t>
      </w:r>
      <w:r>
        <w:rPr>
          <w:rFonts w:hint="eastAsia" w:ascii="Times New Roman" w:hAnsi="Times New Roman" w:eastAsia="仿宋_GB2312" w:cs="Times New Roman"/>
          <w:b w:val="0"/>
          <w:bCs w:val="0"/>
          <w:color w:val="auto"/>
          <w:sz w:val="32"/>
          <w:szCs w:val="40"/>
          <w:highlight w:val="none"/>
          <w:u w:val="none"/>
          <w:lang w:val="en-US" w:eastAsia="zh-CN"/>
        </w:rPr>
        <w:t>白城特色现代化产业体系发</w:t>
      </w:r>
      <w:r>
        <w:rPr>
          <w:rFonts w:hint="default" w:ascii="Times New Roman" w:hAnsi="Times New Roman" w:eastAsia="仿宋_GB2312" w:cs="Times New Roman"/>
          <w:b w:val="0"/>
          <w:bCs w:val="0"/>
          <w:color w:val="auto"/>
          <w:sz w:val="32"/>
          <w:szCs w:val="40"/>
          <w:highlight w:val="none"/>
          <w:u w:val="none"/>
          <w:lang w:val="en-US" w:eastAsia="zh-CN"/>
        </w:rPr>
        <w:t>展壮大</w:t>
      </w:r>
      <w:r>
        <w:rPr>
          <w:rFonts w:hint="eastAsia" w:ascii="Times New Roman" w:hAnsi="Times New Roman" w:eastAsia="仿宋_GB2312" w:cs="Times New Roman"/>
          <w:b w:val="0"/>
          <w:bCs w:val="0"/>
          <w:color w:val="auto"/>
          <w:sz w:val="32"/>
          <w:szCs w:val="40"/>
          <w:highlight w:val="none"/>
          <w:u w:val="none"/>
          <w:lang w:val="en-US" w:eastAsia="zh-CN"/>
        </w:rPr>
        <w:t>。</w:t>
      </w:r>
    </w:p>
    <w:p w14:paraId="46A68BA4">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eastAsia" w:ascii="楷体_GB2312" w:hAnsi="楷体_GB2312" w:eastAsia="楷体_GB2312" w:cs="楷体_GB2312"/>
          <w:color w:val="auto"/>
          <w:sz w:val="32"/>
          <w:szCs w:val="32"/>
          <w:highlight w:val="none"/>
          <w:u w:val="none"/>
          <w:lang w:val="en-US" w:eastAsia="zh-CN"/>
        </w:rPr>
      </w:pPr>
      <w:bookmarkStart w:id="14" w:name="_Toc2057348474"/>
      <w:r>
        <w:rPr>
          <w:rFonts w:hint="eastAsia" w:ascii="楷体_GB2312" w:hAnsi="楷体_GB2312" w:eastAsia="楷体_GB2312" w:cs="楷体_GB2312"/>
          <w:color w:val="auto"/>
          <w:sz w:val="32"/>
          <w:szCs w:val="32"/>
          <w:highlight w:val="none"/>
          <w:u w:val="none"/>
          <w:lang w:val="en-US" w:eastAsia="zh-CN"/>
        </w:rPr>
        <w:t>第一节 增强交通物流综合竞争力</w:t>
      </w:r>
      <w:bookmarkEnd w:id="14"/>
    </w:p>
    <w:p w14:paraId="36A86E87">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（一）完善综合立体交通网络。</w:t>
      </w:r>
      <w:r>
        <w:rPr>
          <w:rFonts w:hint="default" w:ascii="Times New Roman" w:hAnsi="Times New Roman" w:eastAsia="仿宋_GB2312" w:cs="Times New Roman"/>
          <w:b w:val="0"/>
          <w:bCs w:val="0"/>
          <w:color w:val="auto"/>
          <w:sz w:val="32"/>
          <w:szCs w:val="40"/>
          <w:highlight w:val="none"/>
          <w:u w:val="none"/>
          <w:lang w:val="en-US" w:eastAsia="zh-CN"/>
        </w:rPr>
        <w:t>优化铁路通道布局，</w:t>
      </w:r>
      <w:r>
        <w:rPr>
          <w:rFonts w:hint="eastAsia" w:ascii="Times New Roman" w:hAnsi="Times New Roman" w:eastAsia="仿宋_GB2312" w:cs="Times New Roman"/>
          <w:b w:val="0"/>
          <w:bCs w:val="0"/>
          <w:color w:val="auto"/>
          <w:sz w:val="32"/>
          <w:szCs w:val="40"/>
          <w:highlight w:val="none"/>
          <w:u w:val="none"/>
          <w:lang w:val="en-US" w:eastAsia="zh-CN"/>
        </w:rPr>
        <w:t>推进洮北保供煤电、松辽清洁能源基地配套等铁路专用线建设，打通大宗货物进厂“最后一公里”。围绕风光能源、装备制造、农产品加工、绿色液体燃料等产业集群，</w:t>
      </w:r>
      <w:r>
        <w:rPr>
          <w:rFonts w:hint="default" w:ascii="Times New Roman" w:hAnsi="Times New Roman" w:eastAsia="仿宋_GB2312" w:cs="Times New Roman"/>
          <w:b w:val="0"/>
          <w:bCs w:val="0"/>
          <w:color w:val="auto"/>
          <w:sz w:val="32"/>
          <w:szCs w:val="40"/>
          <w:highlight w:val="none"/>
          <w:u w:val="none"/>
          <w:lang w:val="en-US" w:eastAsia="zh-CN"/>
        </w:rPr>
        <w:t>推动国省干线公路提档升级。推进农村公路改造提升，</w:t>
      </w:r>
      <w:r>
        <w:rPr>
          <w:rFonts w:hint="eastAsia" w:ascii="Times New Roman" w:hAnsi="Times New Roman" w:eastAsia="仿宋_GB2312" w:cs="Times New Roman"/>
          <w:b w:val="0"/>
          <w:bCs w:val="0"/>
          <w:color w:val="auto"/>
          <w:sz w:val="32"/>
          <w:szCs w:val="40"/>
          <w:highlight w:val="none"/>
          <w:u w:val="none"/>
          <w:lang w:val="en-US" w:eastAsia="zh-CN"/>
        </w:rPr>
        <w:t>畅通城乡物流微循环。研究推进大安港改扩建和嫩江大安段航道提升，谋划长安机场改扩建，拓展水运航空货运功能。</w:t>
      </w:r>
    </w:p>
    <w:p w14:paraId="3ABBB25D">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（二）推动物流与产业融合发展。</w:t>
      </w:r>
      <w:r>
        <w:rPr>
          <w:rFonts w:hint="eastAsia" w:ascii="Times New Roman" w:hAnsi="Times New Roman" w:eastAsia="仿宋_GB2312" w:cs="Times New Roman"/>
          <w:b w:val="0"/>
          <w:bCs w:val="0"/>
          <w:color w:val="auto"/>
          <w:sz w:val="32"/>
          <w:szCs w:val="40"/>
          <w:highlight w:val="none"/>
          <w:u w:val="none"/>
          <w:lang w:val="en-US" w:eastAsia="zh-CN"/>
        </w:rPr>
        <w:t>推动制造业企业与第三方物流、快递企业密切合作，提高物流服务整体外包比例。依托铁路和高速路网打造区域性粮食物流节点，推广散粮运输和铁路散粮专列。鼓励冷链企业更新新能源冷藏车，推动冷链物流智慧化改造。整合周边中小型煤源企业货源，引导煤炭通过公路短驳至白城北站后集中装箱铁路运输，促进“散改集+公铁联运”全链条煤炭物流发展。</w:t>
      </w:r>
    </w:p>
    <w:p w14:paraId="4718679D">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仿宋_GB2312" w:hAnsi="仿宋_GB2312" w:eastAsia="仿宋_GB2312" w:cs="仿宋_GB2312"/>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（三）探索发展低空物流。</w:t>
      </w:r>
      <w:r>
        <w:rPr>
          <w:rFonts w:hint="default" w:ascii="Times New Roman" w:hAnsi="Times New Roman" w:eastAsia="仿宋_GB2312" w:cs="Times New Roman"/>
          <w:b w:val="0"/>
          <w:bCs w:val="0"/>
          <w:color w:val="auto"/>
          <w:sz w:val="32"/>
          <w:szCs w:val="40"/>
          <w:highlight w:val="none"/>
          <w:u w:val="none"/>
          <w:lang w:val="en-US" w:eastAsia="zh-CN"/>
        </w:rPr>
        <w:t>完善低空通讯基础设施，推动5G-A、北斗卫星等多技术融合应用。探索在远郊、农村区域开展生鲜蔬菜、电商快递等无人机点对点配送</w:t>
      </w:r>
      <w:r>
        <w:rPr>
          <w:rFonts w:hint="eastAsia" w:ascii="Times New Roman" w:hAnsi="Times New Roman" w:eastAsia="仿宋_GB2312" w:cs="Times New Roman"/>
          <w:b w:val="0"/>
          <w:bCs w:val="0"/>
          <w:color w:val="auto"/>
          <w:sz w:val="32"/>
          <w:szCs w:val="40"/>
          <w:highlight w:val="none"/>
          <w:u w:val="none"/>
          <w:lang w:val="en-US" w:eastAsia="zh-CN"/>
        </w:rPr>
        <w:t>，</w:t>
      </w:r>
      <w:r>
        <w:rPr>
          <w:rFonts w:hint="eastAsia" w:ascii="仿宋_GB2312" w:hAnsi="仿宋_GB2312" w:eastAsia="仿宋_GB2312" w:cs="仿宋_GB2312"/>
          <w:b w:val="0"/>
          <w:bCs w:val="0"/>
          <w:color w:val="auto"/>
          <w:sz w:val="32"/>
          <w:szCs w:val="40"/>
          <w:highlight w:val="none"/>
          <w:u w:val="none"/>
          <w:lang w:val="en-US" w:eastAsia="zh-CN"/>
        </w:rPr>
        <w:t>解决“最后一公里”难题。推动“现代农业+低空经济”应用示范，鼓励家庭农场、合作社利用无人机拓展运苗、农械转运等场景，降低农业生产运输成本。</w:t>
      </w:r>
      <w:bookmarkStart w:id="15" w:name="_Toc842913360"/>
    </w:p>
    <w:p w14:paraId="217A6199">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仿宋_GB2312" w:hAnsi="仿宋_GB2312" w:eastAsia="仿宋_GB2312" w:cs="仿宋_GB2312"/>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（四）</w:t>
      </w:r>
      <w:r>
        <w:rPr>
          <w:rFonts w:hint="default" w:ascii="楷体_GB2312" w:hAnsi="楷体_GB2312" w:eastAsia="楷体_GB2312" w:cs="楷体_GB2312"/>
          <w:b w:val="0"/>
          <w:bCs w:val="0"/>
          <w:color w:val="auto"/>
          <w:kern w:val="2"/>
          <w:sz w:val="32"/>
          <w:szCs w:val="40"/>
          <w:highlight w:val="none"/>
          <w:u w:val="none"/>
          <w:lang w:val="en-US" w:eastAsia="zh-CN" w:bidi="ar-SA"/>
        </w:rPr>
        <w:t>培育壮大汽车后市场服务</w:t>
      </w:r>
      <w:bookmarkEnd w:id="15"/>
      <w:r>
        <w:rPr>
          <w:rFonts w:hint="eastAsia" w:ascii="楷体_GB2312" w:hAnsi="楷体_GB2312" w:eastAsia="楷体_GB2312" w:cs="楷体_GB2312"/>
          <w:b w:val="0"/>
          <w:bCs w:val="0"/>
          <w:color w:val="auto"/>
          <w:kern w:val="2"/>
          <w:sz w:val="32"/>
          <w:szCs w:val="40"/>
          <w:highlight w:val="none"/>
          <w:u w:val="none"/>
          <w:lang w:val="en-US" w:eastAsia="zh-CN" w:bidi="ar-SA"/>
        </w:rPr>
        <w:t>。</w:t>
      </w:r>
      <w:r>
        <w:rPr>
          <w:rFonts w:hint="default" w:ascii="Times New Roman" w:hAnsi="Times New Roman" w:eastAsia="仿宋_GB2312" w:cs="Times New Roman"/>
          <w:color w:val="auto"/>
          <w:kern w:val="2"/>
          <w:sz w:val="32"/>
          <w:szCs w:val="40"/>
          <w:highlight w:val="none"/>
          <w:u w:val="none"/>
          <w:lang w:val="en-US" w:eastAsia="zh-CN" w:bidi="ar-SA"/>
        </w:rPr>
        <w:t>构建多层次维修保养网络，中心城区实现维修服务15分钟可达，农村地区服务半径缩短至30公里以内</w:t>
      </w:r>
      <w:r>
        <w:rPr>
          <w:rFonts w:hint="eastAsia" w:ascii="Times New Roman" w:hAnsi="Times New Roman" w:eastAsia="仿宋_GB2312" w:cs="Times New Roman"/>
          <w:color w:val="auto"/>
          <w:kern w:val="2"/>
          <w:sz w:val="32"/>
          <w:szCs w:val="40"/>
          <w:highlight w:val="none"/>
          <w:u w:val="none"/>
          <w:lang w:val="en-US" w:eastAsia="zh-CN" w:bidi="ar-SA"/>
        </w:rPr>
        <w:t>。引导汽车维修向环保型、规范化、智能化维修转型，积极引进、培育新能源汽车维修企业</w:t>
      </w:r>
      <w:r>
        <w:rPr>
          <w:rFonts w:hint="default" w:ascii="Times New Roman" w:hAnsi="Times New Roman" w:eastAsia="仿宋_GB2312" w:cs="Times New Roman"/>
          <w:color w:val="auto"/>
          <w:kern w:val="2"/>
          <w:sz w:val="32"/>
          <w:szCs w:val="40"/>
          <w:highlight w:val="none"/>
          <w:u w:val="none"/>
          <w:lang w:val="en-US" w:eastAsia="zh-CN" w:bidi="ar-SA"/>
        </w:rPr>
        <w:t>。完善汽车租赁行业备案</w:t>
      </w:r>
      <w:r>
        <w:rPr>
          <w:rFonts w:hint="eastAsia" w:ascii="Times New Roman" w:hAnsi="Times New Roman" w:eastAsia="仿宋_GB2312" w:cs="Times New Roman"/>
          <w:color w:val="auto"/>
          <w:kern w:val="2"/>
          <w:sz w:val="32"/>
          <w:szCs w:val="40"/>
          <w:highlight w:val="none"/>
          <w:u w:val="none"/>
          <w:lang w:val="en-US" w:eastAsia="zh-CN" w:bidi="ar-SA"/>
        </w:rPr>
        <w:t>制度</w:t>
      </w:r>
      <w:r>
        <w:rPr>
          <w:rFonts w:hint="default" w:ascii="Times New Roman" w:hAnsi="Times New Roman" w:eastAsia="仿宋_GB2312" w:cs="Times New Roman"/>
          <w:color w:val="auto"/>
          <w:kern w:val="2"/>
          <w:sz w:val="32"/>
          <w:szCs w:val="40"/>
          <w:highlight w:val="none"/>
          <w:u w:val="none"/>
          <w:lang w:val="en-US" w:eastAsia="zh-CN" w:bidi="ar-SA"/>
        </w:rPr>
        <w:t>，加强租赁车辆安全和卫生管理。鼓励发展长短租结合、分时租赁、高端车租赁等多元业态，支持国内头部租赁企业设立区域分部，发展房车、越野车等特色租赁服务。</w:t>
      </w:r>
    </w:p>
    <w:p w14:paraId="6967C09F">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Times New Roman" w:hAnsi="Times New Roman" w:eastAsia="楷体_GB2312" w:cs="Times New Roman"/>
          <w:color w:val="auto"/>
          <w:sz w:val="32"/>
          <w:szCs w:val="32"/>
          <w:highlight w:val="none"/>
          <w:u w:val="none"/>
          <w:lang w:val="en-US" w:eastAsia="zh-CN"/>
        </w:rPr>
      </w:pPr>
      <w:bookmarkStart w:id="16" w:name="_Toc535262445"/>
      <w:r>
        <w:rPr>
          <w:rFonts w:hint="default" w:ascii="Times New Roman" w:hAnsi="Times New Roman" w:eastAsia="楷体_GB2312" w:cs="Times New Roman"/>
          <w:color w:val="auto"/>
          <w:sz w:val="32"/>
          <w:szCs w:val="32"/>
          <w:highlight w:val="none"/>
          <w:u w:val="none"/>
          <w:lang w:val="en-US" w:eastAsia="zh-CN"/>
        </w:rPr>
        <w:t>第</w:t>
      </w:r>
      <w:r>
        <w:rPr>
          <w:rFonts w:hint="eastAsia" w:ascii="Times New Roman" w:hAnsi="Times New Roman" w:eastAsia="楷体_GB2312" w:cs="Times New Roman"/>
          <w:color w:val="auto"/>
          <w:sz w:val="32"/>
          <w:szCs w:val="32"/>
          <w:highlight w:val="none"/>
          <w:u w:val="none"/>
          <w:lang w:val="en-US" w:eastAsia="zh-CN"/>
        </w:rPr>
        <w:t>二</w:t>
      </w:r>
      <w:r>
        <w:rPr>
          <w:rFonts w:hint="default" w:ascii="Times New Roman" w:hAnsi="Times New Roman" w:eastAsia="楷体_GB2312" w:cs="Times New Roman"/>
          <w:color w:val="auto"/>
          <w:sz w:val="32"/>
          <w:szCs w:val="32"/>
          <w:highlight w:val="none"/>
          <w:u w:val="none"/>
          <w:lang w:val="en-US" w:eastAsia="zh-CN"/>
        </w:rPr>
        <w:t>节 提速发展信息服务</w:t>
      </w:r>
      <w:bookmarkEnd w:id="16"/>
    </w:p>
    <w:p w14:paraId="39B4FB0D">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（一）筑牢数字基础设施底座。</w:t>
      </w:r>
      <w:r>
        <w:rPr>
          <w:rFonts w:hint="default" w:ascii="Times New Roman" w:hAnsi="Times New Roman" w:eastAsia="仿宋_GB2312" w:cs="Times New Roman"/>
          <w:b w:val="0"/>
          <w:bCs w:val="0"/>
          <w:color w:val="auto"/>
          <w:sz w:val="32"/>
          <w:szCs w:val="40"/>
          <w:highlight w:val="none"/>
          <w:u w:val="none"/>
          <w:lang w:val="en-US" w:eastAsia="zh-CN"/>
        </w:rPr>
        <w:t>深入实施“信号升格”行动，在偏远行政村采用低频段覆盖模式，推动网络从广覆盖向深覆盖跃升。加快“双千兆”网络建设，提升城域网络毫秒级算力响应能力，构建与城市规划、产业发展深度融合的新一代信息通信基础设施体系。</w:t>
      </w:r>
    </w:p>
    <w:p w14:paraId="0B76613C">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Times New Roman" w:hAnsi="Times New Roman" w:eastAsia="仿宋_GB2312" w:cs="Times New Roman"/>
          <w:b/>
          <w:bCs/>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w:t>
      </w:r>
      <w:r>
        <w:rPr>
          <w:rFonts w:hint="default" w:ascii="楷体_GB2312" w:hAnsi="楷体_GB2312" w:eastAsia="楷体_GB2312" w:cs="楷体_GB2312"/>
          <w:b w:val="0"/>
          <w:bCs w:val="0"/>
          <w:color w:val="auto"/>
          <w:kern w:val="2"/>
          <w:sz w:val="32"/>
          <w:szCs w:val="40"/>
          <w:highlight w:val="none"/>
          <w:u w:val="none"/>
          <w:lang w:val="en-US" w:eastAsia="zh-CN" w:bidi="ar-SA"/>
        </w:rPr>
        <w:t>做强绿色算力支撑。</w:t>
      </w:r>
      <w:r>
        <w:rPr>
          <w:rFonts w:hint="default" w:ascii="Times New Roman" w:hAnsi="Times New Roman" w:eastAsia="仿宋_GB2312" w:cs="Times New Roman"/>
          <w:b w:val="0"/>
          <w:bCs/>
          <w:color w:val="auto"/>
          <w:sz w:val="32"/>
          <w:szCs w:val="40"/>
          <w:highlight w:val="none"/>
          <w:u w:val="none"/>
          <w:lang w:val="en-US" w:eastAsia="zh-CN"/>
        </w:rPr>
        <w:t>立足本地清洁能源优势，加快推进大安、洮北等智算项目建设，形成规模适度、布局合理、绿色集约的算力供</w:t>
      </w:r>
      <w:r>
        <w:rPr>
          <w:rFonts w:hint="default" w:ascii="Times New Roman" w:hAnsi="Times New Roman" w:eastAsia="仿宋_GB2312" w:cs="Times New Roman"/>
          <w:b w:val="0"/>
          <w:bCs w:val="0"/>
          <w:color w:val="auto"/>
          <w:sz w:val="32"/>
          <w:szCs w:val="40"/>
          <w:highlight w:val="none"/>
          <w:u w:val="none"/>
          <w:lang w:val="en-US" w:eastAsia="zh-CN"/>
        </w:rPr>
        <w:t>给体系，</w:t>
      </w:r>
      <w:r>
        <w:rPr>
          <w:rFonts w:hint="eastAsia" w:ascii="Times New Roman" w:hAnsi="Times New Roman" w:eastAsia="仿宋_GB2312" w:cs="Times New Roman"/>
          <w:b w:val="0"/>
          <w:bCs w:val="0"/>
          <w:color w:val="auto"/>
          <w:sz w:val="32"/>
          <w:szCs w:val="40"/>
          <w:highlight w:val="none"/>
          <w:u w:val="none"/>
          <w:lang w:val="en-US" w:eastAsia="zh-CN"/>
        </w:rPr>
        <w:t>到2030年，</w:t>
      </w:r>
      <w:r>
        <w:rPr>
          <w:rFonts w:hint="default" w:ascii="Times New Roman" w:hAnsi="Times New Roman" w:eastAsia="仿宋_GB2312" w:cs="Times New Roman"/>
          <w:b w:val="0"/>
          <w:bCs w:val="0"/>
          <w:color w:val="auto"/>
          <w:sz w:val="32"/>
          <w:szCs w:val="40"/>
          <w:highlight w:val="none"/>
          <w:u w:val="none"/>
          <w:lang w:val="en-US" w:eastAsia="zh-CN"/>
        </w:rPr>
        <w:t>总算力规模力争超过10000P。推动算力赋能制造业柔性生产、农业精准管理、城市智慧治理等场景，打造“绿电+算力+应用”产业生态。</w:t>
      </w:r>
    </w:p>
    <w:p w14:paraId="44C622CC">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Times New Roman" w:hAnsi="Times New Roman" w:eastAsia="楷体_GB2312" w:cs="Times New Roman"/>
          <w:color w:val="auto"/>
          <w:sz w:val="32"/>
          <w:szCs w:val="32"/>
          <w:highlight w:val="none"/>
          <w:u w:val="none"/>
          <w:lang w:val="en-US" w:eastAsia="zh-CN"/>
        </w:rPr>
      </w:pPr>
      <w:bookmarkStart w:id="17" w:name="_Toc2116379329"/>
      <w:r>
        <w:rPr>
          <w:rFonts w:hint="default" w:ascii="Times New Roman" w:hAnsi="Times New Roman" w:eastAsia="楷体_GB2312" w:cs="Times New Roman"/>
          <w:color w:val="auto"/>
          <w:sz w:val="32"/>
          <w:szCs w:val="32"/>
          <w:highlight w:val="none"/>
          <w:u w:val="none"/>
          <w:lang w:val="en-US" w:eastAsia="zh-CN"/>
        </w:rPr>
        <w:t>第</w:t>
      </w:r>
      <w:r>
        <w:rPr>
          <w:rFonts w:hint="eastAsia" w:ascii="Times New Roman" w:hAnsi="Times New Roman" w:eastAsia="楷体_GB2312" w:cs="Times New Roman"/>
          <w:color w:val="auto"/>
          <w:sz w:val="32"/>
          <w:szCs w:val="32"/>
          <w:highlight w:val="none"/>
          <w:u w:val="none"/>
          <w:lang w:val="en-US" w:eastAsia="zh-CN"/>
        </w:rPr>
        <w:t>三</w:t>
      </w:r>
      <w:r>
        <w:rPr>
          <w:rFonts w:hint="default" w:ascii="Times New Roman" w:hAnsi="Times New Roman" w:eastAsia="楷体_GB2312" w:cs="Times New Roman"/>
          <w:color w:val="auto"/>
          <w:sz w:val="32"/>
          <w:szCs w:val="32"/>
          <w:highlight w:val="none"/>
          <w:u w:val="none"/>
          <w:lang w:val="en-US" w:eastAsia="zh-CN"/>
        </w:rPr>
        <w:t>节 做优做强科技服务</w:t>
      </w:r>
      <w:bookmarkEnd w:id="17"/>
    </w:p>
    <w:p w14:paraId="59D4541F">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color w:val="auto"/>
          <w:kern w:val="2"/>
          <w:sz w:val="32"/>
          <w:szCs w:val="40"/>
          <w:highlight w:val="none"/>
          <w:u w:val="none"/>
          <w:lang w:val="en-US" w:eastAsia="zh-CN" w:bidi="ar-SA"/>
        </w:rPr>
      </w:pPr>
      <w:r>
        <w:rPr>
          <w:rFonts w:hint="eastAsia" w:ascii="楷体_GB2312" w:hAnsi="楷体_GB2312" w:eastAsia="楷体_GB2312" w:cs="楷体_GB2312"/>
          <w:b w:val="0"/>
          <w:bCs w:val="0"/>
          <w:color w:val="auto"/>
          <w:kern w:val="2"/>
          <w:sz w:val="32"/>
          <w:szCs w:val="40"/>
          <w:highlight w:val="none"/>
          <w:u w:val="none"/>
          <w:lang w:val="en-US" w:eastAsia="zh-CN" w:bidi="ar-SA"/>
        </w:rPr>
        <w:t>（一）赋能现代农业。</w:t>
      </w:r>
      <w:r>
        <w:rPr>
          <w:rFonts w:hint="default" w:ascii="Times New Roman" w:hAnsi="Times New Roman" w:eastAsia="仿宋_GB2312" w:cs="Times New Roman"/>
          <w:b w:val="0"/>
          <w:bCs w:val="0"/>
          <w:color w:val="auto"/>
          <w:sz w:val="32"/>
          <w:szCs w:val="40"/>
          <w:highlight w:val="none"/>
          <w:u w:val="none"/>
          <w:lang w:val="en-US" w:eastAsia="zh-CN"/>
        </w:rPr>
        <w:t>聚焦黑土地保护与盐碱地治理，依托中国科学院东北地理所大安国家野外台站，加强苏打盐碱地综合利用创新中心建设</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推广盐碱地治理、保护性耕作、秸秆还田、测土配方施肥、水肥一体化等技术集成应用。</w:t>
      </w:r>
      <w:r>
        <w:rPr>
          <w:rFonts w:hint="default" w:ascii="Times New Roman" w:hAnsi="Times New Roman" w:eastAsia="仿宋_GB2312" w:cs="Times New Roman"/>
          <w:color w:val="auto"/>
          <w:kern w:val="2"/>
          <w:sz w:val="32"/>
          <w:szCs w:val="40"/>
          <w:highlight w:val="none"/>
          <w:u w:val="none"/>
          <w:lang w:val="en-US" w:eastAsia="zh-CN" w:bidi="ar-SA"/>
        </w:rPr>
        <w:t>构建县、乡、村三级农事服务体系，培育壮大农业社会化服务主体，促进小农户与现代农业有机衔接，力争到2030年建成县级农事综合服务中心5个、乡级服务中心69个、村级服务站550个。推进数字农事平台建设，提升精准化服务能力。建设高标准粮食收储设施，到2030年全市粮食可利用仓容达600万吨。</w:t>
      </w:r>
    </w:p>
    <w:p w14:paraId="5C1543BA">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（二）服务畜牧业升级。</w:t>
      </w:r>
      <w:r>
        <w:rPr>
          <w:rFonts w:hint="default" w:ascii="Times New Roman" w:hAnsi="Times New Roman" w:eastAsia="仿宋_GB2312" w:cs="Times New Roman"/>
          <w:b w:val="0"/>
          <w:bCs w:val="0"/>
          <w:color w:val="auto"/>
          <w:sz w:val="32"/>
          <w:szCs w:val="40"/>
          <w:highlight w:val="none"/>
          <w:u w:val="none"/>
          <w:lang w:val="en-US" w:eastAsia="zh-CN"/>
        </w:rPr>
        <w:t>开展种公牛选育及冻精制备技术攻关，加快华西牛、安格斯牛等优质品种的种群扩繁，</w:t>
      </w:r>
      <w:r>
        <w:rPr>
          <w:rFonts w:hint="eastAsia" w:ascii="Times New Roman" w:hAnsi="Times New Roman" w:eastAsia="仿宋_GB2312" w:cs="Times New Roman"/>
          <w:b w:val="0"/>
          <w:bCs w:val="0"/>
          <w:color w:val="auto"/>
          <w:sz w:val="32"/>
          <w:szCs w:val="40"/>
          <w:highlight w:val="none"/>
          <w:u w:val="none"/>
          <w:lang w:val="en-US" w:eastAsia="zh-CN"/>
        </w:rPr>
        <w:t>加强</w:t>
      </w:r>
      <w:r>
        <w:rPr>
          <w:rFonts w:hint="default" w:ascii="Times New Roman" w:hAnsi="Times New Roman" w:eastAsia="仿宋_GB2312" w:cs="Times New Roman"/>
          <w:b w:val="0"/>
          <w:bCs w:val="0"/>
          <w:color w:val="auto"/>
          <w:sz w:val="32"/>
          <w:szCs w:val="40"/>
          <w:highlight w:val="none"/>
          <w:u w:val="none"/>
          <w:lang w:val="en-US" w:eastAsia="zh-CN"/>
        </w:rPr>
        <w:t>胚胎移植等先进繁殖技术示范推广。依托重离子束诱变、化学诱变等现代育种技术，积极创制羊草新种质，丰富饲草资源供给。</w:t>
      </w:r>
    </w:p>
    <w:p w14:paraId="4504A41E">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（三）支撑工业技术改造。</w:t>
      </w:r>
      <w:r>
        <w:rPr>
          <w:rFonts w:hint="default" w:ascii="Times New Roman" w:hAnsi="Times New Roman" w:eastAsia="仿宋_GB2312" w:cs="Times New Roman"/>
          <w:b w:val="0"/>
          <w:bCs w:val="0"/>
          <w:color w:val="auto"/>
          <w:sz w:val="32"/>
          <w:szCs w:val="40"/>
          <w:highlight w:val="none"/>
          <w:u w:val="none"/>
          <w:lang w:val="en-US" w:eastAsia="zh-CN"/>
        </w:rPr>
        <w:t>开展柠檬酸、锂电负极材料及稻米智慧系统等技术升级改造</w:t>
      </w:r>
      <w:r>
        <w:rPr>
          <w:rFonts w:hint="eastAsia" w:ascii="Times New Roman" w:hAnsi="Times New Roman" w:eastAsia="仿宋_GB2312" w:cs="Times New Roman"/>
          <w:b w:val="0"/>
          <w:bCs w:val="0"/>
          <w:color w:val="auto"/>
          <w:sz w:val="32"/>
          <w:szCs w:val="40"/>
          <w:highlight w:val="none"/>
          <w:u w:val="none"/>
          <w:lang w:val="en-US" w:eastAsia="zh-CN"/>
        </w:rPr>
        <w:t>，鼓励制造业企业建设工业设计中心</w:t>
      </w:r>
      <w:r>
        <w:rPr>
          <w:rFonts w:hint="default" w:ascii="Times New Roman" w:hAnsi="Times New Roman" w:eastAsia="仿宋_GB2312" w:cs="Times New Roman"/>
          <w:b w:val="0"/>
          <w:bCs w:val="0"/>
          <w:color w:val="auto"/>
          <w:sz w:val="32"/>
          <w:szCs w:val="40"/>
          <w:highlight w:val="none"/>
          <w:u w:val="none"/>
          <w:lang w:val="en-US" w:eastAsia="zh-CN"/>
        </w:rPr>
        <w:t>，攻关聚丙烯电缆、汽车关键零部件等核心技术。鼓励</w:t>
      </w:r>
      <w:r>
        <w:rPr>
          <w:rFonts w:hint="eastAsia" w:ascii="Times New Roman" w:hAnsi="Times New Roman" w:eastAsia="仿宋_GB2312" w:cs="Times New Roman"/>
          <w:b w:val="0"/>
          <w:bCs w:val="0"/>
          <w:color w:val="auto"/>
          <w:sz w:val="32"/>
          <w:szCs w:val="40"/>
          <w:highlight w:val="none"/>
          <w:u w:val="none"/>
          <w:lang w:val="en-US" w:eastAsia="zh-CN"/>
        </w:rPr>
        <w:t>能源</w:t>
      </w:r>
      <w:r>
        <w:rPr>
          <w:rFonts w:hint="default" w:ascii="Times New Roman" w:hAnsi="Times New Roman" w:eastAsia="仿宋_GB2312" w:cs="Times New Roman"/>
          <w:b w:val="0"/>
          <w:bCs w:val="0"/>
          <w:color w:val="auto"/>
          <w:sz w:val="32"/>
          <w:szCs w:val="40"/>
          <w:highlight w:val="none"/>
          <w:u w:val="none"/>
          <w:lang w:val="en-US" w:eastAsia="zh-CN"/>
        </w:rPr>
        <w:t>企业围绕富余绿电利用、新型储能、风电叶片、绿氢制备等开展研发</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通过“揭榜挂帅”突破关键材料与技术瓶颈，推动风光装备、电解槽及智能化运维等技术应用。</w:t>
      </w:r>
    </w:p>
    <w:p w14:paraId="3890684F">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eastAsia" w:ascii="仿宋_GB2312" w:hAnsi="仿宋_GB2312" w:eastAsia="仿宋_GB2312" w:cs="仿宋_GB2312"/>
          <w:b/>
          <w:bCs/>
          <w:color w:val="auto"/>
          <w:kern w:val="2"/>
          <w:sz w:val="32"/>
          <w:szCs w:val="40"/>
          <w:highlight w:val="none"/>
          <w:u w:val="none"/>
          <w:lang w:val="en-US" w:eastAsia="zh-CN" w:bidi="ar-SA"/>
        </w:rPr>
      </w:pPr>
      <w:r>
        <w:rPr>
          <w:rFonts w:hint="eastAsia" w:ascii="楷体_GB2312" w:hAnsi="楷体_GB2312" w:eastAsia="楷体_GB2312" w:cs="楷体_GB2312"/>
          <w:b w:val="0"/>
          <w:bCs w:val="0"/>
          <w:color w:val="auto"/>
          <w:kern w:val="2"/>
          <w:sz w:val="32"/>
          <w:szCs w:val="40"/>
          <w:highlight w:val="none"/>
          <w:u w:val="none"/>
          <w:lang w:val="en-US" w:eastAsia="zh-CN" w:bidi="ar-SA"/>
        </w:rPr>
        <w:t>（四）发展检验检测。</w:t>
      </w:r>
      <w:r>
        <w:rPr>
          <w:rFonts w:hint="eastAsia" w:ascii="仿宋_GB2312" w:hAnsi="仿宋_GB2312" w:eastAsia="仿宋_GB2312" w:cs="仿宋_GB2312"/>
          <w:b w:val="0"/>
          <w:bCs w:val="0"/>
          <w:color w:val="auto"/>
          <w:kern w:val="2"/>
          <w:sz w:val="32"/>
          <w:szCs w:val="40"/>
          <w:highlight w:val="none"/>
          <w:u w:val="none"/>
          <w:lang w:val="en-US" w:eastAsia="zh-CN" w:bidi="ar-SA"/>
        </w:rPr>
        <w:t>提升食品及工业产品检测和农产品质量评定能力，优化检测流程，提高设备设施利用率。依托白城市产品质量检验所等资源，搭建特色农产品检验检测体系，聚焦白城燕麦、绿豆等地理标志产品，优化检测流程、提升检测精度。</w:t>
      </w:r>
    </w:p>
    <w:p w14:paraId="33AC5081">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eastAsia" w:ascii="楷体_GB2312" w:hAnsi="楷体_GB2312" w:eastAsia="楷体_GB2312" w:cs="楷体_GB2312"/>
          <w:b w:val="0"/>
          <w:bCs w:val="0"/>
          <w:color w:val="auto"/>
          <w:kern w:val="2"/>
          <w:sz w:val="32"/>
          <w:szCs w:val="40"/>
          <w:highlight w:val="none"/>
          <w:u w:val="none"/>
          <w:lang w:val="en-US" w:eastAsia="zh-CN" w:bidi="ar-SA"/>
        </w:rPr>
        <w:t>（五）推进教育科技人才一体化发展。</w:t>
      </w:r>
      <w:r>
        <w:rPr>
          <w:rFonts w:hint="default" w:ascii="Times New Roman" w:hAnsi="Times New Roman" w:eastAsia="仿宋_GB2312" w:cs="Times New Roman"/>
          <w:b w:val="0"/>
          <w:bCs w:val="0"/>
          <w:color w:val="auto"/>
          <w:sz w:val="32"/>
          <w:szCs w:val="40"/>
          <w:highlight w:val="none"/>
          <w:u w:val="none"/>
          <w:lang w:val="en-US" w:eastAsia="zh-CN"/>
        </w:rPr>
        <w:t>加强概念验证与科技成果转化中试中心建设，梯度培育“科技型中小企业—高新技术企业—创新型领军企业”，全社会研发经费投入增长6%。深化产教融合，支持职业院校与企业共建产业学院，围绕新能源、现代农牧业、低空经济等方向开设订单班，推动校企人员双向流动。建设专业性人力资源市场，加强零工市场建设，提供规范可持续的基本就业公共服务。实施“技能照亮前程”行动，聚焦人工智能、先进制造、低空经济、康养照护等领域开展职业技能提升培训。打造“就”在白城“职”引未来留才引才品牌，做好企业人才服务保障。</w:t>
      </w:r>
    </w:p>
    <w:p w14:paraId="42620583">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r>
        <w:rPr>
          <w:rFonts w:hint="default" w:ascii="楷体_GB2312" w:hAnsi="楷体_GB2312" w:eastAsia="楷体_GB2312" w:cs="楷体_GB2312"/>
          <w:b w:val="0"/>
          <w:bCs w:val="0"/>
          <w:color w:val="auto"/>
          <w:kern w:val="2"/>
          <w:sz w:val="32"/>
          <w:szCs w:val="40"/>
          <w:highlight w:val="none"/>
          <w:u w:val="none"/>
          <w:lang w:val="en-US" w:eastAsia="zh-CN" w:bidi="ar-SA"/>
        </w:rPr>
        <w:t>（六）支撑绿色低碳发展。</w:t>
      </w:r>
      <w:r>
        <w:rPr>
          <w:rFonts w:hint="default" w:ascii="Times New Roman" w:hAnsi="Times New Roman" w:eastAsia="仿宋_GB2312" w:cs="Times New Roman"/>
          <w:b w:val="0"/>
          <w:bCs w:val="0"/>
          <w:color w:val="auto"/>
          <w:sz w:val="32"/>
          <w:szCs w:val="40"/>
          <w:highlight w:val="none"/>
          <w:u w:val="none"/>
          <w:lang w:val="en-US" w:eastAsia="zh-CN"/>
        </w:rPr>
        <w:t>严格落实生态环境准入制度，健全重大项目环评审批“绿色通道”。推进大安、洮南、镇赉、通榆4个省级零碳园区建设。培育回收、分拣、拆解资源化利用一体化服务龙头企业，推动再生资源回收体系建设，探索开发“互联网+回收”平台，提高回收便利性。健全农药包装废弃物回收体系，推动畜禽粪污收储运体系建设，农药包装废弃物回收率达到80%以上、处置率达100%，粪污资源化利用率稳定在85%以上。</w:t>
      </w:r>
    </w:p>
    <w:p w14:paraId="790BFB8D">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楷体_GB2312" w:hAnsi="楷体_GB2312" w:eastAsia="楷体_GB2312" w:cs="楷体_GB2312"/>
          <w:color w:val="auto"/>
          <w:sz w:val="32"/>
          <w:szCs w:val="32"/>
          <w:highlight w:val="none"/>
          <w:u w:val="none"/>
          <w:lang w:val="en-US" w:eastAsia="zh-CN"/>
        </w:rPr>
      </w:pPr>
      <w:bookmarkStart w:id="18" w:name="_Toc1819665509"/>
      <w:r>
        <w:rPr>
          <w:rFonts w:hint="eastAsia" w:ascii="楷体_GB2312" w:hAnsi="楷体_GB2312" w:eastAsia="楷体_GB2312" w:cs="楷体_GB2312"/>
          <w:color w:val="auto"/>
          <w:sz w:val="32"/>
          <w:szCs w:val="32"/>
          <w:highlight w:val="none"/>
          <w:u w:val="none"/>
          <w:lang w:val="en-US" w:eastAsia="zh-CN"/>
        </w:rPr>
        <w:t>第四节 提升金融服务实体经济能力</w:t>
      </w:r>
      <w:bookmarkEnd w:id="18"/>
    </w:p>
    <w:p w14:paraId="0D6587B0">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kern w:val="2"/>
          <w:sz w:val="32"/>
          <w:szCs w:val="40"/>
          <w:highlight w:val="none"/>
          <w:u w:val="none"/>
          <w:shd w:val="clear" w:color="auto" w:fill="auto"/>
          <w:lang w:val="en-US" w:eastAsia="zh-CN" w:bidi="ar-SA"/>
        </w:rPr>
      </w:pPr>
      <w:r>
        <w:rPr>
          <w:rFonts w:hint="eastAsia" w:ascii="楷体_GB2312" w:hAnsi="楷体_GB2312" w:eastAsia="楷体_GB2312" w:cs="楷体_GB2312"/>
          <w:b w:val="0"/>
          <w:bCs w:val="0"/>
          <w:color w:val="auto"/>
          <w:kern w:val="2"/>
          <w:sz w:val="32"/>
          <w:szCs w:val="40"/>
          <w:highlight w:val="none"/>
          <w:u w:val="none"/>
          <w:lang w:val="en-US" w:eastAsia="zh-CN" w:bidi="ar-SA"/>
        </w:rPr>
        <w:t>（一）优化金融服务供给。</w:t>
      </w:r>
      <w:r>
        <w:rPr>
          <w:rFonts w:hint="default" w:ascii="Times New Roman" w:hAnsi="Times New Roman" w:eastAsia="仿宋_GB2312" w:cs="Times New Roman"/>
          <w:b w:val="0"/>
          <w:bCs w:val="0"/>
          <w:color w:val="auto"/>
          <w:kern w:val="2"/>
          <w:sz w:val="32"/>
          <w:szCs w:val="40"/>
          <w:highlight w:val="none"/>
          <w:u w:val="none"/>
          <w:shd w:val="clear" w:color="auto" w:fill="auto"/>
          <w:lang w:val="en-US" w:eastAsia="zh-CN" w:bidi="ar-SA"/>
        </w:rPr>
        <w:t>扎实做好科技金融、绿色金融、普惠金融、养老金融、数字金融“五篇大文章”。用足用好科技创新和技术改造再贷款，强化对科技型中小企业金融支持，构建“科技—产业—金融”良性循环。围绕新能源产业融资需求，扩大绿色信贷投放，做实绿色项目融资对接。持续深化民营小微企业融资对接，推广“种植e贷”“种芯贷”等特色信贷产品。完善养老金融服务体系，推动养老经营主体信息共享，保障重点养老产业项目融资需求。加快银行业机构数字化转型，以数字技术赋能金融服务提质增效。</w:t>
      </w:r>
    </w:p>
    <w:p w14:paraId="53EC33EF">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firstLine="640" w:firstLineChars="200"/>
        <w:textAlignment w:val="auto"/>
        <w:rPr>
          <w:rFonts w:hint="default" w:ascii="Times New Roman" w:hAnsi="Times New Roman" w:eastAsia="仿宋_GB2312" w:cs="Times New Roman"/>
          <w:b w:val="0"/>
          <w:bCs w:val="0"/>
          <w:color w:val="auto"/>
          <w:kern w:val="2"/>
          <w:sz w:val="32"/>
          <w:szCs w:val="40"/>
          <w:highlight w:val="none"/>
          <w:u w:val="none"/>
          <w:lang w:val="en-US" w:eastAsia="zh-CN" w:bidi="ar-SA"/>
        </w:rPr>
      </w:pPr>
      <w:r>
        <w:rPr>
          <w:rFonts w:hint="eastAsia" w:ascii="楷体_GB2312" w:hAnsi="楷体_GB2312" w:eastAsia="楷体_GB2312" w:cs="楷体_GB2312"/>
          <w:b w:val="0"/>
          <w:bCs w:val="0"/>
          <w:color w:val="auto"/>
          <w:kern w:val="2"/>
          <w:sz w:val="32"/>
          <w:szCs w:val="40"/>
          <w:highlight w:val="none"/>
          <w:u w:val="none"/>
          <w:lang w:val="en-US" w:eastAsia="zh-CN" w:bidi="ar-SA"/>
        </w:rPr>
        <w:t>（二）强化保险保障功能。</w:t>
      </w:r>
      <w:r>
        <w:rPr>
          <w:rFonts w:hint="default" w:ascii="Times New Roman" w:hAnsi="Times New Roman" w:eastAsia="仿宋_GB2312" w:cs="Times New Roman"/>
          <w:b w:val="0"/>
          <w:bCs w:val="0"/>
          <w:color w:val="auto"/>
          <w:kern w:val="2"/>
          <w:sz w:val="32"/>
          <w:szCs w:val="40"/>
          <w:highlight w:val="none"/>
          <w:u w:val="none"/>
          <w:lang w:val="en-US" w:eastAsia="zh-CN" w:bidi="ar-SA"/>
        </w:rPr>
        <w:t>引导保险机构参与新能源产业全生命周期风险管理，对风电、光伏等项目开发专属保险产品。扩大农业保险覆盖面，创新“保险+期货”“保险+信贷”等模式，探索完全成本保险和收入保险试点。做好灵活就业人员、新就业形态劳动者等保险服务，推广“惠民保”等普惠型补充医疗保险，鼓励发展健康养老、意外伤害等民生保险产品。推动保险与银行、担保等金融工具协同联动，完善“政银保担”风险分担机制。</w:t>
      </w:r>
    </w:p>
    <w:p w14:paraId="1A9088A0">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ind w:left="0" w:leftChars="0"/>
        <w:jc w:val="center"/>
        <w:textAlignment w:val="auto"/>
        <w:rPr>
          <w:rFonts w:hint="default" w:ascii="Calibri" w:hAnsi="Calibri" w:eastAsia="黑体" w:cs="黑体"/>
          <w:b w:val="0"/>
          <w:color w:val="auto"/>
          <w:sz w:val="32"/>
          <w:highlight w:val="none"/>
          <w:u w:val="none"/>
          <w:lang w:val="en-US" w:eastAsia="zh-CN"/>
        </w:rPr>
      </w:pPr>
      <w:bookmarkStart w:id="19" w:name="_Toc1676681180"/>
      <w:r>
        <w:rPr>
          <w:rFonts w:hint="eastAsia" w:ascii="Calibri" w:hAnsi="Calibri" w:eastAsia="黑体" w:cs="黑体"/>
          <w:b w:val="0"/>
          <w:color w:val="auto"/>
          <w:sz w:val="32"/>
          <w:highlight w:val="none"/>
          <w:u w:val="none"/>
          <w:lang w:val="en-US" w:eastAsia="zh-CN"/>
        </w:rPr>
        <w:t>第五章 建设开放型服务市场体系</w:t>
      </w:r>
      <w:bookmarkEnd w:id="19"/>
    </w:p>
    <w:p w14:paraId="4DBAE4F0">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color w:val="auto"/>
          <w:sz w:val="32"/>
          <w:szCs w:val="40"/>
          <w:highlight w:val="none"/>
          <w:u w:val="none"/>
          <w:lang w:val="en-US" w:eastAsia="zh-CN"/>
        </w:rPr>
      </w:pPr>
      <w:r>
        <w:rPr>
          <w:rFonts w:hint="default" w:ascii="Times New Roman" w:hAnsi="Times New Roman" w:eastAsia="仿宋_GB2312" w:cs="Times New Roman"/>
          <w:color w:val="auto"/>
          <w:sz w:val="32"/>
          <w:szCs w:val="40"/>
          <w:highlight w:val="none"/>
          <w:u w:val="none"/>
          <w:lang w:val="en-US" w:eastAsia="zh-CN"/>
        </w:rPr>
        <w:t>以改革破难题、以开放促</w:t>
      </w:r>
      <w:r>
        <w:rPr>
          <w:rFonts w:hint="eastAsia" w:ascii="Times New Roman" w:hAnsi="Times New Roman" w:eastAsia="仿宋_GB2312" w:cs="Times New Roman"/>
          <w:color w:val="auto"/>
          <w:sz w:val="32"/>
          <w:szCs w:val="40"/>
          <w:highlight w:val="none"/>
          <w:u w:val="none"/>
          <w:lang w:val="en-US" w:eastAsia="zh-CN"/>
        </w:rPr>
        <w:t>发展</w:t>
      </w:r>
      <w:r>
        <w:rPr>
          <w:rFonts w:hint="default" w:ascii="Times New Roman" w:hAnsi="Times New Roman" w:eastAsia="仿宋_GB2312" w:cs="Times New Roman"/>
          <w:color w:val="auto"/>
          <w:sz w:val="32"/>
          <w:szCs w:val="40"/>
          <w:highlight w:val="none"/>
          <w:u w:val="none"/>
          <w:lang w:val="en-US" w:eastAsia="zh-CN"/>
        </w:rPr>
        <w:t>，坚持“放得活”又要“管得好”，着力清除制约服务业发展的体制机制障碍，优化营商环境，拓展开放合作新空间。</w:t>
      </w:r>
    </w:p>
    <w:p w14:paraId="589632A3">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楷体_GB2312" w:hAnsi="楷体_GB2312" w:eastAsia="楷体_GB2312" w:cs="楷体_GB2312"/>
          <w:color w:val="auto"/>
          <w:sz w:val="32"/>
          <w:szCs w:val="32"/>
          <w:highlight w:val="none"/>
          <w:u w:val="none"/>
          <w:lang w:val="en-US" w:eastAsia="zh-CN"/>
        </w:rPr>
      </w:pPr>
      <w:bookmarkStart w:id="20" w:name="_Toc1593492816"/>
      <w:r>
        <w:rPr>
          <w:rFonts w:hint="eastAsia" w:ascii="楷体_GB2312" w:hAnsi="楷体_GB2312" w:eastAsia="楷体_GB2312" w:cs="楷体_GB2312"/>
          <w:color w:val="auto"/>
          <w:sz w:val="32"/>
          <w:szCs w:val="32"/>
          <w:highlight w:val="none"/>
          <w:u w:val="none"/>
          <w:lang w:val="en-US" w:eastAsia="zh-CN"/>
        </w:rPr>
        <w:t>第一节 破除体制机制障碍</w:t>
      </w:r>
      <w:bookmarkEnd w:id="20"/>
    </w:p>
    <w:p w14:paraId="11B28593">
      <w:pPr>
        <w:pStyle w:val="15"/>
        <w:keepNext w:val="0"/>
        <w:keepLines w:val="0"/>
        <w:pageBreakBefore w:val="0"/>
        <w:widowControl w:val="0"/>
        <w:kinsoku/>
        <w:wordWrap/>
        <w:overflowPunct/>
        <w:topLinePunct w:val="0"/>
        <w:autoSpaceDE/>
        <w:autoSpaceDN/>
        <w:bidi w:val="0"/>
        <w:adjustRightInd/>
        <w:snapToGrid/>
        <w:ind w:left="0" w:leftChars="0"/>
        <w:textAlignment w:val="baseline"/>
        <w:rPr>
          <w:rFonts w:hint="default"/>
          <w:color w:val="auto"/>
          <w:highlight w:val="none"/>
          <w:u w:val="none"/>
          <w:lang w:val="en-US" w:eastAsia="zh-CN"/>
        </w:rPr>
      </w:pPr>
      <w:r>
        <w:rPr>
          <w:rFonts w:hint="default" w:ascii="Times New Roman" w:hAnsi="Times New Roman" w:eastAsia="仿宋_GB2312" w:cs="Times New Roman"/>
          <w:color w:val="auto"/>
          <w:sz w:val="32"/>
          <w:szCs w:val="40"/>
          <w:highlight w:val="none"/>
          <w:u w:val="none"/>
          <w:lang w:val="en-US" w:eastAsia="zh-CN"/>
        </w:rPr>
        <w:t>全面清理和废除妨碍统一市场和公平竞争的各种规定和做法，破除行政性垄断和地区封锁。围绕文化旅游、养老托育、家政服务、餐饮住宿等消费领域，系统排查并取消不合理的限购、限行、限入等管制措施。</w:t>
      </w:r>
    </w:p>
    <w:p w14:paraId="700938FC">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default" w:ascii="楷体_GB2312" w:hAnsi="楷体_GB2312" w:eastAsia="楷体_GB2312" w:cs="楷体_GB2312"/>
          <w:color w:val="auto"/>
          <w:sz w:val="32"/>
          <w:szCs w:val="32"/>
          <w:highlight w:val="none"/>
          <w:u w:val="none"/>
          <w:lang w:val="en-US" w:eastAsia="zh-CN"/>
        </w:rPr>
      </w:pPr>
      <w:bookmarkStart w:id="21" w:name="_Toc1868582665"/>
      <w:r>
        <w:rPr>
          <w:rFonts w:hint="eastAsia" w:ascii="楷体_GB2312" w:hAnsi="楷体_GB2312" w:eastAsia="楷体_GB2312" w:cs="楷体_GB2312"/>
          <w:color w:val="auto"/>
          <w:sz w:val="32"/>
          <w:szCs w:val="32"/>
          <w:highlight w:val="none"/>
          <w:u w:val="none"/>
          <w:lang w:val="en-US" w:eastAsia="zh-CN"/>
        </w:rPr>
        <w:t>第二节 优化</w:t>
      </w:r>
      <w:r>
        <w:rPr>
          <w:rFonts w:hint="default" w:ascii="楷体_GB2312" w:hAnsi="楷体_GB2312" w:eastAsia="楷体_GB2312" w:cs="楷体_GB2312"/>
          <w:color w:val="auto"/>
          <w:sz w:val="32"/>
          <w:szCs w:val="32"/>
          <w:highlight w:val="none"/>
          <w:u w:val="none"/>
          <w:lang w:val="en-US" w:eastAsia="zh-CN"/>
        </w:rPr>
        <w:t>营商环境</w:t>
      </w:r>
      <w:bookmarkEnd w:id="21"/>
    </w:p>
    <w:p w14:paraId="7780AE24">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color w:val="auto"/>
          <w:sz w:val="32"/>
          <w:szCs w:val="40"/>
          <w:highlight w:val="none"/>
          <w:u w:val="none"/>
          <w:lang w:val="en-US" w:eastAsia="zh-CN"/>
        </w:rPr>
      </w:pPr>
      <w:r>
        <w:rPr>
          <w:rFonts w:hint="default" w:ascii="Times New Roman" w:hAnsi="Times New Roman" w:eastAsia="仿宋_GB2312" w:cs="Times New Roman"/>
          <w:color w:val="auto"/>
          <w:sz w:val="32"/>
          <w:szCs w:val="40"/>
          <w:highlight w:val="none"/>
          <w:u w:val="none"/>
          <w:lang w:val="en-US" w:eastAsia="zh-CN"/>
        </w:rPr>
        <w:t>持续优化市场化、法治化、便利化营商环境，推动有效市场与有为政府更好结合。构建“亲清统一”政商协同机制，落实公平竞争审查</w:t>
      </w:r>
      <w:r>
        <w:rPr>
          <w:rFonts w:hint="eastAsia" w:ascii="Times New Roman" w:hAnsi="Times New Roman" w:eastAsia="仿宋_GB2312" w:cs="Times New Roman"/>
          <w:color w:val="auto"/>
          <w:sz w:val="32"/>
          <w:szCs w:val="40"/>
          <w:highlight w:val="none"/>
          <w:u w:val="none"/>
          <w:lang w:val="en-US" w:eastAsia="zh-CN"/>
        </w:rPr>
        <w:t>。</w:t>
      </w:r>
      <w:r>
        <w:rPr>
          <w:rFonts w:hint="default" w:ascii="Times New Roman" w:hAnsi="Times New Roman" w:eastAsia="仿宋_GB2312" w:cs="Times New Roman"/>
          <w:color w:val="auto"/>
          <w:sz w:val="32"/>
          <w:szCs w:val="40"/>
          <w:highlight w:val="none"/>
          <w:u w:val="none"/>
          <w:lang w:val="en-US" w:eastAsia="zh-CN"/>
        </w:rPr>
        <w:t>以“数字政府”驱动服务效能提升，深化“高效办成一件事”改革。强化政策精准直达、诉求“接诉即办”，深化信用应用与政务诚信建设，营造稳定、公平、透明、可预期的发展环境。</w:t>
      </w:r>
    </w:p>
    <w:p w14:paraId="7F4F0A5A">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jc w:val="center"/>
        <w:textAlignment w:val="auto"/>
        <w:rPr>
          <w:rFonts w:hint="eastAsia" w:ascii="楷体_GB2312" w:hAnsi="楷体_GB2312" w:eastAsia="楷体_GB2312" w:cs="楷体_GB2312"/>
          <w:color w:val="auto"/>
          <w:sz w:val="32"/>
          <w:szCs w:val="32"/>
          <w:highlight w:val="none"/>
          <w:u w:val="none"/>
          <w:lang w:val="en-US" w:eastAsia="zh-CN"/>
        </w:rPr>
      </w:pPr>
      <w:bookmarkStart w:id="22" w:name="_Toc364284795"/>
      <w:r>
        <w:rPr>
          <w:rFonts w:hint="eastAsia" w:ascii="楷体_GB2312" w:hAnsi="楷体_GB2312" w:eastAsia="楷体_GB2312" w:cs="楷体_GB2312"/>
          <w:color w:val="auto"/>
          <w:sz w:val="32"/>
          <w:szCs w:val="32"/>
          <w:highlight w:val="none"/>
          <w:u w:val="none"/>
          <w:lang w:val="en-US" w:eastAsia="zh-CN"/>
        </w:rPr>
        <w:t>第三节 深化对外开放合作</w:t>
      </w:r>
      <w:bookmarkEnd w:id="22"/>
    </w:p>
    <w:p w14:paraId="33E4BDCE">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ascii="Times New Roman" w:hAnsi="Times New Roman" w:eastAsia="仿宋_GB2312" w:cs="Times New Roman"/>
          <w:b w:val="0"/>
          <w:bCs w:val="0"/>
          <w:color w:val="auto"/>
          <w:sz w:val="32"/>
          <w:szCs w:val="40"/>
          <w:highlight w:val="none"/>
          <w:u w:val="none"/>
          <w:lang w:val="en-US" w:eastAsia="zh-CN"/>
        </w:rPr>
      </w:pPr>
      <w:bookmarkStart w:id="23" w:name="_Toc201816103"/>
      <w:r>
        <w:rPr>
          <w:rFonts w:hint="default" w:ascii="Times New Roman" w:hAnsi="Times New Roman" w:eastAsia="仿宋_GB2312" w:cs="Times New Roman"/>
          <w:b w:val="0"/>
          <w:bCs w:val="0"/>
          <w:color w:val="auto"/>
          <w:sz w:val="32"/>
          <w:szCs w:val="40"/>
          <w:highlight w:val="none"/>
          <w:u w:val="none"/>
          <w:lang w:val="en-US" w:eastAsia="zh-CN"/>
        </w:rPr>
        <w:t>发挥白城绿色</w:t>
      </w:r>
      <w:r>
        <w:rPr>
          <w:rFonts w:hint="eastAsia" w:ascii="Times New Roman" w:hAnsi="Times New Roman" w:eastAsia="仿宋_GB2312" w:cs="Times New Roman"/>
          <w:b w:val="0"/>
          <w:bCs w:val="0"/>
          <w:color w:val="auto"/>
          <w:sz w:val="32"/>
          <w:szCs w:val="40"/>
          <w:highlight w:val="none"/>
          <w:u w:val="none"/>
          <w:lang w:val="en-US" w:eastAsia="zh-CN"/>
        </w:rPr>
        <w:t>电</w:t>
      </w:r>
      <w:r>
        <w:rPr>
          <w:rFonts w:hint="default" w:ascii="Times New Roman" w:hAnsi="Times New Roman" w:eastAsia="仿宋_GB2312" w:cs="Times New Roman"/>
          <w:b w:val="0"/>
          <w:bCs w:val="0"/>
          <w:color w:val="auto"/>
          <w:sz w:val="32"/>
          <w:szCs w:val="40"/>
          <w:highlight w:val="none"/>
          <w:u w:val="none"/>
          <w:lang w:val="en-US" w:eastAsia="zh-CN"/>
        </w:rPr>
        <w:t>力优势，构建区域一体化算力网络体系。依托“吉电入京”及千万千瓦级新能源基地，深化央地协同，推动风电、光伏、储能运维服务本地化发展。推进与嘉兴、长春等跨区域医疗合作</w:t>
      </w:r>
      <w:r>
        <w:rPr>
          <w:rFonts w:hint="eastAsia" w:ascii="Times New Roman" w:hAnsi="Times New Roman" w:eastAsia="仿宋_GB2312" w:cs="Times New Roman"/>
          <w:b w:val="0"/>
          <w:bCs w:val="0"/>
          <w:color w:val="auto"/>
          <w:sz w:val="32"/>
          <w:szCs w:val="40"/>
          <w:highlight w:val="none"/>
          <w:u w:val="none"/>
          <w:lang w:val="en-US" w:eastAsia="zh-CN"/>
        </w:rPr>
        <w:t>、文旅交流</w:t>
      </w:r>
      <w:r>
        <w:rPr>
          <w:rFonts w:hint="default" w:ascii="Times New Roman" w:hAnsi="Times New Roman" w:eastAsia="仿宋_GB2312" w:cs="Times New Roman"/>
          <w:b w:val="0"/>
          <w:bCs w:val="0"/>
          <w:color w:val="auto"/>
          <w:sz w:val="32"/>
          <w:szCs w:val="40"/>
          <w:highlight w:val="none"/>
          <w:u w:val="none"/>
          <w:lang w:val="en-US" w:eastAsia="zh-CN"/>
        </w:rPr>
        <w:t>。</w:t>
      </w:r>
    </w:p>
    <w:p w14:paraId="13293CEC">
      <w:pPr>
        <w:pStyle w:val="2"/>
        <w:pageBreakBefore w:val="0"/>
        <w:widowControl w:val="0"/>
        <w:kinsoku/>
        <w:wordWrap/>
        <w:overflowPunct/>
        <w:topLinePunct w:val="0"/>
        <w:autoSpaceDE/>
        <w:autoSpaceDN/>
        <w:bidi w:val="0"/>
        <w:adjustRightInd/>
        <w:snapToGrid/>
        <w:spacing w:before="157" w:beforeLines="50" w:beforeAutospacing="0" w:after="157" w:afterLines="50" w:afterAutospacing="0" w:line="578" w:lineRule="exact"/>
        <w:ind w:left="0" w:leftChars="0"/>
        <w:jc w:val="center"/>
        <w:textAlignment w:val="auto"/>
        <w:rPr>
          <w:rFonts w:hint="default" w:ascii="Calibri" w:hAnsi="Calibri" w:eastAsia="黑体" w:cs="黑体"/>
          <w:b w:val="0"/>
          <w:color w:val="auto"/>
          <w:sz w:val="32"/>
          <w:highlight w:val="none"/>
          <w:u w:val="none"/>
          <w:lang w:val="en-US" w:eastAsia="zh-CN"/>
        </w:rPr>
      </w:pPr>
      <w:r>
        <w:rPr>
          <w:rFonts w:hint="eastAsia" w:ascii="Calibri" w:hAnsi="Calibri" w:eastAsia="黑体" w:cs="黑体"/>
          <w:b w:val="0"/>
          <w:color w:val="auto"/>
          <w:sz w:val="32"/>
          <w:highlight w:val="none"/>
          <w:u w:val="none"/>
          <w:lang w:val="en-US" w:eastAsia="zh-CN"/>
        </w:rPr>
        <w:t xml:space="preserve">第六章 </w:t>
      </w:r>
      <w:r>
        <w:rPr>
          <w:rFonts w:hint="default" w:ascii="Calibri" w:hAnsi="Calibri" w:eastAsia="黑体" w:cs="黑体"/>
          <w:b w:val="0"/>
          <w:color w:val="auto"/>
          <w:sz w:val="32"/>
          <w:highlight w:val="none"/>
          <w:u w:val="none"/>
          <w:lang w:val="en-US" w:eastAsia="zh-CN"/>
        </w:rPr>
        <w:t>保障措施</w:t>
      </w:r>
      <w:bookmarkEnd w:id="23"/>
    </w:p>
    <w:p w14:paraId="6A8EB404">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left="0" w:leftChars="0" w:firstLine="640" w:firstLineChars="200"/>
        <w:textAlignment w:val="auto"/>
        <w:rPr>
          <w:rFonts w:hint="default"/>
          <w:color w:val="auto"/>
          <w:highlight w:val="none"/>
          <w:u w:val="none"/>
          <w:lang w:val="en-US" w:eastAsia="zh-CN"/>
        </w:rPr>
      </w:pPr>
      <w:r>
        <w:rPr>
          <w:rFonts w:hint="default" w:ascii="Times New Roman" w:hAnsi="Times New Roman" w:eastAsia="仿宋_GB2312" w:cs="Times New Roman"/>
          <w:b w:val="0"/>
          <w:bCs w:val="0"/>
          <w:color w:val="auto"/>
          <w:sz w:val="32"/>
          <w:szCs w:val="40"/>
          <w:highlight w:val="none"/>
          <w:u w:val="none"/>
          <w:lang w:val="en-US" w:eastAsia="zh-CN"/>
        </w:rPr>
        <w:t>为保障规划有效实施，建立“统筹协调、动态管理、精准保障”的闭环落实机制</w:t>
      </w:r>
      <w:r>
        <w:rPr>
          <w:rFonts w:hint="eastAsia" w:ascii="Times New Roman" w:hAnsi="Times New Roman" w:eastAsia="仿宋_GB2312" w:cs="Times New Roman"/>
          <w:b w:val="0"/>
          <w:bCs w:val="0"/>
          <w:color w:val="auto"/>
          <w:sz w:val="32"/>
          <w:szCs w:val="40"/>
          <w:highlight w:val="none"/>
          <w:u w:val="none"/>
          <w:lang w:val="en-US" w:eastAsia="zh-CN"/>
        </w:rPr>
        <w:t>，形成工作合力</w:t>
      </w:r>
      <w:r>
        <w:rPr>
          <w:rFonts w:hint="default" w:ascii="Times New Roman" w:hAnsi="Times New Roman" w:eastAsia="仿宋_GB2312" w:cs="Times New Roman"/>
          <w:b w:val="0"/>
          <w:bCs w:val="0"/>
          <w:color w:val="auto"/>
          <w:sz w:val="32"/>
          <w:szCs w:val="40"/>
          <w:highlight w:val="none"/>
          <w:u w:val="none"/>
          <w:lang w:val="en-US" w:eastAsia="zh-CN"/>
        </w:rPr>
        <w:t>。</w:t>
      </w:r>
      <w:r>
        <w:rPr>
          <w:rFonts w:hint="eastAsia" w:ascii="Times New Roman" w:hAnsi="Times New Roman" w:eastAsia="仿宋_GB2312" w:cs="Times New Roman"/>
          <w:b w:val="0"/>
          <w:bCs w:val="0"/>
          <w:color w:val="auto"/>
          <w:sz w:val="32"/>
          <w:szCs w:val="40"/>
          <w:highlight w:val="none"/>
          <w:u w:val="none"/>
          <w:lang w:val="en-US" w:eastAsia="zh-CN"/>
        </w:rPr>
        <w:t>各地各部门要强化推动服务业发展大局意识，树立和践行正确政绩观，实事求是、真抓实干。</w:t>
      </w:r>
      <w:r>
        <w:rPr>
          <w:rFonts w:hint="default" w:ascii="Times New Roman" w:hAnsi="Times New Roman" w:eastAsia="仿宋_GB2312" w:cs="Times New Roman"/>
          <w:b w:val="0"/>
          <w:bCs w:val="0"/>
          <w:color w:val="auto"/>
          <w:sz w:val="32"/>
          <w:szCs w:val="40"/>
          <w:highlight w:val="none"/>
          <w:u w:val="none"/>
          <w:lang w:val="en-US" w:eastAsia="zh-CN"/>
        </w:rPr>
        <w:t>对规划进展进行动态监测与定期评估，及时发现并解决问题</w:t>
      </w:r>
      <w:r>
        <w:rPr>
          <w:rFonts w:hint="eastAsia" w:ascii="Times New Roman" w:hAnsi="Times New Roman" w:eastAsia="仿宋_GB2312" w:cs="Times New Roman"/>
          <w:b w:val="0"/>
          <w:bCs w:val="0"/>
          <w:color w:val="auto"/>
          <w:sz w:val="32"/>
          <w:szCs w:val="40"/>
          <w:highlight w:val="none"/>
          <w:u w:val="none"/>
          <w:lang w:val="en-US" w:eastAsia="zh-CN"/>
        </w:rPr>
        <w:t>，</w:t>
      </w:r>
      <w:r>
        <w:rPr>
          <w:rFonts w:hint="default" w:ascii="Times New Roman" w:hAnsi="Times New Roman" w:eastAsia="仿宋_GB2312" w:cs="Times New Roman"/>
          <w:b w:val="0"/>
          <w:bCs w:val="0"/>
          <w:color w:val="auto"/>
          <w:sz w:val="32"/>
          <w:szCs w:val="40"/>
          <w:highlight w:val="none"/>
          <w:u w:val="none"/>
          <w:lang w:val="en-US" w:eastAsia="zh-CN"/>
        </w:rPr>
        <w:t>根据评估反馈动态优化政策工具箱，确保规划目标有序实现。</w:t>
      </w:r>
    </w:p>
    <w:sectPr>
      <w:footerReference r:id="rId4" w:type="default"/>
      <w:pgSz w:w="11906" w:h="16838"/>
      <w:pgMar w:top="2041" w:right="1531" w:bottom="2041"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altName w:val="方正楷体_GBK"/>
    <w:panose1 w:val="02010609060000010101"/>
    <w:charset w:val="86"/>
    <w:family w:val="auto"/>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510C5">
    <w:pPr>
      <w:pStyle w:val="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45174DB">
                          <w:pPr>
                            <w:pStyle w:val="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145174DB">
                    <w:pPr>
                      <w:pStyle w:val="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A2FDB">
    <w:pPr>
      <w:pStyle w:val="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0059F3B">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jlU1nRAQAAn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Y5VNZ0QEAAJ4DAAAOAAAAAAAAAAEAIAAAAB8BAABk&#10;cnMvZTJvRG9jLnhtbFBLBQYAAAAABgAGAFkBAABiBQAAAAA=&#10;">
              <v:fill on="f" focussize="0,0"/>
              <v:stroke on="f"/>
              <v:imagedata o:title=""/>
              <o:lock v:ext="edit" aspectratio="f"/>
              <v:textbox inset="0mm,0mm,0mm,0mm" style="mso-fit-shape-to-text:t;">
                <w:txbxContent>
                  <w:p w14:paraId="40059F3B">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FDB841"/>
    <w:rsid w:val="7E9D00FB"/>
    <w:rsid w:val="EBEF3CA4"/>
    <w:rsid w:val="FBFB7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link w:val="16"/>
    <w:qFormat/>
    <w:uiPriority w:val="0"/>
    <w:pPr>
      <w:keepNext/>
      <w:keepLines/>
      <w:spacing w:before="260" w:beforeAutospacing="0" w:after="26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Autospacing="0" w:afterAutospacing="0" w:line="576" w:lineRule="exact"/>
      <w:outlineLvl w:val="2"/>
    </w:pPr>
    <w:rPr>
      <w:b/>
    </w:rPr>
  </w:style>
  <w:style w:type="character" w:default="1" w:styleId="14">
    <w:name w:val="Default Paragraph Font"/>
    <w:qFormat/>
    <w:uiPriority w:val="0"/>
  </w:style>
  <w:style w:type="table" w:default="1" w:styleId="12">
    <w:name w:val="Normal Table"/>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rPr>
      <w:rFonts w:ascii="Calibri" w:hAnsi="Calibri" w:eastAsia="黑体"/>
      <w:sz w:val="32"/>
    </w:rPr>
  </w:style>
  <w:style w:type="paragraph" w:styleId="9">
    <w:name w:val="toc 2"/>
    <w:basedOn w:val="1"/>
    <w:next w:val="1"/>
    <w:qFormat/>
    <w:uiPriority w:val="0"/>
    <w:pPr>
      <w:ind w:left="420" w:leftChars="200"/>
    </w:pPr>
    <w:rPr>
      <w:rFonts w:ascii="Calibri" w:hAnsi="Calibri" w:eastAsia="楷体"/>
      <w:sz w:val="32"/>
    </w:rPr>
  </w:style>
  <w:style w:type="paragraph" w:styleId="10">
    <w:name w:val="Body Text 2"/>
    <w:basedOn w:val="1"/>
    <w:qFormat/>
    <w:uiPriority w:val="0"/>
    <w:pPr>
      <w:spacing w:after="120" w:line="480" w:lineRule="auto"/>
    </w:pPr>
  </w:style>
  <w:style w:type="paragraph" w:styleId="11">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rPr>
  </w:style>
  <w:style w:type="table" w:styleId="13">
    <w:name w:val="Table Grid"/>
    <w:basedOn w:val="1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UserStyle_0"/>
    <w:qFormat/>
    <w:uiPriority w:val="0"/>
    <w:pPr>
      <w:widowControl w:val="0"/>
      <w:spacing w:line="480" w:lineRule="auto"/>
      <w:ind w:left="200" w:leftChars="200" w:firstLine="643" w:firstLineChars="200"/>
      <w:jc w:val="both"/>
      <w:textAlignment w:val="baseline"/>
    </w:pPr>
    <w:rPr>
      <w:rFonts w:ascii="Calibri" w:hAnsi="Calibri" w:eastAsia="方正仿宋_GB2312" w:cs="宋体"/>
      <w:kern w:val="2"/>
      <w:sz w:val="32"/>
      <w:szCs w:val="24"/>
      <w:lang w:val="en-US" w:eastAsia="zh-CN" w:bidi="ar-SA"/>
    </w:rPr>
  </w:style>
  <w:style w:type="character" w:customStyle="1" w:styleId="16">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169eec3c-2fbc-4fc7-a945-6cb0c70f4c8b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18D99746</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ad5f372a-6090-40fc-b9a8-db77040fe589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18D99746</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863b7245-b636-4dc6-a698-16fa4fd14b16</errorID>
      <errorWord xmlns="http://schemas.wps.cn/vas-ai-hub/contract-review">中科院</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中国科学院</item>
      </candidateList>
      <explain xmlns="http://schemas.wps.cn/vas-ai-hub/contract-review"/>
      <paraID xmlns="http://schemas.wps.cn/vas-ai-hub/contract-review">36D44AA5</paraID>
      <start xmlns="http://schemas.wps.cn/vas-ai-hub/contract-review">22</start>
      <end xmlns="http://schemas.wps.cn/vas-ai-hub/contract-review">27</end>
      <status xmlns="http://schemas.wps.cn/vas-ai-hub/contract-review">modified</status>
      <modifiedWord xmlns="http://schemas.wps.cn/vas-ai-hub/contract-review">中国科学院</modifiedWord>
      <trackRevisions xmlns="http://schemas.wps.cn/vas-ai-hub/contract-review">false</trackRevisions>
    </reviewItem>
    <reviewItem xmlns="http://schemas.wps.cn/vas-ai-hub/contract-review">
      <errorID xmlns="http://schemas.wps.cn/vas-ai-hub/contract-review">33185d48-ab00-4f5e-b90d-3c66a4749d85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79094A02</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fc36f9df-3019-4c51-802a-b32b40282401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79094A02</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92f67604-fd7c-4f1a-a8bf-5f7749d659ad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79094A02</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b66363-6577-41b6-8a6e-5b7f91519d40}">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7912</Words>
  <Characters>8057</Characters>
  <Paragraphs>203</Paragraphs>
  <TotalTime>0</TotalTime>
  <ScaleCrop>false</ScaleCrop>
  <LinksUpToDate>false</LinksUpToDate>
  <CharactersWithSpaces>8127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2026-04-05T21:30:00Z</dcterms:created>
  <dc:creator>丸子</dc:creator>
  <cp:lastModifiedBy>user</cp:lastModifiedBy>
  <cp:lastPrinted>2026-09-21T01:20:00Z</cp:lastPrinted>
  <dcterms:modified xsi:type="dcterms:W3CDTF">2026-09-24T10:29:06Z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27208c230dde4d7fb4c7bf11f40629ea_23</vt:lpwstr>
  </property>
  <property fmtid="{D5CDD505-2E9C-101B-9397-08002B2CF9AE}" pid="4" name="KSOTemplateDocerSaveRecord">
    <vt:lpwstr>eyJoZGlkIjoiZTgwYzkyYjllYTQ0ODBmMmNhMzU1NzNmMDlmYmQ3YjEiLCJ1c2VySWQiOiIyMDc5NzI2MzYifQ==</vt:lpwstr>
  </property>
</Properties>
</file>