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楷体" w:hAnsi="楷体" w:eastAsia="楷体" w:cs="楷体"/>
          <w:b/>
          <w:bCs/>
          <w:sz w:val="52"/>
          <w:szCs w:val="52"/>
          <w:vertAlign w:val="baseline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b/>
          <w:bCs/>
          <w:sz w:val="52"/>
          <w:szCs w:val="52"/>
          <w:vertAlign w:val="baseline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b/>
          <w:bCs/>
          <w:sz w:val="52"/>
          <w:szCs w:val="52"/>
          <w:vertAlign w:val="baseline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b/>
          <w:bCs/>
          <w:sz w:val="56"/>
          <w:szCs w:val="56"/>
          <w:vertAlign w:val="baseline"/>
          <w:lang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56"/>
          <w:vertAlign w:val="baseline"/>
          <w:lang w:eastAsia="zh-CN"/>
        </w:rPr>
        <w:t>白城康环固废治理服务有限公司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自行监测方案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outlineLvl w:val="0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单位基本信息</w:t>
      </w:r>
    </w:p>
    <w:p>
      <w:pPr>
        <w:numPr>
          <w:ilvl w:val="0"/>
          <w:numId w:val="0"/>
        </w:numPr>
        <w:outlineLvl w:val="9"/>
        <w:rPr>
          <w:rFonts w:hint="eastAsia" w:ascii="楷体" w:hAnsi="楷体" w:eastAsia="楷体" w:cs="楷体"/>
          <w:b/>
          <w:bCs/>
          <w:sz w:val="16"/>
          <w:szCs w:val="16"/>
          <w:lang w:eastAsia="zh-CN"/>
        </w:rPr>
      </w:pPr>
    </w:p>
    <w:tbl>
      <w:tblPr>
        <w:tblStyle w:val="5"/>
        <w:tblW w:w="10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252"/>
        <w:gridCol w:w="1459"/>
        <w:gridCol w:w="775"/>
        <w:gridCol w:w="412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7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白城康环固废治理服务有限公司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35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白城市辽北路139号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2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王彦   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生产经营场所地址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白城市辽北路139号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行业类别</w:t>
            </w:r>
          </w:p>
        </w:tc>
        <w:tc>
          <w:tcPr>
            <w:tcW w:w="22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医疗废物焚烧行业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91220800316669384G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企业主要污染物类别：</w:t>
            </w:r>
          </w:p>
        </w:tc>
        <w:tc>
          <w:tcPr>
            <w:tcW w:w="842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废气、废水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大气主要污染物种类：</w:t>
            </w:r>
          </w:p>
        </w:tc>
        <w:tc>
          <w:tcPr>
            <w:tcW w:w="842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有组织：烟尘、黑度、二氧化硫、氮氧化物、一氧化碳、氯化氢、二噁英、汞及其化合物物、镉及其化合物、砷、镍及其化合物、铅及其化合物、铬、锡、锑、铜、锰及其化合物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无组织：颗粒物、硫化氢、氨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大气污染物排放执行标准：</w:t>
            </w:r>
          </w:p>
        </w:tc>
        <w:tc>
          <w:tcPr>
            <w:tcW w:w="842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《危险废物焚烧污染控制标准》（GB 18484-2001）、《大气污染物综合排放标准》（GB 16297-1996）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废水主要污染物种类：</w:t>
            </w:r>
          </w:p>
        </w:tc>
        <w:tc>
          <w:tcPr>
            <w:tcW w:w="842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PH、化学需氧量、生化需氧量、悬浮物、动植物油、氨氮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废水污染物排放执行标准：</w:t>
            </w:r>
          </w:p>
        </w:tc>
        <w:tc>
          <w:tcPr>
            <w:tcW w:w="842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医疗机构水污染综合排放标准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》（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18466-2005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ind w:leftChars="0"/>
        <w:outlineLvl w:val="0"/>
        <w:rPr>
          <w:rFonts w:hint="eastAsia" w:ascii="楷体" w:hAnsi="楷体" w:eastAsia="楷体" w:cs="楷体"/>
          <w:b/>
          <w:bCs/>
          <w:sz w:val="22"/>
          <w:szCs w:val="2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自行监测计划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7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手工监测</w:t>
            </w:r>
          </w:p>
        </w:tc>
        <w:tc>
          <w:tcPr>
            <w:tcW w:w="79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有组织：黑度、氯化氢、二噁英、汞及其化合物物、镉及其化合物、砷、镍及其化合物、铅及其化合物、铬、锡、锑、铜、锰及其化合物</w:t>
            </w:r>
          </w:p>
          <w:p>
            <w:pPr>
              <w:numPr>
                <w:ilvl w:val="0"/>
                <w:numId w:val="0"/>
              </w:numPr>
              <w:outlineLvl w:val="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无组织：颗粒物、硫化氢、氨</w:t>
            </w:r>
          </w:p>
          <w:p>
            <w:pPr>
              <w:numPr>
                <w:ilvl w:val="0"/>
                <w:numId w:val="0"/>
              </w:numPr>
              <w:outlineLvl w:val="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废水：生化需氧量、悬浮物、动植物油、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自动监测</w:t>
            </w:r>
          </w:p>
        </w:tc>
        <w:tc>
          <w:tcPr>
            <w:tcW w:w="7986" w:type="dxa"/>
          </w:tcPr>
          <w:p>
            <w:pPr>
              <w:numPr>
                <w:ilvl w:val="0"/>
                <w:numId w:val="0"/>
              </w:numPr>
              <w:outlineLvl w:val="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废水：氨氮、化学需氧量、PH</w:t>
            </w:r>
          </w:p>
          <w:p>
            <w:pPr>
              <w:numPr>
                <w:ilvl w:val="0"/>
                <w:numId w:val="0"/>
              </w:numPr>
              <w:outlineLvl w:val="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有组织：一氧化碳、二氧化硫、粉尘、氮氧化物、</w:t>
            </w:r>
          </w:p>
        </w:tc>
      </w:tr>
    </w:tbl>
    <w:p>
      <w:pPr>
        <w:numPr>
          <w:ilvl w:val="0"/>
          <w:numId w:val="0"/>
        </w:numPr>
        <w:ind w:leftChars="0"/>
        <w:outlineLvl w:val="0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监测内容</w:t>
      </w:r>
    </w:p>
    <w:p>
      <w:pPr>
        <w:outlineLvl w:val="1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1、污染物排放监测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7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污染物类别</w:t>
            </w:r>
          </w:p>
        </w:tc>
        <w:tc>
          <w:tcPr>
            <w:tcW w:w="7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排放形式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废气污染物</w:t>
            </w:r>
          </w:p>
        </w:tc>
        <w:tc>
          <w:tcPr>
            <w:tcW w:w="7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有组织以及无组织形式排入环境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废水污染物</w:t>
            </w:r>
          </w:p>
        </w:tc>
        <w:tc>
          <w:tcPr>
            <w:tcW w:w="7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不外排（回收利用）</w:t>
            </w:r>
          </w:p>
        </w:tc>
      </w:tr>
    </w:tbl>
    <w:p>
      <w:pPr>
        <w:numPr>
          <w:ilvl w:val="0"/>
          <w:numId w:val="0"/>
        </w:numPr>
        <w:ind w:leftChars="0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四、废气排放监测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1、有组织排放监测</w:t>
      </w:r>
    </w:p>
    <w:tbl>
      <w:tblPr>
        <w:tblStyle w:val="5"/>
        <w:tblW w:w="15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138"/>
        <w:gridCol w:w="1175"/>
        <w:gridCol w:w="1362"/>
        <w:gridCol w:w="1213"/>
        <w:gridCol w:w="1312"/>
        <w:gridCol w:w="1438"/>
        <w:gridCol w:w="1262"/>
        <w:gridCol w:w="2688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污染源</w:t>
            </w:r>
          </w:p>
        </w:tc>
        <w:tc>
          <w:tcPr>
            <w:tcW w:w="11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排放口类型</w:t>
            </w:r>
          </w:p>
        </w:tc>
        <w:tc>
          <w:tcPr>
            <w:tcW w:w="1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监测点位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监测指标</w:t>
            </w:r>
          </w:p>
        </w:tc>
        <w:tc>
          <w:tcPr>
            <w:tcW w:w="12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执行标准</w:t>
            </w: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标准限值（mg/m³）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监测技术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采样方法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 xml:space="preserve"> 监测分析方法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焚烧炉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主要排放口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废气总排口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烟气黑度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《危险废物焚烧控制标准》（GB 18484-2001）</w:t>
            </w: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林格曼1级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1次/月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每次时间不低于45min，连续采样三次，取平均值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林格曼烟气黑度图法 HJ/T 398-2007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烟尘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连续监测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自动监测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排气中颗粒物测定与气态污染物采样方法 GB/T 16158-1996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连续监测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自动监测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连续监测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自动监测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一氧化碳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连续监测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lang w:val="en-US" w:eastAsia="zh-CN"/>
              </w:rPr>
              <w:t>自动监测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—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定电位电解法 HJ 693-2014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氯化氢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1次/月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每次时间不低于45min，连续采样三次，取平均值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硝酸盐容量法 HJ 548-2016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二噁英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0.5TEQng/m3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1次/半年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每次时间不低于45min，连续采样三次，取平均值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高分辩质谱法 HJ 77.2-2008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汞及其化合物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1次/月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每次时间不低于45min，连续采样三次，取平均值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原子荧光分光光度法（B）《空气和废气监测分析方法》（第四版）（增补版）第五篇 第三章 七（二）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镉及其化合物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1次/月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每次时间不低于45min，连续采样三次，取平均值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原子吸收分光光度法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HJ/T 64.2-2001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砷、镍及其化合物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1次/月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每次时间不低于45min，连续采样三次，取平均值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原子吸收分光光度法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HJ/T 63.2-2001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铅及其化合物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1次/月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每次时间不低于45min，连续采样三次，取平均值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原子吸收分光光度法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GB/T 15264-1994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铬、锡、锑、铜、锰及其化合物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1次/月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2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每次时间不低于45min，连续采样三次，取平均值</w:t>
            </w:r>
          </w:p>
        </w:tc>
        <w:tc>
          <w:tcPr>
            <w:tcW w:w="32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原子吸收分光光度法（B）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《空气和废气监测分析方法》（第四版）（增补版）第三篇 第二章 十二</w:t>
            </w: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2、无组织排放监测</w:t>
      </w:r>
    </w:p>
    <w:tbl>
      <w:tblPr>
        <w:tblStyle w:val="5"/>
        <w:tblW w:w="15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64"/>
        <w:gridCol w:w="3913"/>
        <w:gridCol w:w="1391"/>
        <w:gridCol w:w="1255"/>
        <w:gridCol w:w="1350"/>
        <w:gridCol w:w="1459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监测点位</w:t>
            </w:r>
          </w:p>
        </w:tc>
        <w:tc>
          <w:tcPr>
            <w:tcW w:w="13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监测指标</w:t>
            </w:r>
          </w:p>
        </w:tc>
        <w:tc>
          <w:tcPr>
            <w:tcW w:w="39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执行标准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标准限值（mg/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val="en-US" w:eastAsia="zh-CN"/>
              </w:rPr>
              <w:t>m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³）</w:t>
            </w:r>
          </w:p>
        </w:tc>
        <w:tc>
          <w:tcPr>
            <w:tcW w:w="12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监测技术</w:t>
            </w:r>
          </w:p>
        </w:tc>
        <w:tc>
          <w:tcPr>
            <w:tcW w:w="14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采样方法</w:t>
            </w:r>
          </w:p>
        </w:tc>
        <w:tc>
          <w:tcPr>
            <w:tcW w:w="38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 xml:space="preserve"> 监测分析方法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厂界</w:t>
            </w:r>
          </w:p>
        </w:tc>
        <w:tc>
          <w:tcPr>
            <w:tcW w:w="13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氨</w:t>
            </w:r>
          </w:p>
        </w:tc>
        <w:tc>
          <w:tcPr>
            <w:tcW w:w="39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《医疗废物环境卫生标准》（GB/T 18773-2008）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2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1次/季度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14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非连续采样 至少3个</w:t>
            </w:r>
          </w:p>
        </w:tc>
        <w:tc>
          <w:tcPr>
            <w:tcW w:w="38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空气和废气 氨的测定 纳氏试剂分光光度法 HJ 533-2009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2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/>
                <w:lang w:val="en-US" w:eastAsia="zh-CN"/>
              </w:rPr>
              <w:t>1次/季度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14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非连续采样 至少3个</w:t>
            </w:r>
          </w:p>
        </w:tc>
        <w:tc>
          <w:tcPr>
            <w:tcW w:w="38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空气和废气监测分析方法</w:t>
            </w:r>
            <w:r>
              <w:rPr>
                <w:rFonts w:hint="eastAsia"/>
                <w:lang w:eastAsia="zh-CN"/>
              </w:rPr>
              <w:t>》（</w:t>
            </w:r>
            <w:r>
              <w:rPr>
                <w:rFonts w:hint="eastAsia"/>
                <w:lang w:val="en-US" w:eastAsia="zh-CN"/>
              </w:rPr>
              <w:t>第四版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《大气污染物综合排放标准》（GB 16297-1996）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2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/>
                <w:lang w:val="en-US" w:eastAsia="zh-CN"/>
              </w:rPr>
              <w:t>1次/季度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/>
                <w:lang w:val="en-US" w:eastAsia="zh-CN"/>
              </w:rPr>
              <w:t>手工监测</w:t>
            </w:r>
          </w:p>
        </w:tc>
        <w:tc>
          <w:tcPr>
            <w:tcW w:w="14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</w:pPr>
            <w:r>
              <w:rPr>
                <w:rFonts w:hint="eastAsia"/>
                <w:lang w:val="en-US" w:eastAsia="zh-CN"/>
              </w:rPr>
              <w:t>非连续采样 至少3个</w:t>
            </w:r>
          </w:p>
        </w:tc>
        <w:tc>
          <w:tcPr>
            <w:tcW w:w="38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重量法 GB/T 15432-1995</w:t>
            </w:r>
          </w:p>
        </w:tc>
      </w:tr>
    </w:tbl>
    <w:p>
      <w:pPr>
        <w:numPr>
          <w:ilvl w:val="0"/>
          <w:numId w:val="0"/>
        </w:numPr>
        <w:ind w:leftChars="0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五、废水排放监测</w:t>
      </w:r>
    </w:p>
    <w:tbl>
      <w:tblPr>
        <w:tblStyle w:val="5"/>
        <w:tblW w:w="15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13"/>
        <w:gridCol w:w="1214"/>
        <w:gridCol w:w="1295"/>
        <w:gridCol w:w="2332"/>
        <w:gridCol w:w="1346"/>
        <w:gridCol w:w="1227"/>
        <w:gridCol w:w="1187"/>
        <w:gridCol w:w="1691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污染源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排放口类型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监测点位</w:t>
            </w: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监测指标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执行标准</w:t>
            </w:r>
          </w:p>
        </w:tc>
        <w:tc>
          <w:tcPr>
            <w:tcW w:w="13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标准限值（mg/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val="en-US" w:eastAsia="zh-CN"/>
              </w:rPr>
              <w:t>L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监测技术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采样方法</w:t>
            </w:r>
          </w:p>
        </w:tc>
        <w:tc>
          <w:tcPr>
            <w:tcW w:w="3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 xml:space="preserve"> 监测分析方法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生活污水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主要排口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污水处理厂总排口</w:t>
            </w: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《医疗机构水污染综合排放标准》（GB 18466-2005）</w:t>
            </w:r>
          </w:p>
        </w:tc>
        <w:tc>
          <w:tcPr>
            <w:tcW w:w="13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1次/月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手工监测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混合采样至少3个混合样</w:t>
            </w:r>
          </w:p>
        </w:tc>
        <w:tc>
          <w:tcPr>
            <w:tcW w:w="3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重量法 GB/T 11901-1989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pH值 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6-9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1次/季度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手工监测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混合采样至少3个混合样</w:t>
            </w:r>
          </w:p>
        </w:tc>
        <w:tc>
          <w:tcPr>
            <w:tcW w:w="3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玻璃电极法 GB/T 6920-1986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氨氮（NH3-N）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1次/季度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手工监测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混合采样至少3个混合样</w:t>
            </w:r>
          </w:p>
        </w:tc>
        <w:tc>
          <w:tcPr>
            <w:tcW w:w="3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纳氏试剂分光光度法 HJ 535-2009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化学需氧量 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1次/季度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手工监测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混合采样至少3个混合样</w:t>
            </w:r>
          </w:p>
        </w:tc>
        <w:tc>
          <w:tcPr>
            <w:tcW w:w="3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重铬酸盐法 HJ 828-2017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五日生化需氧量 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1次/季度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手工监测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混合采样至少3个混合样</w:t>
            </w:r>
          </w:p>
        </w:tc>
        <w:tc>
          <w:tcPr>
            <w:tcW w:w="3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水质 五日生化需氧量（BOD5）的测定 稀释与接种法 HJ505-2009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动植物油 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1次/季度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手工监测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混合采样至少3个混合样</w:t>
            </w:r>
          </w:p>
        </w:tc>
        <w:tc>
          <w:tcPr>
            <w:tcW w:w="3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水质 石油类和动植物油类的测定 红外分光光度法HJ 637-2012代替GB/T 16488-1996</w:t>
            </w: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六、监测点位示意图</w:t>
      </w:r>
    </w:p>
    <w:p>
      <w:pPr>
        <w:widowControl w:val="0"/>
        <w:numPr>
          <w:ilvl w:val="0"/>
          <w:numId w:val="0"/>
        </w:numPr>
        <w:jc w:val="both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8914765" cy="5958205"/>
            <wp:effectExtent l="0" t="0" r="635" b="10795"/>
            <wp:docPr id="1" name="图片 1" descr="白城竣工验收_监测点位示意图部分jpg_Page1_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城竣工验收_监测点位示意图部分jpg_Page1_Imag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476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2"/>
        </w:numPr>
        <w:ind w:leftChars="0"/>
        <w:jc w:val="both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监测质量保证与质量控制</w:t>
      </w:r>
    </w:p>
    <w:p>
      <w:pPr>
        <w:widowControl w:val="0"/>
        <w:numPr>
          <w:numId w:val="0"/>
        </w:numPr>
        <w:jc w:val="both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1、监测人员严格执行环境监测技术规范；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2、监测所用仪器、量器经过检定或是校准；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3、废气自动监测数据严格按照《固定污染源烟气排放连续监测系统技术要求及检测方法》（HJ/T 76-2007）；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4、废气样品的采集和分析严格按《固定污染源排气中颗粒物测定与气态污染物采样方法》（GB/T 16157-1996）、《固定源废气监测技术规范》（HJ/T 397-2007）和《固定源废气监测技术规范》（HJ/T 397-2007）和《固定污染源监测质量保证与质量控制技术规范（试行）》（HJ/T 373-2007）要求进行。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outlineLvl w:val="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5、噪声监测仪器在采样前、后对仪器进行校准，并记录。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35195"/>
    <w:multiLevelType w:val="singleLevel"/>
    <w:tmpl w:val="BF4351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6D6218"/>
    <w:multiLevelType w:val="singleLevel"/>
    <w:tmpl w:val="3F6D621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1E5A"/>
    <w:rsid w:val="0026402D"/>
    <w:rsid w:val="06503EFD"/>
    <w:rsid w:val="0A555C53"/>
    <w:rsid w:val="0B34187F"/>
    <w:rsid w:val="0C5F4FB1"/>
    <w:rsid w:val="0D0031E9"/>
    <w:rsid w:val="11EC6A24"/>
    <w:rsid w:val="121F6B9D"/>
    <w:rsid w:val="142B1041"/>
    <w:rsid w:val="14482DFF"/>
    <w:rsid w:val="171B2C4B"/>
    <w:rsid w:val="1B2D326E"/>
    <w:rsid w:val="1DC60B89"/>
    <w:rsid w:val="29CD0783"/>
    <w:rsid w:val="2AD30885"/>
    <w:rsid w:val="2B892092"/>
    <w:rsid w:val="2D036720"/>
    <w:rsid w:val="3282069E"/>
    <w:rsid w:val="337F53BF"/>
    <w:rsid w:val="361460F6"/>
    <w:rsid w:val="36FE35B2"/>
    <w:rsid w:val="37F003FD"/>
    <w:rsid w:val="40D61DCB"/>
    <w:rsid w:val="47614D33"/>
    <w:rsid w:val="48877650"/>
    <w:rsid w:val="48DE0998"/>
    <w:rsid w:val="494140EC"/>
    <w:rsid w:val="4E256DBC"/>
    <w:rsid w:val="4E7305CE"/>
    <w:rsid w:val="50344F21"/>
    <w:rsid w:val="53756BF0"/>
    <w:rsid w:val="55952B60"/>
    <w:rsid w:val="561D0B30"/>
    <w:rsid w:val="594F38BF"/>
    <w:rsid w:val="5AE31E17"/>
    <w:rsid w:val="5BEB6152"/>
    <w:rsid w:val="61193C3F"/>
    <w:rsid w:val="63374E50"/>
    <w:rsid w:val="6C8B05FB"/>
    <w:rsid w:val="6D535020"/>
    <w:rsid w:val="6E464DE6"/>
    <w:rsid w:val="702875F2"/>
    <w:rsid w:val="73D51E2B"/>
    <w:rsid w:val="775749F7"/>
    <w:rsid w:val="77D212B4"/>
    <w:rsid w:val="799957B7"/>
    <w:rsid w:val="79CC3FBA"/>
    <w:rsid w:val="7D437B3D"/>
    <w:rsid w:val="7D6C3B20"/>
    <w:rsid w:val="7EA457DA"/>
    <w:rsid w:val="7EE1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2018-08-20T00:28:00Z</dcterms:created>
  <dc:creator>Administrator</dc:creator>
  <cp:lastModifiedBy>May</cp:lastModifiedBy>
  <cp:lastPrinted>2018-11-16T06:38:00Z</cp:lastPrinted>
  <dcterms:modified xsi:type="dcterms:W3CDTF">2019-12-04T08:17:51Z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