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0DF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年政府决算空表情况说明</w:t>
      </w:r>
    </w:p>
    <w:p w14:paraId="6895D8B8">
      <w:pPr>
        <w:jc w:val="center"/>
        <w:rPr>
          <w:rFonts w:hint="eastAsia"/>
          <w:sz w:val="44"/>
          <w:szCs w:val="44"/>
        </w:rPr>
      </w:pPr>
    </w:p>
    <w:p w14:paraId="0086622B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本级政府决算公开表中，第三部分:国有资本经营预算中《2023年度白城市本级国有资本经营预算收入决算总表》、《2023年度白城市本级国有资本经营预算支出决算总表》、《2023年度白城市本级国有资本经营预算收入决算明细表》和《2023年度白城市本级国有资本经营预算支出决算明细表》为空表，是因为白城市本级无国有资本经营预算，所以此两项报表数据为空。</w:t>
      </w:r>
    </w:p>
    <w:p w14:paraId="4B4E166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白城市直政府决算公开表中，第三部分:国有资本经营预算中《2023年度白城市直国有资本经营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收入决算总表》、《2023年度白城市直国有资本经营预算支出决算总表》、《2023年度白城市直国有资本经营预算收入决算明细表》和《2023年度白城市直国有资本经营预算支出决算明细表》为空表，是因为白城市直无国有资本经营预算，所以此两项报表数据为空。</w:t>
      </w:r>
    </w:p>
    <w:p w14:paraId="79982AD4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6766583"/>
    <w:rsid w:val="0B2576AC"/>
    <w:rsid w:val="173764D0"/>
    <w:rsid w:val="4FBE45E8"/>
    <w:rsid w:val="51695E34"/>
    <w:rsid w:val="57E178DC"/>
    <w:rsid w:val="64E74334"/>
    <w:rsid w:val="7AD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359</Characters>
  <Lines>0</Lines>
  <Paragraphs>0</Paragraphs>
  <TotalTime>0</TotalTime>
  <ScaleCrop>false</ScaleCrop>
  <LinksUpToDate>false</LinksUpToDate>
  <CharactersWithSpaces>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2022-08-16T00:17:00Z</dcterms:created>
  <dc:creator>lenovo</dc:creator>
  <cp:lastModifiedBy>心电</cp:lastModifiedBy>
  <dcterms:modified xsi:type="dcterms:W3CDTF">2024-09-10T12:50:55Z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58DA82EAA86A4280BF76941C3B0F2E96</vt:lpwstr>
  </property>
</Properties>
</file>