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吉林省无线电监测站白城站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九、国有资本经营预算支出表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十、项目支出表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十一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监测全市无线电台（站）是否按照规定程序和核定的项目工作。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查找无线电干扰源和未经批准使用的无线电台（站）。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测定全市无线电设备的主要技术指标。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检测工业、科学、医疗等非无线电设备的无线电波辐射等。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国家和地方无线电管理机构规定的其他职责。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900" w:firstLineChars="300"/>
        <w:rPr>
          <w:rFonts w:ascii="仿宋_GB2312" w:hAnsi="宋体" w:eastAsia="宋体" w:cs="Times New Roman"/>
          <w:sz w:val="30"/>
          <w:szCs w:val="30"/>
        </w:rPr>
      </w:pPr>
      <w:r>
        <w:rPr>
          <w:rFonts w:hint="eastAsia" w:ascii="仿宋_GB2312" w:hAnsi="Calibri" w:eastAsia="宋体" w:cs="Times New Roman"/>
          <w:sz w:val="30"/>
          <w:szCs w:val="30"/>
        </w:rPr>
        <w:t>根据上述职责，内设</w:t>
      </w:r>
      <w:r>
        <w:rPr>
          <w:rFonts w:hint="eastAsia" w:ascii="仿宋_GB2312"/>
          <w:sz w:val="30"/>
          <w:szCs w:val="30"/>
        </w:rPr>
        <w:t>1个机构，</w:t>
      </w:r>
      <w:r>
        <w:rPr>
          <w:rFonts w:hint="eastAsia" w:ascii="仿宋_GB2312" w:hAnsi="Calibri" w:eastAsia="宋体" w:cs="Times New Roman"/>
          <w:sz w:val="30"/>
          <w:szCs w:val="30"/>
        </w:rPr>
        <w:t>为</w:t>
      </w:r>
      <w:r>
        <w:rPr>
          <w:rFonts w:hint="eastAsia" w:ascii="仿宋_GB2312" w:hAnsi="宋体"/>
          <w:sz w:val="30"/>
          <w:szCs w:val="30"/>
        </w:rPr>
        <w:t>吉林省无线电监测站白城站</w:t>
      </w:r>
      <w:r>
        <w:rPr>
          <w:rFonts w:hint="eastAsia" w:ascii="仿宋_GB2312" w:hAnsi="宋体" w:eastAsia="宋体" w:cs="Times New Roman"/>
          <w:sz w:val="30"/>
          <w:szCs w:val="30"/>
        </w:rPr>
        <w:t>。</w:t>
      </w:r>
    </w:p>
    <w:p>
      <w:pPr>
        <w:ind w:firstLine="900" w:firstLineChars="300"/>
        <w:rPr>
          <w:rFonts w:ascii="仿宋_GB2312" w:hAnsi="宋体" w:eastAsia="宋体" w:cs="Times New Roman"/>
          <w:sz w:val="30"/>
          <w:szCs w:val="30"/>
        </w:rPr>
      </w:pPr>
      <w:r>
        <w:rPr>
          <w:rFonts w:hint="eastAsia" w:ascii="仿宋_GB2312" w:hAnsi="宋体" w:eastAsia="宋体" w:cs="Times New Roman"/>
          <w:sz w:val="30"/>
          <w:szCs w:val="30"/>
        </w:rPr>
        <w:t>纳入202</w:t>
      </w:r>
      <w:r>
        <w:rPr>
          <w:rFonts w:hint="eastAsia" w:ascii="仿宋_GB2312" w:hAnsi="宋体" w:eastAsia="宋体" w:cs="Times New Roman"/>
          <w:sz w:val="30"/>
          <w:szCs w:val="30"/>
          <w:lang w:val="en-US" w:eastAsia="zh-CN"/>
        </w:rPr>
        <w:t>4.</w:t>
      </w:r>
      <w:r>
        <w:rPr>
          <w:rFonts w:hint="eastAsia" w:ascii="仿宋_GB2312" w:hAnsi="宋体" w:eastAsia="宋体" w:cs="Times New Roman"/>
          <w:sz w:val="30"/>
          <w:szCs w:val="30"/>
        </w:rPr>
        <w:t>年部门编制范围的预算单位包括：</w:t>
      </w:r>
    </w:p>
    <w:p>
      <w:pPr>
        <w:ind w:firstLine="900" w:firstLineChars="300"/>
        <w:rPr>
          <w:rFonts w:hint="eastAsia" w:ascii="仿宋_GB2312" w:hAnsi="宋体"/>
          <w:sz w:val="30"/>
          <w:szCs w:val="30"/>
        </w:rPr>
      </w:pPr>
      <w:r>
        <w:rPr>
          <w:rFonts w:hint="eastAsia" w:ascii="仿宋_GB2312" w:hAnsi="宋体"/>
          <w:sz w:val="30"/>
          <w:szCs w:val="30"/>
        </w:rPr>
        <w:t>吉林省无线电监测站白城站</w:t>
      </w:r>
    </w:p>
    <w:p>
      <w:pPr>
        <w:ind w:firstLine="900" w:firstLineChars="300"/>
        <w:rPr>
          <w:rFonts w:hint="eastAsia" w:ascii="仿宋_GB2312" w:hAnsi="宋体"/>
          <w:sz w:val="30"/>
          <w:szCs w:val="30"/>
        </w:rPr>
      </w:pPr>
    </w:p>
    <w:p>
      <w:pPr>
        <w:ind w:firstLine="900" w:firstLineChars="300"/>
        <w:rPr>
          <w:rFonts w:hint="eastAsia" w:ascii="仿宋_GB2312" w:hAnsi="宋体"/>
          <w:sz w:val="30"/>
          <w:szCs w:val="30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3"/>
        <w:gridCol w:w="956"/>
        <w:gridCol w:w="3318"/>
        <w:gridCol w:w="13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第二部分  预算表格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收支预算表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表一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收入</w:t>
            </w:r>
          </w:p>
        </w:tc>
        <w:tc>
          <w:tcPr>
            <w:tcW w:w="25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一、一般公共预算财政拨款收入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一、一般公共服务支出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财政预算拨款收入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二、国防支出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转移支付收入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三、公共安全支出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其他拨款收入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四、教育支出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二、政府性基金预算财政拨款收入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五、科学技术支出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三、事业收入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六、文化旅游体育与传媒支出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四、事业单位经营收入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七、社会保障和就业支出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五、上级补助收入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八、卫生健康支出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六、附属单位上缴收入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九、节能环保支出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七、其他收入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十、城乡社区支出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十一、农林水支出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十二、交通运输支出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十三、资源勘探工业信息等支出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十四、商业服务业等支出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十五、金融支出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十六、援助其他地区支出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十七、自然资源海洋气象等支出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十八、住房保障支出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十九、粮油物资储备支出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二十、灾害防治及应急管理支出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二十一、其他支出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本年收入合计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本年支出合计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财政拨款结转结余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结转下年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其他收入结转结余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用事业基金弥补收支差额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收入总计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支出总计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</w:tr>
    </w:tbl>
    <w:p>
      <w:pPr>
        <w:jc w:val="left"/>
        <w:rPr>
          <w:szCs w:val="21"/>
        </w:rPr>
      </w:pPr>
      <w:r>
        <w:rPr>
          <w:szCs w:val="21"/>
        </w:rPr>
        <w:t>注：按照《批复》预算表1（20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年收支预算总表）填列。</w:t>
      </w:r>
    </w:p>
    <w:p>
      <w:pPr>
        <w:ind w:firstLine="900" w:firstLineChars="300"/>
        <w:rPr>
          <w:rFonts w:hint="eastAsia" w:ascii="仿宋_GB2312" w:hAnsi="宋体"/>
          <w:sz w:val="30"/>
          <w:szCs w:val="30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536"/>
        <w:gridCol w:w="697"/>
        <w:gridCol w:w="566"/>
        <w:gridCol w:w="517"/>
        <w:gridCol w:w="486"/>
        <w:gridCol w:w="469"/>
        <w:gridCol w:w="566"/>
        <w:gridCol w:w="308"/>
        <w:gridCol w:w="486"/>
        <w:gridCol w:w="454"/>
        <w:gridCol w:w="355"/>
        <w:gridCol w:w="436"/>
        <w:gridCol w:w="421"/>
        <w:gridCol w:w="388"/>
        <w:gridCol w:w="324"/>
        <w:gridCol w:w="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7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5000" w:type="pct"/>
            <w:gridSpan w:val="17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9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表二</w:t>
            </w:r>
          </w:p>
        </w:tc>
        <w:tc>
          <w:tcPr>
            <w:tcW w:w="29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1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功能分类科目名称</w:t>
            </w:r>
          </w:p>
        </w:tc>
        <w:tc>
          <w:tcPr>
            <w:tcW w:w="2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3344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用事业基金弥补收支差额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1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一般公共预算拨款收入</w:t>
            </w:r>
          </w:p>
        </w:tc>
        <w:tc>
          <w:tcPr>
            <w:tcW w:w="3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政府性基金预算拨款收入</w:t>
            </w:r>
          </w:p>
        </w:tc>
        <w:tc>
          <w:tcPr>
            <w:tcW w:w="67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事业收入</w:t>
            </w:r>
          </w:p>
        </w:tc>
        <w:tc>
          <w:tcPr>
            <w:tcW w:w="1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事业单位经营收入</w:t>
            </w:r>
          </w:p>
        </w:tc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上级补助收入</w:t>
            </w: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附属单位上缴收入</w:t>
            </w:r>
          </w:p>
        </w:tc>
        <w:tc>
          <w:tcPr>
            <w:tcW w:w="2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其他收入</w:t>
            </w:r>
          </w:p>
        </w:tc>
        <w:tc>
          <w:tcPr>
            <w:tcW w:w="1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财政预算拨款收入</w:t>
            </w: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转移支付收入</w:t>
            </w:r>
          </w:p>
        </w:tc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非税收入</w:t>
            </w:r>
          </w:p>
        </w:tc>
        <w:tc>
          <w:tcPr>
            <w:tcW w:w="3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6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教育收费收入</w:t>
            </w:r>
          </w:p>
        </w:tc>
        <w:tc>
          <w:tcPr>
            <w:tcW w:w="24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其他事业收入</w:t>
            </w:r>
          </w:p>
        </w:tc>
        <w:tc>
          <w:tcPr>
            <w:tcW w:w="1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一、资源勘测信息支出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工业和信息产业监管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 xml:space="preserve">      无线电监管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二、社会保障和就业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行政事业单位养老支出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行政单位离退休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事业单位离退休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机关事业单位基本养老保险缴费支出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机关事业单位职业年金缴费支出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三、卫生健康支出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卫生健康管理事务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其他卫生健康管理事务支出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行政事业单位医疗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行政单位医疗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事业单位医疗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四、住房保障支出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住房改革支出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住房公积金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szCs w:val="21"/>
        </w:rPr>
        <w:t>注：按照《批复》预算表2（20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年收入预算总表）填列。功能科目填列至项级。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1050"/>
        <w:gridCol w:w="1023"/>
        <w:gridCol w:w="877"/>
        <w:gridCol w:w="785"/>
        <w:gridCol w:w="864"/>
        <w:gridCol w:w="809"/>
        <w:gridCol w:w="810"/>
        <w:gridCol w:w="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00" w:type="pct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表三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功能分类科目名称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46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4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4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事业单位经营支出</w:t>
            </w:r>
          </w:p>
        </w:tc>
        <w:tc>
          <w:tcPr>
            <w:tcW w:w="4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对附属单位补助支出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上缴上级支出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4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4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一、资源勘测信息支出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工业和信息产业监管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无线电监管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二、社会保障和就业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行政事业单位养老支出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行政单位离退休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事业单位离退休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机关事业单位基本养老保险缴费支出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机关事业单位职业年金缴费支出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三、卫生健康支出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卫生健康管理事务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其他卫生健康管理事务支出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行政事业单位医疗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行政单位医疗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事业单位医疗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四、住房保障支出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住房改革支出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住房公积金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40.16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Cs w:val="21"/>
        </w:rPr>
      </w:pPr>
      <w:r>
        <w:rPr>
          <w:szCs w:val="21"/>
        </w:rPr>
        <w:t>注：按照《批复》预算表3（20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年支出预算总表）填列。功能科目填列至项级。</w:t>
      </w:r>
    </w:p>
    <w:p>
      <w:pPr>
        <w:jc w:val="both"/>
        <w:rPr>
          <w:rFonts w:ascii="黑体" w:hAnsi="黑体" w:eastAsia="黑体"/>
          <w:sz w:val="32"/>
          <w:szCs w:val="32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816"/>
        <w:gridCol w:w="3016"/>
        <w:gridCol w:w="716"/>
        <w:gridCol w:w="1085"/>
        <w:gridCol w:w="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财政拨款收支预算表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表四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收入</w:t>
            </w:r>
          </w:p>
        </w:tc>
        <w:tc>
          <w:tcPr>
            <w:tcW w:w="30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一、一般公共预算拨款收入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一、一般公共服务支出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财政预算拨款收入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二、国防支出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转移支付收入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三、公共安全支出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其他拨款收入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四、教育支出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二、政府性基金预算拨款收入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五、科学技术支出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六、文化旅游体育与传媒支出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七、社会保障和就业支出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八、卫生健康支出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九、节能环保支出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十、城乡社区支出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十一、农林水支出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十二、交通运输支出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十三、资源勘探工业信息等支出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十四、商业服务业等支出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十五、金融支出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十六、援助其他地区支出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十七、自然资源海洋气象等支出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十八、住房保障支出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十九、粮油物资储备支出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二十、灾害防治及应急管理支出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二十一、其他支出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本年收入合计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本年支出合计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结转下年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一般公共预算拨款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政府性基金预算拨款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收入总计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1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支出总计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ind w:firstLine="420" w:firstLineChars="200"/>
        <w:rPr>
          <w:szCs w:val="21"/>
        </w:rPr>
      </w:pPr>
      <w:r>
        <w:rPr>
          <w:szCs w:val="21"/>
        </w:rPr>
        <w:t>注：按照《批复》预算表4</w:t>
      </w:r>
      <w:r>
        <w:rPr>
          <w:rFonts w:hint="eastAsia"/>
          <w:szCs w:val="21"/>
        </w:rPr>
        <w:t xml:space="preserve"> (</w:t>
      </w:r>
      <w:r>
        <w:rPr>
          <w:szCs w:val="21"/>
        </w:rPr>
        <w:t>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年财政拨款支出预算总表</w:t>
      </w:r>
      <w:r>
        <w:rPr>
          <w:rFonts w:hint="eastAsia"/>
          <w:szCs w:val="21"/>
        </w:rPr>
        <w:t>)</w:t>
      </w:r>
      <w:r>
        <w:rPr>
          <w:szCs w:val="21"/>
        </w:rPr>
        <w:t>填列。功能科目填列至项级。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9"/>
        <w:gridCol w:w="1047"/>
        <w:gridCol w:w="1047"/>
        <w:gridCol w:w="1389"/>
        <w:gridCol w:w="1390"/>
        <w:gridCol w:w="1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一般公共预算财政拨款功能分类支出预算表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9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表五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功能分类科目名称</w:t>
            </w:r>
          </w:p>
        </w:tc>
        <w:tc>
          <w:tcPr>
            <w:tcW w:w="5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208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7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一、资源勘测信息支出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工业和信息产业监管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无线电监管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二、社会保障和就业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行政事业单位养老支出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行政单位离退休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事业单位离退休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机关事业单位基本养老保险缴费支出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机关事业单位职业年金缴费支出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三、卫生健康支出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卫生健康管理事务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其他卫生健康管理事务支出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行政事业单位医疗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行政单位医疗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事业单位医疗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四、住房保障支出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住房改革支出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住房公积金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40.16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Cs w:val="21"/>
        </w:rPr>
      </w:pPr>
      <w:r>
        <w:rPr>
          <w:szCs w:val="21"/>
        </w:rPr>
        <w:t>注：按照《批复》预算表5</w:t>
      </w:r>
      <w:r>
        <w:rPr>
          <w:rFonts w:hint="eastAsia"/>
          <w:szCs w:val="21"/>
        </w:rPr>
        <w:t>，（</w:t>
      </w:r>
      <w:r>
        <w:rPr>
          <w:szCs w:val="21"/>
        </w:rPr>
        <w:t>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年财政拨款基本支出预算总表</w:t>
      </w:r>
      <w:r>
        <w:rPr>
          <w:rFonts w:hint="eastAsia"/>
          <w:szCs w:val="21"/>
        </w:rPr>
        <w:t>）</w:t>
      </w:r>
      <w:r>
        <w:rPr>
          <w:szCs w:val="21"/>
        </w:rPr>
        <w:t>填列</w:t>
      </w:r>
      <w:r>
        <w:rPr>
          <w:rFonts w:hint="eastAsia"/>
          <w:szCs w:val="21"/>
        </w:rPr>
        <w:t>，经济分类科目填列到款级</w:t>
      </w:r>
      <w:r>
        <w:rPr>
          <w:szCs w:val="21"/>
        </w:rPr>
        <w:t>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1"/>
        <w:gridCol w:w="859"/>
        <w:gridCol w:w="859"/>
        <w:gridCol w:w="1138"/>
        <w:gridCol w:w="1138"/>
        <w:gridCol w:w="1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一般公共预算财政拨款经济分类支出预算表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8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表六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0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经济分类科目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7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7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7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一、工资福利支出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40.16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40.16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40.16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基本工资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16.75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16.75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16.75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津贴补贴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奖金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绩效工资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机关事业单位基本养老保险缴费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4.68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职业年金缴费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职工基本医疗保险缴费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2.02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其他社会保险缴费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住房公积金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3.51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其他工资福利支出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二、商品和服务支出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办公费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印刷费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水电费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邮电费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取暖费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物业管理费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差旅费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因公出国（境）费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维修（护）费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租赁费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会议费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培训费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公务接待费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专用材料费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被装购置费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劳务费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工会经费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福利费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公务用车运行维护费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其他交通费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其他商品和服务支出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三、对个人和家庭的补助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离休费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退休费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抚恤金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生活补助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助学金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其他对个人和家庭的补助支出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四、资本性支出（基本建设）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房屋建筑物购建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办公设备购置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大型修缮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其他基本建设支出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五、资本性支出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房屋建筑物购建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办公设备购置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大型修缮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信息网络及软件购置更新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其他资本性支出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41.56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40.16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Cs w:val="21"/>
        </w:rPr>
      </w:pPr>
      <w:r>
        <w:rPr>
          <w:szCs w:val="21"/>
        </w:rPr>
        <w:t>注：按照《批复》预算表</w:t>
      </w:r>
      <w:r>
        <w:rPr>
          <w:rFonts w:hint="eastAsia"/>
          <w:szCs w:val="21"/>
        </w:rPr>
        <w:t>6，（</w:t>
      </w:r>
      <w:r>
        <w:rPr>
          <w:szCs w:val="21"/>
        </w:rPr>
        <w:t>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年财政拨款基本支出预算总表</w:t>
      </w:r>
      <w:r>
        <w:rPr>
          <w:rFonts w:hint="eastAsia"/>
          <w:szCs w:val="21"/>
        </w:rPr>
        <w:t>）</w:t>
      </w:r>
      <w:r>
        <w:rPr>
          <w:szCs w:val="21"/>
        </w:rPr>
        <w:t>填列</w:t>
      </w:r>
      <w:r>
        <w:rPr>
          <w:rFonts w:hint="eastAsia"/>
          <w:szCs w:val="21"/>
        </w:rPr>
        <w:t>，经济分类科目填列到款级</w:t>
      </w:r>
      <w:r>
        <w:rPr>
          <w:szCs w:val="21"/>
        </w:rPr>
        <w:t>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0"/>
        <w:gridCol w:w="1434"/>
        <w:gridCol w:w="2169"/>
        <w:gridCol w:w="2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一般公共预算财政拨款“三公”经费支出预算表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表七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2024年预算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比2023年预算增减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增减变化原因说明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1、因公出国（境）费用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2、公务接待费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3、公务用车费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其中：（1）公务用车运行维护费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    （2）公务用车购置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 说明：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     1、“2024年预算数”的单位范围包括部门本级及所属</w:t>
            </w: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  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个预算单位。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   2、“2024年预算数”的实有人员</w:t>
            </w: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   6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人，其中：在职人员 </w:t>
            </w: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 6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人，离退休人员</w:t>
            </w: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  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。</w:t>
            </w:r>
          </w:p>
        </w:tc>
      </w:tr>
    </w:tbl>
    <w:p>
      <w:pPr>
        <w:rPr>
          <w:szCs w:val="21"/>
        </w:rPr>
      </w:pPr>
      <w:r>
        <w:rPr>
          <w:szCs w:val="21"/>
        </w:rPr>
        <w:t>注：按照《批复》预算表</w:t>
      </w:r>
      <w:r>
        <w:rPr>
          <w:rFonts w:hint="eastAsia"/>
          <w:szCs w:val="21"/>
        </w:rPr>
        <w:t>7（</w:t>
      </w:r>
      <w:r>
        <w:rPr>
          <w:szCs w:val="21"/>
        </w:rPr>
        <w:t>20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szCs w:val="21"/>
        </w:rPr>
        <w:t>年“三公”经费财政拨款支出预算总表）填列，其中，说明1、2按照《批复》“预算附表10”（单位基本信息情况表）填列）</w:t>
      </w:r>
    </w:p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"/>
        <w:gridCol w:w="14"/>
        <w:gridCol w:w="39"/>
        <w:gridCol w:w="625"/>
        <w:gridCol w:w="126"/>
        <w:gridCol w:w="691"/>
        <w:gridCol w:w="127"/>
        <w:gridCol w:w="158"/>
        <w:gridCol w:w="319"/>
        <w:gridCol w:w="207"/>
        <w:gridCol w:w="624"/>
        <w:gridCol w:w="528"/>
        <w:gridCol w:w="81"/>
        <w:gridCol w:w="98"/>
        <w:gridCol w:w="528"/>
        <w:gridCol w:w="839"/>
        <w:gridCol w:w="792"/>
        <w:gridCol w:w="53"/>
        <w:gridCol w:w="402"/>
        <w:gridCol w:w="254"/>
        <w:gridCol w:w="202"/>
        <w:gridCol w:w="18"/>
        <w:gridCol w:w="154"/>
        <w:gridCol w:w="359"/>
        <w:gridCol w:w="359"/>
        <w:gridCol w:w="359"/>
        <w:gridCol w:w="301"/>
        <w:gridCol w:w="58"/>
        <w:gridCol w:w="359"/>
        <w:gridCol w:w="359"/>
        <w:gridCol w:w="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960" w:hRule="atLeast"/>
        </w:trPr>
        <w:tc>
          <w:tcPr>
            <w:tcW w:w="345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政府性基金预算财政拨款支出预算表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630" w:hRule="atLeast"/>
        </w:trPr>
        <w:tc>
          <w:tcPr>
            <w:tcW w:w="3457" w:type="pct"/>
            <w:gridSpan w:val="2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表八                                                            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690" w:hRule="atLeast"/>
        </w:trPr>
        <w:tc>
          <w:tcPr>
            <w:tcW w:w="784" w:type="pct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功能分类科目名称</w:t>
            </w:r>
          </w:p>
        </w:tc>
        <w:tc>
          <w:tcPr>
            <w:tcW w:w="1120" w:type="pct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1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431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43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42" w:type="pct"/>
          <w:trHeight w:val="439" w:hRule="atLeast"/>
        </w:trPr>
        <w:tc>
          <w:tcPr>
            <w:tcW w:w="78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      计</w:t>
            </w:r>
          </w:p>
        </w:tc>
        <w:tc>
          <w:tcPr>
            <w:tcW w:w="112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1039" w:hRule="atLeast"/>
        </w:trPr>
        <w:tc>
          <w:tcPr>
            <w:tcW w:w="343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6"/>
                <w:szCs w:val="5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56"/>
                <w:szCs w:val="56"/>
                <w:u w:val="none"/>
                <w:bdr w:val="none" w:color="auto" w:sz="0" w:space="0"/>
                <w:lang w:val="en-US" w:eastAsia="zh-CN" w:bidi="ar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64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90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功能分类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0"/>
          <w:wBefore w:w="19" w:type="pct"/>
          <w:wAfter w:w="1550" w:type="pct"/>
          <w:trHeight w:val="510" w:hRule="atLeast"/>
        </w:trPr>
        <w:tc>
          <w:tcPr>
            <w:tcW w:w="83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1020" w:hRule="atLeast"/>
        </w:trPr>
        <w:tc>
          <w:tcPr>
            <w:tcW w:w="4468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52"/>
                <w:szCs w:val="52"/>
                <w:u w:val="none"/>
                <w:bdr w:val="none" w:color="auto" w:sz="0" w:space="0"/>
                <w:lang w:val="en-US" w:eastAsia="zh-CN" w:bidi="ar"/>
              </w:rPr>
              <w:t>项目支出表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489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4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项目单位</w:t>
            </w:r>
          </w:p>
        </w:tc>
        <w:tc>
          <w:tcPr>
            <w:tcW w:w="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9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本年财政拨款</w:t>
            </w:r>
          </w:p>
        </w:tc>
        <w:tc>
          <w:tcPr>
            <w:tcW w:w="4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财政拨款 结转</w:t>
            </w:r>
          </w:p>
        </w:tc>
        <w:tc>
          <w:tcPr>
            <w:tcW w:w="1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1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1890" w:hRule="atLeast"/>
        </w:trPr>
        <w:tc>
          <w:tcPr>
            <w:tcW w:w="33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一级项目</w:t>
            </w: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二级项目</w:t>
            </w:r>
          </w:p>
        </w:tc>
        <w:tc>
          <w:tcPr>
            <w:tcW w:w="74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共预算</w:t>
            </w: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有资本经营预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54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专项业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务支出</w:t>
            </w: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7" w:type="pct"/>
          <w:wAfter w:w="503" w:type="pct"/>
          <w:trHeight w:val="270" w:hRule="atLeast"/>
        </w:trPr>
        <w:tc>
          <w:tcPr>
            <w:tcW w:w="3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540" w:hRule="atLeast"/>
        </w:trPr>
        <w:tc>
          <w:tcPr>
            <w:tcW w:w="495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00" w:hRule="atLeast"/>
        </w:trPr>
        <w:tc>
          <w:tcPr>
            <w:tcW w:w="495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Style w:val="13"/>
                <w:rFonts w:eastAsia="宋体"/>
                <w:bdr w:val="none" w:color="auto" w:sz="0" w:space="0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1478" w:type="pct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填报单位（盖章）:</w:t>
            </w:r>
          </w:p>
        </w:tc>
        <w:tc>
          <w:tcPr>
            <w:tcW w:w="2620" w:type="pct"/>
            <w:gridSpan w:val="16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预算部门（盖章）:</w:t>
            </w:r>
          </w:p>
        </w:tc>
        <w:tc>
          <w:tcPr>
            <w:tcW w:w="853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填报日期：   年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60" w:hRule="atLeast"/>
        </w:trPr>
        <w:tc>
          <w:tcPr>
            <w:tcW w:w="14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474" w:type="pct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60" w:hRule="atLeast"/>
        </w:trPr>
        <w:tc>
          <w:tcPr>
            <w:tcW w:w="14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预算部门及编码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基层预算单位及编码</w:t>
            </w:r>
          </w:p>
        </w:tc>
        <w:tc>
          <w:tcPr>
            <w:tcW w:w="8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60" w:hRule="atLeast"/>
        </w:trPr>
        <w:tc>
          <w:tcPr>
            <w:tcW w:w="14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项目属性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新增项目 □   延续项目 □ </w:t>
            </w:r>
          </w:p>
        </w:tc>
        <w:tc>
          <w:tcPr>
            <w:tcW w:w="91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项目期</w:t>
            </w:r>
          </w:p>
        </w:tc>
        <w:tc>
          <w:tcPr>
            <w:tcW w:w="8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60" w:hRule="atLeast"/>
        </w:trPr>
        <w:tc>
          <w:tcPr>
            <w:tcW w:w="1478" w:type="pct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474" w:type="pct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年度资金总额：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60" w:hRule="atLeast"/>
        </w:trPr>
        <w:tc>
          <w:tcPr>
            <w:tcW w:w="1478" w:type="pct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4" w:type="pct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其中：财政拨款                     其他资金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00" w:hRule="atLeast"/>
        </w:trPr>
        <w:tc>
          <w:tcPr>
            <w:tcW w:w="37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2804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年度目标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中长期目标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111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4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目标1：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目标2：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目标3：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60" w:hRule="atLeast"/>
        </w:trPr>
        <w:tc>
          <w:tcPr>
            <w:tcW w:w="37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5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指标1：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指标2：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7" w:type="pct"/>
          <w:trHeight w:val="330" w:hRule="atLeast"/>
        </w:trPr>
        <w:tc>
          <w:tcPr>
            <w:tcW w:w="37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170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……</w:t>
            </w:r>
          </w:p>
        </w:tc>
        <w:tc>
          <w:tcPr>
            <w:tcW w:w="177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sectPr>
      <w:pgSz w:w="11906" w:h="16838"/>
      <w:pgMar w:top="1440" w:right="1066" w:bottom="1440" w:left="18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BA4272"/>
    <w:multiLevelType w:val="multilevel"/>
    <w:tmpl w:val="50BA4272"/>
    <w:lvl w:ilvl="0" w:tentative="0">
      <w:start w:val="1"/>
      <w:numFmt w:val="decimal"/>
      <w:lvlText w:val="%1、"/>
      <w:lvlJc w:val="left"/>
      <w:pPr>
        <w:ind w:left="17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80" w:hanging="420"/>
      </w:pPr>
    </w:lvl>
    <w:lvl w:ilvl="2" w:tentative="0">
      <w:start w:val="1"/>
      <w:numFmt w:val="lowerRoman"/>
      <w:lvlText w:val="%3."/>
      <w:lvlJc w:val="right"/>
      <w:pPr>
        <w:ind w:left="2300" w:hanging="420"/>
      </w:pPr>
    </w:lvl>
    <w:lvl w:ilvl="3" w:tentative="0">
      <w:start w:val="1"/>
      <w:numFmt w:val="decimal"/>
      <w:lvlText w:val="%4."/>
      <w:lvlJc w:val="left"/>
      <w:pPr>
        <w:ind w:left="2720" w:hanging="420"/>
      </w:pPr>
    </w:lvl>
    <w:lvl w:ilvl="4" w:tentative="0">
      <w:start w:val="1"/>
      <w:numFmt w:val="lowerLetter"/>
      <w:lvlText w:val="%5)"/>
      <w:lvlJc w:val="left"/>
      <w:pPr>
        <w:ind w:left="3140" w:hanging="420"/>
      </w:pPr>
    </w:lvl>
    <w:lvl w:ilvl="5" w:tentative="0">
      <w:start w:val="1"/>
      <w:numFmt w:val="lowerRoman"/>
      <w:lvlText w:val="%6."/>
      <w:lvlJc w:val="right"/>
      <w:pPr>
        <w:ind w:left="3560" w:hanging="420"/>
      </w:pPr>
    </w:lvl>
    <w:lvl w:ilvl="6" w:tentative="0">
      <w:start w:val="1"/>
      <w:numFmt w:val="decimal"/>
      <w:lvlText w:val="%7."/>
      <w:lvlJc w:val="left"/>
      <w:pPr>
        <w:ind w:left="3980" w:hanging="420"/>
      </w:pPr>
    </w:lvl>
    <w:lvl w:ilvl="7" w:tentative="0">
      <w:start w:val="1"/>
      <w:numFmt w:val="lowerLetter"/>
      <w:lvlText w:val="%8)"/>
      <w:lvlJc w:val="left"/>
      <w:pPr>
        <w:ind w:left="4400" w:hanging="420"/>
      </w:pPr>
    </w:lvl>
    <w:lvl w:ilvl="8" w:tentative="0">
      <w:start w:val="1"/>
      <w:numFmt w:val="lowerRoman"/>
      <w:lvlText w:val="%9."/>
      <w:lvlJc w:val="right"/>
      <w:pPr>
        <w:ind w:left="48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wYzY3MTNmNmUwZjYzNTBmMTk3NTI0ZDQ1ODAyYj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2A3E73D9"/>
    <w:rsid w:val="37C73919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1">
    <w:name w:val="font2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3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3">
    <w:name w:val="font51"/>
    <w:basedOn w:val="6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2024-01-28T02:00:24Z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1020A253DF8A4FA8A7768A954209704A_13</vt:lpwstr>
  </property>
</Properties>
</file>