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2088" w:firstLineChars="4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市乡村振兴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局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spacing w:line="578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白城市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乡村振兴局</w:t>
      </w:r>
      <w:r>
        <w:rPr>
          <w:rFonts w:hint="eastAsia" w:ascii="仿宋_GB2312" w:eastAsia="仿宋_GB2312"/>
          <w:sz w:val="32"/>
          <w:szCs w:val="32"/>
        </w:rPr>
        <w:t>是市政府工作部门，为正处级。主要职责是：贯彻落实党中央、省委和市委关于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eastAsia="仿宋_GB2312"/>
          <w:sz w:val="32"/>
          <w:szCs w:val="32"/>
        </w:rPr>
        <w:t>工作的方针政策和决策部署，在履行职责过程中坚持和加强党对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eastAsia="仿宋_GB2312"/>
          <w:sz w:val="32"/>
          <w:szCs w:val="32"/>
        </w:rPr>
        <w:t>工作的集中统一领导。</w:t>
      </w:r>
    </w:p>
    <w:p>
      <w:pPr>
        <w:spacing w:line="578" w:lineRule="exact"/>
        <w:ind w:firstLine="640" w:firstLineChars="200"/>
        <w:rPr>
          <w:rFonts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（一）组织开展全市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重大政策的调查研究，宣传、贯彻党中央、省委和市委关于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工作的方针、政策和措施，拟订全市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工作的年度计划、脱贫攻坚举措，并组织实施。</w:t>
      </w:r>
    </w:p>
    <w:p>
      <w:pPr>
        <w:spacing w:line="578" w:lineRule="exact"/>
        <w:ind w:firstLine="640" w:firstLineChars="200"/>
        <w:rPr>
          <w:rFonts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（二）组织指导全市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工作。</w:t>
      </w:r>
    </w:p>
    <w:p>
      <w:pPr>
        <w:spacing w:line="578" w:lineRule="exact"/>
        <w:ind w:firstLine="640" w:firstLineChars="200"/>
        <w:rPr>
          <w:rFonts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（三）组织全市社会各界参与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工作，协调定点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工作，协助做好市直机关和单位的驻村帮扶工作，协调推进省内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协作工作。</w:t>
      </w:r>
    </w:p>
    <w:p>
      <w:pPr>
        <w:spacing w:line="578" w:lineRule="exact"/>
        <w:ind w:firstLine="640" w:firstLineChars="200"/>
        <w:rPr>
          <w:rFonts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（四）按照农村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对象识别、退出标准，做好国家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工作重点县和省定贫困县及贫困村的摘帽退出。负责全市贫困对象建档立卡管理工作。</w:t>
      </w:r>
    </w:p>
    <w:p>
      <w:pPr>
        <w:spacing w:line="578" w:lineRule="exact"/>
        <w:ind w:firstLine="640" w:firstLineChars="200"/>
        <w:rPr>
          <w:rFonts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（五）协调指导贫困地区推进产业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工作；调度推动行业部门落实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 xml:space="preserve">职责和任务。 </w:t>
      </w:r>
    </w:p>
    <w:p>
      <w:pPr>
        <w:spacing w:line="578" w:lineRule="exact"/>
        <w:ind w:firstLine="640" w:firstLineChars="200"/>
        <w:rPr>
          <w:rFonts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（六）负责全市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情况的统计和动态监测，负责全市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信息网建设和管理工作。</w:t>
      </w:r>
    </w:p>
    <w:p>
      <w:pPr>
        <w:spacing w:line="578" w:lineRule="exact"/>
        <w:ind w:firstLine="640" w:firstLineChars="200"/>
        <w:rPr>
          <w:rFonts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（七） 负责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政策落实的督查、巡查和暗访工作； 组织开展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工作成效考核。</w:t>
      </w:r>
    </w:p>
    <w:p>
      <w:pPr>
        <w:spacing w:line="578" w:lineRule="exact"/>
        <w:ind w:firstLine="640" w:firstLineChars="200"/>
        <w:rPr>
          <w:rFonts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（八）负责组织指导开展全市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干部教育培训。</w:t>
      </w:r>
    </w:p>
    <w:p>
      <w:pPr>
        <w:spacing w:line="578" w:lineRule="exact"/>
        <w:ind w:firstLine="640" w:firstLineChars="200"/>
        <w:rPr>
          <w:rFonts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（九）组织开展全市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宣传工作。</w:t>
      </w:r>
    </w:p>
    <w:p>
      <w:pPr>
        <w:spacing w:line="578" w:lineRule="exact"/>
        <w:ind w:firstLine="640" w:firstLineChars="200"/>
        <w:rPr>
          <w:rFonts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（十）负责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事项来信来访的接待、受理工作。</w:t>
      </w:r>
    </w:p>
    <w:p>
      <w:pPr>
        <w:spacing w:line="578" w:lineRule="exact"/>
        <w:ind w:firstLine="640" w:firstLineChars="200"/>
        <w:rPr>
          <w:rFonts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（十一）承担市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乡村振兴</w:t>
      </w: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领导小组的日常工作。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MingLiU_HKSCS"/>
          <w:color w:val="000000"/>
          <w:kern w:val="0"/>
          <w:sz w:val="32"/>
          <w:szCs w:val="32"/>
          <w:lang w:val="zh-CN" w:bidi="zh-CN"/>
        </w:rPr>
        <w:t>（十二）完成市委、市政府交办的其他任务。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spacing w:line="578" w:lineRule="exact"/>
        <w:ind w:firstLine="640" w:firstLineChars="200"/>
        <w:rPr>
          <w:rFonts w:ascii="仿宋" w:hAnsi="仿宋" w:eastAsia="仿宋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" w:hAnsi="仿宋" w:eastAsia="仿宋"/>
          <w:sz w:val="32"/>
        </w:rPr>
        <w:t>根据上述职责，</w:t>
      </w:r>
      <w:r>
        <w:rPr>
          <w:rFonts w:hint="eastAsia" w:ascii="仿宋" w:hAnsi="仿宋" w:eastAsia="仿宋"/>
          <w:sz w:val="32"/>
          <w:szCs w:val="32"/>
        </w:rPr>
        <w:t>白城市乡村振兴局</w:t>
      </w:r>
      <w:r>
        <w:rPr>
          <w:rFonts w:hint="eastAsia" w:ascii="仿宋" w:hAnsi="仿宋" w:eastAsia="仿宋" w:cs="MingLiU_HKSCS"/>
          <w:color w:val="000000"/>
          <w:kern w:val="0"/>
          <w:sz w:val="32"/>
          <w:szCs w:val="32"/>
          <w:lang w:val="zh-CN" w:bidi="zh-CN"/>
        </w:rPr>
        <w:t>内设机构5个和1个所属事业单位分别为：综合科、规划指导科（法规科、社会扶贫科）、督查考核科（信访科）、行业扶贫科（产业扶贫科）、机关党总支（人事科）和白城市扶贫开发服务中心。</w:t>
      </w:r>
    </w:p>
    <w:p>
      <w:pPr>
        <w:spacing w:line="578" w:lineRule="exact"/>
        <w:ind w:firstLine="640" w:firstLineChars="200"/>
        <w:rPr>
          <w:rFonts w:ascii="仿宋" w:hAnsi="仿宋" w:eastAsia="仿宋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" w:hAnsi="仿宋" w:eastAsia="仿宋" w:cs="MingLiU_HKSCS"/>
          <w:color w:val="000000"/>
          <w:kern w:val="0"/>
          <w:sz w:val="32"/>
          <w:szCs w:val="32"/>
          <w:lang w:val="zh-CN" w:bidi="zh-CN"/>
        </w:rPr>
        <w:t>下设预算单位家数1个，白城市</w:t>
      </w:r>
      <w:r>
        <w:rPr>
          <w:rFonts w:hint="eastAsia" w:ascii="仿宋" w:hAnsi="仿宋" w:eastAsia="仿宋" w:cs="MingLiU_HKSCS"/>
          <w:color w:val="000000"/>
          <w:kern w:val="0"/>
          <w:sz w:val="32"/>
          <w:szCs w:val="32"/>
          <w:lang w:val="en-US" w:bidi="zh-CN"/>
        </w:rPr>
        <w:t>乡村振兴</w:t>
      </w:r>
      <w:r>
        <w:rPr>
          <w:rFonts w:hint="eastAsia" w:ascii="仿宋" w:hAnsi="仿宋" w:eastAsia="仿宋" w:cs="MingLiU_HKSCS"/>
          <w:color w:val="000000"/>
          <w:kern w:val="0"/>
          <w:sz w:val="32"/>
          <w:szCs w:val="32"/>
          <w:lang w:val="zh-CN" w:bidi="zh-CN"/>
        </w:rPr>
        <w:t>服务中心。</w:t>
      </w:r>
    </w:p>
    <w:p>
      <w:pPr>
        <w:spacing w:line="578" w:lineRule="exact"/>
        <w:ind w:firstLine="640" w:firstLineChars="200"/>
        <w:rPr>
          <w:rFonts w:ascii="仿宋" w:hAnsi="仿宋" w:eastAsia="仿宋" w:cs="MingLiU_HKSCS"/>
          <w:color w:val="000000"/>
          <w:kern w:val="0"/>
          <w:sz w:val="32"/>
          <w:szCs w:val="32"/>
          <w:lang w:val="zh-CN" w:bidi="zh-CN"/>
        </w:rPr>
      </w:pPr>
      <w:r>
        <w:rPr>
          <w:rFonts w:hint="eastAsia" w:ascii="仿宋" w:hAnsi="仿宋" w:eastAsia="仿宋" w:cs="MingLiU_HKSCS"/>
          <w:color w:val="000000"/>
          <w:kern w:val="0"/>
          <w:sz w:val="32"/>
          <w:szCs w:val="32"/>
          <w:lang w:val="zh-CN" w:bidi="zh-CN"/>
        </w:rPr>
        <w:t>部门本级预算单位全称：白城市</w:t>
      </w:r>
      <w:r>
        <w:rPr>
          <w:rFonts w:hint="eastAsia" w:ascii="仿宋" w:hAnsi="仿宋" w:eastAsia="仿宋" w:cs="MingLiU_HKSCS"/>
          <w:color w:val="000000"/>
          <w:kern w:val="0"/>
          <w:sz w:val="32"/>
          <w:szCs w:val="32"/>
          <w:lang w:val="en-US" w:bidi="zh-CN"/>
        </w:rPr>
        <w:t>乡村振兴局</w:t>
      </w:r>
      <w:r>
        <w:rPr>
          <w:rFonts w:hint="eastAsia" w:ascii="仿宋" w:hAnsi="仿宋" w:eastAsia="仿宋" w:cs="MingLiU_HKSCS"/>
          <w:color w:val="000000"/>
          <w:kern w:val="0"/>
          <w:sz w:val="32"/>
          <w:szCs w:val="32"/>
          <w:lang w:val="zh-CN" w:bidi="zh-CN"/>
        </w:rPr>
        <w:t>。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5MjRmM2Y2MTJiN2Y4NGI5ZmRlNWIwZWY4MGU2MmM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1B612E91"/>
    <w:rsid w:val="29171F48"/>
    <w:rsid w:val="3CFB6A54"/>
    <w:rsid w:val="47160221"/>
    <w:rsid w:val="63C6642D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1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s</cp:lastModifiedBy>
  <cp:lastPrinted>2018-03-19T09:33:00Z</cp:lastPrinted>
  <dcterms:modified xsi:type="dcterms:W3CDTF">2024-01-25T07:43:05Z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