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566" w:firstLineChars="3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水资源管理中心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主要职责为：为建设项目水资源论证报告（表）和各县（市、区）呈报的开发利用等专项规划的技术审查提供支持保障；负责全市地下水动态监测、资料整编工作；负责编制年度水资源公报、年度地下水动态简报及阶段地下水动态通报；为全市重点用水企业水平衡测试成果的技术审查提供支持保障；负责水资源开发利用量统计与复核工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sz w:val="32"/>
          <w:szCs w:val="30"/>
        </w:rPr>
        <w:t>白城市水资源管理中心</w:t>
      </w:r>
      <w:r>
        <w:rPr>
          <w:rFonts w:hint="eastAsia" w:ascii="仿宋" w:hAnsi="仿宋" w:eastAsia="仿宋"/>
          <w:sz w:val="32"/>
        </w:rPr>
        <w:t>内设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</w:rPr>
        <w:t>个机构。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第三部分 情况说明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年收支预算总体情况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 xml:space="preserve"> 按照综合预算的原则，所有收入和支出全部纳入部门预算管理。收入包括：一般公共预算拨款收入、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事业及经营收入、</w:t>
      </w:r>
      <w:r>
        <w:rPr>
          <w:rFonts w:ascii="仿宋" w:hAnsi="仿宋" w:eastAsia="仿宋"/>
          <w:sz w:val="32"/>
          <w:szCs w:val="32"/>
        </w:rPr>
        <w:t>其他收入、上年结转；支出包括：一般公共服务支出、社会保障和就业支出、卫生健康支出、住房保障支出。202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万元, 比20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</w:t>
      </w:r>
      <w:r>
        <w:rPr>
          <w:rFonts w:hint="eastAsia" w:ascii="仿宋" w:hAnsi="仿宋" w:eastAsia="仿宋"/>
          <w:sz w:val="32"/>
          <w:szCs w:val="32"/>
        </w:rPr>
        <w:t>或减少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24.63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sz w:val="32"/>
          <w:szCs w:val="32"/>
          <w:lang w:eastAsia="zh-CN"/>
        </w:rPr>
        <w:t>我单位严格控制各项支出。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年收入预算情况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年收入预算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万元，其中：本年收入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%；上年结转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%。本年收入中， 一般公共预算拨款收入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事业及经营收入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%；其他收入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三、202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年支出预算情况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年支出预算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471.7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四、202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年财政拨款收支预算情况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年财政拨款收支总预算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万元，其中：一般公共预算拨款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万元。支出包括：一般公共服务支出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409.85   </w:t>
      </w:r>
      <w:r>
        <w:rPr>
          <w:rFonts w:ascii="仿宋" w:hAnsi="仿宋" w:eastAsia="仿宋"/>
          <w:sz w:val="32"/>
          <w:szCs w:val="32"/>
        </w:rPr>
        <w:t>万元，社会保障和就业支出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42.97   </w:t>
      </w:r>
      <w:r>
        <w:rPr>
          <w:rFonts w:ascii="仿宋" w:hAnsi="仿宋" w:eastAsia="仿宋"/>
          <w:sz w:val="32"/>
          <w:szCs w:val="32"/>
        </w:rPr>
        <w:t>万元，卫生健康支出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18.02  </w:t>
      </w:r>
      <w:r>
        <w:rPr>
          <w:rFonts w:ascii="仿宋" w:hAnsi="仿宋" w:eastAsia="仿宋"/>
          <w:sz w:val="32"/>
          <w:szCs w:val="32"/>
        </w:rPr>
        <w:t>万元，住房保障支出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30.86  </w:t>
      </w:r>
      <w:r>
        <w:rPr>
          <w:rFonts w:ascii="仿宋" w:hAnsi="仿宋" w:eastAsia="仿宋"/>
          <w:sz w:val="32"/>
          <w:szCs w:val="32"/>
        </w:rPr>
        <w:t>万元。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五、202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年一般公共预算财政拨款情况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年一般公共预算当年拨款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万元，其中：基本支出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%；项目支出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%。基本支出中，人员经费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471.7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94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%；公用经费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%。 一般公共服务（类）支出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409.85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%，主要用于行政事业单位人员工资、机构运行经费等。 社会保障和就业（类）支出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42.97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8.6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</w:t>
      </w:r>
      <w:r>
        <w:rPr>
          <w:rFonts w:hint="eastAsia" w:ascii="仿宋" w:hAnsi="仿宋" w:eastAsia="仿宋"/>
          <w:sz w:val="32"/>
          <w:szCs w:val="32"/>
          <w:lang w:eastAsia="zh-CN"/>
        </w:rPr>
        <w:t>机关事业单位基本养老保险、其他事业单位养老支出</w:t>
      </w:r>
      <w:r>
        <w:rPr>
          <w:rFonts w:ascii="仿宋" w:hAnsi="仿宋" w:eastAsia="仿宋"/>
          <w:sz w:val="32"/>
          <w:szCs w:val="32"/>
        </w:rPr>
        <w:t>。 卫生健康（类）支出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18.02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3.6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%，主要用于行政事业单位基本医疗保险缴费</w:t>
      </w:r>
      <w:r>
        <w:rPr>
          <w:rFonts w:hint="eastAsia" w:ascii="仿宋" w:hAnsi="仿宋" w:eastAsia="仿宋"/>
          <w:sz w:val="32"/>
          <w:szCs w:val="32"/>
          <w:lang w:eastAsia="zh-CN"/>
        </w:rPr>
        <w:t>、工伤保险缴费</w:t>
      </w:r>
      <w:r>
        <w:rPr>
          <w:rFonts w:ascii="仿宋" w:hAnsi="仿宋" w:eastAsia="仿宋"/>
          <w:sz w:val="32"/>
          <w:szCs w:val="32"/>
        </w:rPr>
        <w:t>支出。住房保障（类）支出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30.86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万元，占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6.1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%，主要用于行政事业单位为职工缴纳的住房公积金支出。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 六、202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>年一般公共预算基本支出情况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年一般公共预算基本支出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501.7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万元，其中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ascii="仿宋" w:hAnsi="仿宋" w:eastAsia="仿宋"/>
          <w:sz w:val="32"/>
          <w:szCs w:val="32"/>
        </w:rPr>
        <w:t>人员经费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471.7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万元，主要包括：基本工资、津贴补贴、奖金、机关事业单位基本养老保险缴费、职工基本医疗保险缴费、</w:t>
      </w:r>
      <w:r>
        <w:rPr>
          <w:rFonts w:hint="eastAsia" w:ascii="仿宋" w:hAnsi="仿宋" w:eastAsia="仿宋"/>
          <w:sz w:val="32"/>
          <w:szCs w:val="32"/>
          <w:lang w:eastAsia="zh-CN"/>
        </w:rPr>
        <w:t>工伤保险缴费、</w:t>
      </w:r>
      <w:r>
        <w:rPr>
          <w:rFonts w:ascii="仿宋" w:hAnsi="仿宋" w:eastAsia="仿宋"/>
          <w:sz w:val="32"/>
          <w:szCs w:val="32"/>
        </w:rPr>
        <w:t>其他社会保障缴费、住房公积金、</w:t>
      </w:r>
      <w:r>
        <w:rPr>
          <w:rFonts w:hint="eastAsia" w:ascii="仿宋" w:hAnsi="仿宋" w:eastAsia="仿宋"/>
          <w:sz w:val="32"/>
          <w:szCs w:val="32"/>
          <w:lang w:eastAsia="zh-CN"/>
        </w:rPr>
        <w:t>退休费</w:t>
      </w:r>
      <w:r>
        <w:rPr>
          <w:rFonts w:ascii="仿宋" w:hAnsi="仿宋" w:eastAsia="仿宋"/>
          <w:sz w:val="32"/>
          <w:szCs w:val="32"/>
        </w:rPr>
        <w:t>。公用经费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万元，主要包括：办公费、印刷费、咨询费、电费、邮电费、差旅费、会议费、培训费、劳务费、工会经费、公务用车运行维护费。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七、202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年一般公共预算财政拨款“三公”经费情况 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 xml:space="preserve"> 年“三公”经费预算数为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ascii="仿宋" w:hAnsi="仿宋" w:eastAsia="仿宋"/>
          <w:sz w:val="32"/>
          <w:szCs w:val="32"/>
        </w:rPr>
        <w:t>万元。其中： 1.因公出国（境）费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比</w:t>
      </w:r>
      <w:r>
        <w:rPr>
          <w:rFonts w:ascii="仿宋" w:hAnsi="仿宋" w:eastAsia="仿宋"/>
          <w:sz w:val="32"/>
          <w:szCs w:val="32"/>
        </w:rPr>
        <w:t xml:space="preserve">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增加（或）减少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ascii="仿宋" w:hAnsi="仿宋" w:eastAsia="仿宋"/>
          <w:sz w:val="32"/>
          <w:szCs w:val="32"/>
        </w:rPr>
        <w:t>。 2.公务接待费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万元，主要原因是外事接待工作任务</w:t>
      </w:r>
      <w:r>
        <w:rPr>
          <w:rFonts w:hint="eastAsia" w:ascii="仿宋" w:hAnsi="仿宋" w:eastAsia="仿宋"/>
          <w:sz w:val="32"/>
          <w:szCs w:val="32"/>
        </w:rPr>
        <w:t>增加（或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ascii="仿宋" w:hAnsi="仿宋" w:eastAsia="仿宋"/>
          <w:sz w:val="32"/>
          <w:szCs w:val="32"/>
        </w:rPr>
        <w:t>。 3.公务用车购置及运行费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</w:t>
      </w:r>
      <w:r>
        <w:rPr>
          <w:rFonts w:hint="eastAsia" w:ascii="仿宋" w:hAnsi="仿宋" w:eastAsia="仿宋"/>
          <w:sz w:val="32"/>
          <w:szCs w:val="32"/>
        </w:rPr>
        <w:t>或</w:t>
      </w:r>
      <w:r>
        <w:rPr>
          <w:rFonts w:ascii="仿宋" w:hAnsi="仿宋" w:eastAsia="仿宋"/>
          <w:sz w:val="32"/>
          <w:szCs w:val="32"/>
        </w:rPr>
        <w:t>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万元。其中，公务用车运行维护费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万元，比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>年预算数减少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万元，主要原因是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严格按照要求，控制三公经费支出 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八、202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ascii="黑体" w:hAnsi="黑体" w:eastAsia="黑体"/>
          <w:sz w:val="32"/>
          <w:szCs w:val="32"/>
        </w:rPr>
        <w:t xml:space="preserve">年政府性基金预算支出情况 </w:t>
      </w:r>
    </w:p>
    <w:p>
      <w:pPr>
        <w:spacing w:before="240"/>
        <w:ind w:firstLine="640" w:firstLineChars="200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本部门无政府性基金预算拨款</w:t>
      </w:r>
    </w:p>
    <w:p>
      <w:pPr>
        <w:ind w:firstLine="960" w:firstLineChars="300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 xml:space="preserve">九、其他重要事项的说明情况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（一）机关运行经费</w:t>
      </w:r>
    </w:p>
    <w:p>
      <w:pPr>
        <w:ind w:firstLine="640" w:firstLineChars="200"/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本部门为事业单位，没有机关运行经费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（二）政府采购情况</w:t>
      </w:r>
    </w:p>
    <w:p>
      <w:pPr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本部门无政府采购预算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（三）国有资产占有使用情况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截至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ascii="仿宋" w:hAnsi="仿宋" w:eastAsia="仿宋"/>
          <w:sz w:val="32"/>
          <w:szCs w:val="32"/>
        </w:rPr>
        <w:t xml:space="preserve"> 年</w:t>
      </w: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ascii="仿宋" w:hAnsi="仿宋" w:eastAsia="仿宋"/>
          <w:sz w:val="32"/>
          <w:szCs w:val="32"/>
        </w:rPr>
        <w:t>月底，部门本级和所属各预算单位共有车辆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</w:rPr>
        <w:t>辆，房屋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1672.63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平方米，单价 50 万元及以上的通用设备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</w:rPr>
        <w:t>台/套，单价 100 万元及以上的专用设备实有数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>0</w:t>
      </w:r>
      <w:r>
        <w:rPr>
          <w:rFonts w:ascii="仿宋" w:hAnsi="仿宋" w:eastAsia="仿宋"/>
          <w:sz w:val="32"/>
          <w:szCs w:val="32"/>
        </w:rPr>
        <w:t>台/套。 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年部门预算</w:t>
      </w:r>
      <w:r>
        <w:rPr>
          <w:rFonts w:hint="eastAsia" w:ascii="仿宋" w:hAnsi="仿宋" w:eastAsia="仿宋"/>
          <w:sz w:val="32"/>
          <w:szCs w:val="32"/>
          <w:lang w:eastAsia="zh-CN"/>
        </w:rPr>
        <w:t>没有安排</w:t>
      </w:r>
      <w:r>
        <w:rPr>
          <w:rFonts w:ascii="仿宋" w:hAnsi="仿宋" w:eastAsia="仿宋"/>
          <w:sz w:val="32"/>
          <w:szCs w:val="32"/>
        </w:rPr>
        <w:t xml:space="preserve">购置车辆、土地、房屋、单价 50 万元及以上的通用设备和单价 100 万元及以上的专用设备。 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（四）项目支出绩效目标情况说明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本年度无</w:t>
      </w:r>
      <w:r>
        <w:rPr>
          <w:rFonts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一级项目支出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</w:t>
      </w:r>
      <w:r>
        <w:rPr>
          <w:rFonts w:hint="eastAsia" w:ascii="仿宋" w:hAnsi="仿宋" w:eastAsia="仿宋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第四部分 名词解释</w:t>
      </w:r>
    </w:p>
    <w:p>
      <w:pPr>
        <w:ind w:firstLine="640" w:firstLineChars="200"/>
        <w:rPr>
          <w:rFonts w:hint="eastAsia" w:ascii="楷体" w:hAnsi="楷体" w:eastAsia="楷体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（一）一般公共预算拨款收入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>级财政通过当年一般公共预算拨付的资金。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（二）政府性基金预算拨款收入</w:t>
      </w:r>
      <w:r>
        <w:rPr>
          <w:rFonts w:ascii="仿宋" w:hAnsi="仿宋" w:eastAsia="仿宋"/>
          <w:sz w:val="32"/>
          <w:szCs w:val="32"/>
        </w:rPr>
        <w:t>：指</w:t>
      </w:r>
      <w:r>
        <w:rPr>
          <w:rFonts w:hint="eastAsia" w:ascii="仿宋" w:hAnsi="仿宋" w:eastAsia="仿宋"/>
          <w:sz w:val="32"/>
          <w:szCs w:val="32"/>
        </w:rPr>
        <w:t>市</w:t>
      </w:r>
      <w:r>
        <w:rPr>
          <w:rFonts w:ascii="仿宋" w:hAnsi="仿宋" w:eastAsia="仿宋"/>
          <w:sz w:val="32"/>
          <w:szCs w:val="32"/>
        </w:rPr>
        <w:t xml:space="preserve">级财政通过当年政府性基金预算拨付的资金。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三</w:t>
      </w:r>
      <w:r>
        <w:rPr>
          <w:rFonts w:ascii="楷体" w:hAnsi="楷体" w:eastAsia="楷体"/>
          <w:sz w:val="32"/>
          <w:szCs w:val="32"/>
        </w:rPr>
        <w:t>）其他收入</w:t>
      </w:r>
      <w:r>
        <w:rPr>
          <w:rFonts w:ascii="仿宋" w:hAnsi="仿宋" w:eastAsia="仿宋"/>
          <w:sz w:val="32"/>
          <w:szCs w:val="32"/>
        </w:rPr>
        <w:t xml:space="preserve">：指除上述“一般公共预算拨款收入”、“政府性基金预算拨款收入”、“事业收入”、“事业单位经营收入” 等以外的收入。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四</w:t>
      </w:r>
      <w:r>
        <w:rPr>
          <w:rFonts w:ascii="楷体" w:hAnsi="楷体" w:eastAsia="楷体"/>
          <w:sz w:val="32"/>
          <w:szCs w:val="32"/>
        </w:rPr>
        <w:t>）上级补助收入</w:t>
      </w:r>
      <w:r>
        <w:rPr>
          <w:rFonts w:ascii="仿宋" w:hAnsi="仿宋" w:eastAsia="仿宋"/>
          <w:sz w:val="32"/>
          <w:szCs w:val="32"/>
        </w:rPr>
        <w:t xml:space="preserve">：指预算单位从主管部门或上级单位 取得的非财政拨款补助收入。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五</w:t>
      </w:r>
      <w:r>
        <w:rPr>
          <w:rFonts w:ascii="楷体" w:hAnsi="楷体" w:eastAsia="楷体"/>
          <w:sz w:val="32"/>
          <w:szCs w:val="32"/>
        </w:rPr>
        <w:t>）上年结转</w:t>
      </w:r>
      <w:r>
        <w:rPr>
          <w:rFonts w:ascii="仿宋" w:hAnsi="仿宋" w:eastAsia="仿宋"/>
          <w:sz w:val="32"/>
          <w:szCs w:val="32"/>
        </w:rPr>
        <w:t xml:space="preserve">：指以前年度尚未完成、结转到本年仍按 原规定用途继续使用的资金。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六</w:t>
      </w:r>
      <w:r>
        <w:rPr>
          <w:rFonts w:ascii="楷体" w:hAnsi="楷体" w:eastAsia="楷体"/>
          <w:sz w:val="32"/>
          <w:szCs w:val="32"/>
        </w:rPr>
        <w:t>）结转下年</w:t>
      </w:r>
      <w:r>
        <w:rPr>
          <w:rFonts w:ascii="仿宋" w:hAnsi="仿宋" w:eastAsia="仿宋"/>
          <w:sz w:val="32"/>
          <w:szCs w:val="32"/>
        </w:rPr>
        <w:t xml:space="preserve">：指以前年度预算安排、因客观条件发生 变化无法按原计划实施，需延迟到以后年度按原规定用途继续使用的资金。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七</w:t>
      </w:r>
      <w:r>
        <w:rPr>
          <w:rFonts w:ascii="楷体" w:hAnsi="楷体" w:eastAsia="楷体"/>
          <w:sz w:val="32"/>
          <w:szCs w:val="32"/>
        </w:rPr>
        <w:t>）基本支出</w:t>
      </w:r>
      <w:r>
        <w:rPr>
          <w:rFonts w:ascii="仿宋" w:hAnsi="仿宋" w:eastAsia="仿宋"/>
          <w:sz w:val="32"/>
          <w:szCs w:val="32"/>
        </w:rPr>
        <w:t xml:space="preserve">：指为保障机构正常运转、完成日常工作任务而发生的人员支出和公用支出。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八</w:t>
      </w:r>
      <w:r>
        <w:rPr>
          <w:rFonts w:ascii="楷体" w:hAnsi="楷体" w:eastAsia="楷体"/>
          <w:sz w:val="32"/>
          <w:szCs w:val="32"/>
        </w:rPr>
        <w:t>）项目支出</w:t>
      </w:r>
      <w:r>
        <w:rPr>
          <w:rFonts w:ascii="仿宋" w:hAnsi="仿宋" w:eastAsia="仿宋"/>
          <w:sz w:val="32"/>
          <w:szCs w:val="32"/>
        </w:rPr>
        <w:t xml:space="preserve">：指在基本支出之外为完成特定行政任 务和事业发展目标所发生的支出。 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九</w:t>
      </w:r>
      <w:r>
        <w:rPr>
          <w:rFonts w:ascii="楷体" w:hAnsi="楷体" w:eastAsia="楷体"/>
          <w:sz w:val="32"/>
          <w:szCs w:val="32"/>
        </w:rPr>
        <w:t>）“三公”经费</w:t>
      </w:r>
      <w:r>
        <w:rPr>
          <w:rFonts w:ascii="仿宋" w:hAnsi="仿宋" w:eastAsia="仿宋"/>
          <w:sz w:val="32"/>
          <w:szCs w:val="32"/>
        </w:rPr>
        <w:t xml:space="preserve">：纳入财政预决算管理的“三公”经费， 是指部门用财政拨款安排的因公出国（境）费、公务用车购置及运行费和公务接待费。其中，因公出国（境）费反映单位公务出国（境）费的国际旅游、国外城市间交通费、住宿费、伙食费、培训费、公杂费等支出；公务用车购置及运行费反映单位公务用车车辆购置支出（含车辆购置税）及租用费、燃料费、维修费、过路过桥费、保险费、安全奖励费用等支出；公务接待费反映单位按规定开支的各类公务接待（含外宾接待）支出。 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NWExNGZhZTMwMWM5MzhiNWU5MjA1ZGJlYTg0ZD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092574D9"/>
    <w:rsid w:val="09406E1E"/>
    <w:rsid w:val="136C7C57"/>
    <w:rsid w:val="21A0310A"/>
    <w:rsid w:val="29171F48"/>
    <w:rsid w:val="37B84CF6"/>
    <w:rsid w:val="3BE221D5"/>
    <w:rsid w:val="3CFB6A54"/>
    <w:rsid w:val="47160221"/>
    <w:rsid w:val="627608C1"/>
    <w:rsid w:val="67BC03A1"/>
    <w:rsid w:val="754E3C1D"/>
    <w:rsid w:val="7DEB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13</TotalTime>
  <ScaleCrop>false</ScaleCrop>
  <LinksUpToDate>false</LinksUpToDate>
  <CharactersWithSpaces>345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局部地区有特大暴雨</cp:lastModifiedBy>
  <cp:lastPrinted>2018-03-19T09:33:00Z</cp:lastPrinted>
  <dcterms:modified xsi:type="dcterms:W3CDTF">2024-02-03T13:15:31Z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A469F1FD498A45BFAA39B08299F92BC6</vt:lpwstr>
  </property>
</Properties>
</file>