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asciiTheme="majorEastAsia" w:hAnsiTheme="majorEastAsia" w:eastAsiaTheme="majorEastAsia"/>
          <w:b/>
          <w:sz w:val="52"/>
          <w:szCs w:val="52"/>
          <w:u w:val="single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val="en-US" w:eastAsia="zh-CN"/>
        </w:rPr>
        <w:t>渔政渔港监督管理站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根据《中华人民共和国渔业法》和《吉林省渔业管理条例》等有关法规规章，承担以下职贵：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(一)监督检查本辖区执行渔业法律、法规的情况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(二)监督检查国际渔业协定的执行情况，协助有关部门</w:t>
      </w: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处理渔政管理方面的涉外事宜；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(三)保护渔业生产者的合法权益，维护渔业生产秩序，</w:t>
      </w: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调解处理渔事纠纷；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(四)保护、增殖渔业资源，救护水生野生动物；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(五)保护渔业水域生态环境，调查处理渔业水域污染事故；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(六)负责渔船登记；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(七)维护渔港港航安全，调查处理渔业水上交通安全事故，组织渔业水上救助；</w:t>
      </w:r>
    </w:p>
    <w:p>
      <w:pPr>
        <w:ind w:firstLine="640" w:firstLineChars="200"/>
        <w:jc w:val="left"/>
        <w:rPr>
          <w:rFonts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(八)渔业行政主管部门交办的其他事项。</w:t>
      </w:r>
    </w:p>
    <w:p>
      <w:pPr>
        <w:ind w:firstLine="320" w:firstLineChars="100"/>
        <w:jc w:val="left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内设办公室、业务科。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jA1YmEwNmI5MGM5Nzk1M2E5NzYwODM5NTM2M2Y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16B80E80"/>
    <w:rsid w:val="20745325"/>
    <w:rsid w:val="29171F48"/>
    <w:rsid w:val="3CFB6A54"/>
    <w:rsid w:val="47160221"/>
    <w:rsid w:val="4B944783"/>
    <w:rsid w:val="64373325"/>
    <w:rsid w:val="67BC03A1"/>
    <w:rsid w:val="69DF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2024-01-25T02:02:58Z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