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0" w:firstLineChars="0"/>
        <w:jc w:val="center"/>
        <w:rPr>
          <w:rFonts w:eastAsia="方正小标宋简体" w:cs="Times New Roman"/>
          <w:bCs/>
          <w:color w:val="000000" w:themeColor="text1"/>
          <w:sz w:val="44"/>
          <w:szCs w:val="44"/>
          <w14:textFill>
            <w14:solidFill>
              <w14:schemeClr w14:val="tx1"/>
            </w14:solidFill>
          </w14:textFill>
        </w:rPr>
      </w:pPr>
      <w:bookmarkStart w:id="0" w:name="_Hlk515267535"/>
      <w:bookmarkStart w:id="38" w:name="_GoBack"/>
      <w:bookmarkEnd w:id="38"/>
      <w:r>
        <w:rPr>
          <w:rFonts w:eastAsia="方正小标宋简体" w:cs="Times New Roman"/>
          <w:bCs/>
          <w:color w:val="000000" w:themeColor="text1"/>
          <w:sz w:val="44"/>
          <w:szCs w:val="44"/>
          <w14:textFill>
            <w14:solidFill>
              <w14:schemeClr w14:val="tx1"/>
            </w14:solidFill>
          </w14:textFill>
        </w:rPr>
        <w:t>《白城市国民经济和社会发展第十四个</w:t>
      </w:r>
    </w:p>
    <w:p>
      <w:pPr>
        <w:spacing w:line="578" w:lineRule="exact"/>
        <w:ind w:firstLine="0" w:firstLineChars="0"/>
        <w:jc w:val="center"/>
        <w:rPr>
          <w:rFonts w:eastAsia="微软雅黑" w:cs="Times New Roman"/>
          <w:b/>
          <w:color w:val="000000" w:themeColor="text1"/>
          <w:sz w:val="32"/>
          <w:szCs w:val="32"/>
          <w14:textFill>
            <w14:solidFill>
              <w14:schemeClr w14:val="tx1"/>
            </w14:solidFill>
          </w14:textFill>
        </w:rPr>
      </w:pPr>
      <w:r>
        <w:rPr>
          <w:rFonts w:eastAsia="方正小标宋简体" w:cs="Times New Roman"/>
          <w:bCs/>
          <w:color w:val="000000" w:themeColor="text1"/>
          <w:sz w:val="44"/>
          <w:szCs w:val="44"/>
          <w14:textFill>
            <w14:solidFill>
              <w14:schemeClr w14:val="tx1"/>
            </w14:solidFill>
          </w14:textFill>
        </w:rPr>
        <w:t>五年规划和2035年远景目标纲要》</w:t>
      </w:r>
    </w:p>
    <w:p>
      <w:pPr>
        <w:spacing w:line="578" w:lineRule="exact"/>
        <w:ind w:firstLine="0" w:firstLineChars="0"/>
        <w:jc w:val="center"/>
        <w:rPr>
          <w:rFonts w:eastAsia="方正小标宋简体" w:cs="Times New Roman"/>
          <w:bCs/>
          <w:color w:val="000000" w:themeColor="text1"/>
          <w:sz w:val="44"/>
          <w:szCs w:val="44"/>
          <w14:textFill>
            <w14:solidFill>
              <w14:schemeClr w14:val="tx1"/>
            </w14:solidFill>
          </w14:textFill>
        </w:rPr>
      </w:pPr>
      <w:r>
        <w:rPr>
          <w:rFonts w:eastAsia="方正小标宋简体" w:cs="Times New Roman"/>
          <w:bCs/>
          <w:color w:val="000000" w:themeColor="text1"/>
          <w:sz w:val="44"/>
          <w:szCs w:val="44"/>
          <w14:textFill>
            <w14:solidFill>
              <w14:schemeClr w14:val="tx1"/>
            </w14:solidFill>
          </w14:textFill>
        </w:rPr>
        <w:t>实施情况中期评估报告</w:t>
      </w:r>
    </w:p>
    <w:p>
      <w:pPr>
        <w:spacing w:line="578" w:lineRule="exact"/>
        <w:ind w:firstLine="0" w:firstLineChars="0"/>
        <w:jc w:val="center"/>
        <w:rPr>
          <w:rFonts w:ascii="方正楷体_GBK" w:hAnsi="方正楷体_GBK" w:eastAsia="方正楷体_GBK" w:cs="方正楷体_GBK"/>
          <w:bCs/>
          <w:color w:val="000000" w:themeColor="text1"/>
          <w:sz w:val="36"/>
          <w14:textFill>
            <w14:solidFill>
              <w14:schemeClr w14:val="tx1"/>
            </w14:solidFill>
          </w14:textFill>
        </w:rPr>
      </w:pPr>
      <w:r>
        <w:rPr>
          <w:rFonts w:hint="eastAsia" w:ascii="方正楷体_GBK" w:hAnsi="方正楷体_GBK" w:eastAsia="方正楷体_GBK" w:cs="方正楷体_GBK"/>
          <w:bCs/>
          <w:color w:val="000000" w:themeColor="text1"/>
          <w:sz w:val="36"/>
          <w14:textFill>
            <w14:solidFill>
              <w14:schemeClr w14:val="tx1"/>
            </w14:solidFill>
          </w14:textFill>
        </w:rPr>
        <w:t>（征求意见稿）</w:t>
      </w:r>
    </w:p>
    <w:bookmarkEnd w:id="0"/>
    <w:p>
      <w:pPr>
        <w:spacing w:line="578" w:lineRule="exact"/>
        <w:ind w:firstLine="640"/>
        <w:rPr>
          <w:rFonts w:eastAsia="方正仿宋_GBK" w:cs="Times New Roman"/>
          <w:color w:val="000000" w:themeColor="text1"/>
          <w:sz w:val="32"/>
          <w:szCs w:val="32"/>
          <w14:textFill>
            <w14:solidFill>
              <w14:schemeClr w14:val="tx1"/>
            </w14:solidFill>
          </w14:textFill>
        </w:rPr>
      </w:pPr>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《白城市国民经济和社会发展第十四个五年规划和2035年远景目标纲要》（以下简称《</w:t>
      </w:r>
      <w:bookmarkStart w:id="1" w:name="_Hlk140673250"/>
      <w:r>
        <w:rPr>
          <w:rFonts w:ascii="仿宋" w:hAnsi="仿宋" w:cs="Times New Roman"/>
          <w:color w:val="000000" w:themeColor="text1"/>
          <w:sz w:val="32"/>
          <w:szCs w:val="32"/>
          <w14:textFill>
            <w14:solidFill>
              <w14:schemeClr w14:val="tx1"/>
            </w14:solidFill>
          </w14:textFill>
        </w:rPr>
        <w:t>纲要》</w:t>
      </w:r>
      <w:bookmarkEnd w:id="1"/>
      <w:r>
        <w:rPr>
          <w:rFonts w:ascii="仿宋" w:hAnsi="仿宋" w:cs="Times New Roman"/>
          <w:color w:val="000000" w:themeColor="text1"/>
          <w:sz w:val="32"/>
          <w:szCs w:val="32"/>
          <w14:textFill>
            <w14:solidFill>
              <w14:schemeClr w14:val="tx1"/>
            </w14:solidFill>
          </w14:textFill>
        </w:rPr>
        <w:t>）是开启全面建设社会主义现代化新征程关键时期的行动纲领，也是全市经济社会发展的战略性、纲领性和综合性规划。目前，《纲要》已经实施两年半的时间，结合新阶段、新形势、新变化、根据《吉林省发展改革委关于开展我省“十四五”规划实施中期评估工作的通知》的要求，对《纲要》实施情况进行中期评估，并提出</w:t>
      </w:r>
      <w:r>
        <w:rPr>
          <w:rFonts w:hint="eastAsia" w:ascii="仿宋" w:hAnsi="仿宋" w:cs="Times New Roman"/>
          <w:color w:val="000000" w:themeColor="text1"/>
          <w:sz w:val="32"/>
          <w:szCs w:val="32"/>
          <w14:textFill>
            <w14:solidFill>
              <w14:schemeClr w14:val="tx1"/>
            </w14:solidFill>
          </w14:textFill>
        </w:rPr>
        <w:t>下一步工作</w:t>
      </w:r>
      <w:r>
        <w:rPr>
          <w:rFonts w:ascii="仿宋" w:hAnsi="仿宋" w:cs="Times New Roman"/>
          <w:color w:val="000000" w:themeColor="text1"/>
          <w:sz w:val="32"/>
          <w:szCs w:val="32"/>
          <w14:textFill>
            <w14:solidFill>
              <w14:schemeClr w14:val="tx1"/>
            </w14:solidFill>
          </w14:textFill>
        </w:rPr>
        <w:t>建议。</w:t>
      </w:r>
    </w:p>
    <w:p>
      <w:pPr>
        <w:pStyle w:val="3"/>
        <w:spacing w:beforeLines="0" w:afterLines="0" w:line="578" w:lineRule="exact"/>
        <w:ind w:left="721" w:firstLine="0" w:firstLineChars="0"/>
        <w:rPr>
          <w:rFonts w:ascii="黑体" w:hAnsi="黑体" w:eastAsia="黑体" w:cs="Times New Roman"/>
          <w:b w:val="0"/>
          <w:color w:val="000000" w:themeColor="text1"/>
          <w:kern w:val="2"/>
          <w:sz w:val="32"/>
          <w:szCs w:val="32"/>
          <w14:textFill>
            <w14:solidFill>
              <w14:schemeClr w14:val="tx1"/>
            </w14:solidFill>
          </w14:textFill>
        </w:rPr>
      </w:pPr>
      <w:bookmarkStart w:id="2" w:name="_Toc143176747"/>
      <w:r>
        <w:rPr>
          <w:rFonts w:ascii="黑体" w:hAnsi="黑体" w:eastAsia="黑体" w:cs="Times New Roman"/>
          <w:b w:val="0"/>
          <w:color w:val="000000" w:themeColor="text1"/>
          <w:kern w:val="2"/>
          <w:sz w:val="32"/>
          <w:szCs w:val="32"/>
          <w14:textFill>
            <w14:solidFill>
              <w14:schemeClr w14:val="tx1"/>
            </w14:solidFill>
          </w14:textFill>
        </w:rPr>
        <w:t>一、</w:t>
      </w:r>
      <w:bookmarkStart w:id="3" w:name="_Hlk140139504"/>
      <w:r>
        <w:rPr>
          <w:rFonts w:ascii="黑体" w:hAnsi="黑体" w:eastAsia="黑体" w:cs="Times New Roman"/>
          <w:b w:val="0"/>
          <w:color w:val="000000" w:themeColor="text1"/>
          <w:kern w:val="2"/>
          <w:sz w:val="32"/>
          <w:szCs w:val="32"/>
          <w14:textFill>
            <w14:solidFill>
              <w14:schemeClr w14:val="tx1"/>
            </w14:solidFill>
          </w14:textFill>
        </w:rPr>
        <w:t>规划《纲要》</w:t>
      </w:r>
      <w:bookmarkEnd w:id="3"/>
      <w:r>
        <w:rPr>
          <w:rFonts w:ascii="黑体" w:hAnsi="黑体" w:eastAsia="黑体" w:cs="Times New Roman"/>
          <w:b w:val="0"/>
          <w:color w:val="000000" w:themeColor="text1"/>
          <w:kern w:val="2"/>
          <w:sz w:val="32"/>
          <w:szCs w:val="32"/>
          <w14:textFill>
            <w14:solidFill>
              <w14:schemeClr w14:val="tx1"/>
            </w14:solidFill>
          </w14:textFill>
        </w:rPr>
        <w:t>实施总体进展情况评估</w:t>
      </w:r>
      <w:bookmarkEnd w:id="2"/>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十四五”以来，在以习近平同志为核心的党中央坚强领导下，在省委、省政府的正确领导下，白城市委、市政府带领全市上下积极贯彻新发展理念，坚持稳中求进的工作总基调，围绕全面建设社会主义现代化新白城目标，坚持实施“一三三四”高质量发展战略，全面推进“一城三区”建设，全市经济社会发展各项事业取得了显著成效。《纲要》确定的各项目标指标、重大任务举措和重大项目均有序推进、进展顺利，经济和社会发展呈现良好态势。</w:t>
      </w:r>
    </w:p>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4" w:name="_Toc143176748"/>
      <w:r>
        <w:rPr>
          <w:rFonts w:ascii="楷体" w:hAnsi="楷体" w:eastAsia="楷体" w:cs="Times New Roman"/>
          <w:color w:val="000000" w:themeColor="text1"/>
          <w14:textFill>
            <w14:solidFill>
              <w14:schemeClr w14:val="tx1"/>
            </w14:solidFill>
          </w14:textFill>
        </w:rPr>
        <w:t>（一）主要目标指标进展情况</w:t>
      </w:r>
      <w:bookmarkEnd w:id="4"/>
    </w:p>
    <w:p>
      <w:pPr>
        <w:pStyle w:val="4"/>
        <w:spacing w:before="156" w:afterLines="0" w:line="578" w:lineRule="exact"/>
        <w:ind w:firstLine="640"/>
        <w:rPr>
          <w:rFonts w:ascii="仿宋" w:hAnsi="仿宋" w:eastAsia="仿宋" w:cs="Times New Roman"/>
          <w:b w:val="0"/>
          <w:bCs w:val="0"/>
          <w:color w:val="000000" w:themeColor="text1"/>
          <w14:textFill>
            <w14:solidFill>
              <w14:schemeClr w14:val="tx1"/>
            </w14:solidFill>
          </w14:textFill>
        </w:rPr>
      </w:pPr>
      <w:bookmarkStart w:id="5" w:name="_Hlk142983401"/>
      <w:r>
        <w:rPr>
          <w:rFonts w:ascii="仿宋" w:hAnsi="仿宋" w:eastAsia="仿宋" w:cs="Times New Roman"/>
          <w:b w:val="0"/>
          <w:bCs w:val="0"/>
          <w:color w:val="000000" w:themeColor="text1"/>
          <w14:textFill>
            <w14:solidFill>
              <w14:schemeClr w14:val="tx1"/>
            </w14:solidFill>
          </w14:textFill>
        </w:rPr>
        <w:t>《纲要》</w:t>
      </w:r>
      <w:bookmarkEnd w:id="5"/>
      <w:r>
        <w:rPr>
          <w:rFonts w:ascii="仿宋" w:hAnsi="仿宋" w:eastAsia="仿宋" w:cs="Times New Roman"/>
          <w:b w:val="0"/>
          <w:bCs w:val="0"/>
          <w:color w:val="000000" w:themeColor="text1"/>
          <w14:textFill>
            <w14:solidFill>
              <w14:schemeClr w14:val="tx1"/>
            </w14:solidFill>
          </w14:textFill>
        </w:rPr>
        <w:t>分经济发展、创新驱动、民生福祉、绿色生态、安全保障五大类共1</w:t>
      </w:r>
      <w:r>
        <w:rPr>
          <w:rFonts w:hint="eastAsia" w:ascii="仿宋" w:hAnsi="仿宋" w:eastAsia="仿宋" w:cs="Times New Roman"/>
          <w:b w:val="0"/>
          <w:bCs w:val="0"/>
          <w:color w:val="000000" w:themeColor="text1"/>
          <w14:textFill>
            <w14:solidFill>
              <w14:schemeClr w14:val="tx1"/>
            </w14:solidFill>
          </w14:textFill>
        </w:rPr>
        <w:t>7</w:t>
      </w:r>
      <w:r>
        <w:rPr>
          <w:rFonts w:ascii="仿宋" w:hAnsi="仿宋" w:eastAsia="仿宋" w:cs="Times New Roman"/>
          <w:b w:val="0"/>
          <w:bCs w:val="0"/>
          <w:color w:val="000000" w:themeColor="text1"/>
          <w14:textFill>
            <w14:solidFill>
              <w14:schemeClr w14:val="tx1"/>
            </w14:solidFill>
          </w14:textFill>
        </w:rPr>
        <w:t>项发展指标，</w:t>
      </w:r>
      <w:bookmarkStart w:id="6" w:name="_Hlk140231173"/>
      <w:r>
        <w:rPr>
          <w:rFonts w:ascii="仿宋" w:hAnsi="仿宋" w:eastAsia="仿宋" w:cs="Times New Roman"/>
          <w:b w:val="0"/>
          <w:bCs w:val="0"/>
          <w:color w:val="000000" w:themeColor="text1"/>
          <w14:textFill>
            <w14:solidFill>
              <w14:schemeClr w14:val="tx1"/>
            </w14:solidFill>
          </w14:textFill>
        </w:rPr>
        <w:t>其中经济发展类</w:t>
      </w:r>
      <w:bookmarkEnd w:id="6"/>
      <w:r>
        <w:rPr>
          <w:rFonts w:ascii="仿宋" w:hAnsi="仿宋" w:eastAsia="仿宋" w:cs="Times New Roman"/>
          <w:b w:val="0"/>
          <w:bCs w:val="0"/>
          <w:color w:val="000000" w:themeColor="text1"/>
          <w14:textFill>
            <w14:solidFill>
              <w14:schemeClr w14:val="tx1"/>
            </w14:solidFill>
          </w14:textFill>
        </w:rPr>
        <w:t>2项、创新驱动类2项、民生福祉类</w:t>
      </w:r>
      <w:r>
        <w:rPr>
          <w:rFonts w:hint="eastAsia" w:ascii="仿宋" w:hAnsi="仿宋" w:eastAsia="仿宋" w:cs="Times New Roman"/>
          <w:b w:val="0"/>
          <w:bCs w:val="0"/>
          <w:color w:val="000000" w:themeColor="text1"/>
          <w14:textFill>
            <w14:solidFill>
              <w14:schemeClr w14:val="tx1"/>
            </w14:solidFill>
          </w14:textFill>
        </w:rPr>
        <w:t>6</w:t>
      </w:r>
      <w:r>
        <w:rPr>
          <w:rFonts w:ascii="仿宋" w:hAnsi="仿宋" w:eastAsia="仿宋" w:cs="Times New Roman"/>
          <w:b w:val="0"/>
          <w:bCs w:val="0"/>
          <w:color w:val="000000" w:themeColor="text1"/>
          <w14:textFill>
            <w14:solidFill>
              <w14:schemeClr w14:val="tx1"/>
            </w14:solidFill>
          </w14:textFill>
        </w:rPr>
        <w:t>项、绿色生态类5项、安全保障类2项。预期性指标</w:t>
      </w:r>
      <w:r>
        <w:rPr>
          <w:rFonts w:hint="eastAsia" w:ascii="仿宋" w:hAnsi="仿宋" w:eastAsia="仿宋" w:cs="Times New Roman"/>
          <w:b w:val="0"/>
          <w:bCs w:val="0"/>
          <w:color w:val="000000" w:themeColor="text1"/>
          <w14:textFill>
            <w14:solidFill>
              <w14:schemeClr w14:val="tx1"/>
            </w14:solidFill>
          </w14:textFill>
        </w:rPr>
        <w:t>9</w:t>
      </w:r>
      <w:r>
        <w:rPr>
          <w:rFonts w:ascii="仿宋" w:hAnsi="仿宋" w:eastAsia="仿宋" w:cs="Times New Roman"/>
          <w:b w:val="0"/>
          <w:bCs w:val="0"/>
          <w:color w:val="000000" w:themeColor="text1"/>
          <w14:textFill>
            <w14:solidFill>
              <w14:schemeClr w14:val="tx1"/>
            </w14:solidFill>
          </w14:textFill>
        </w:rPr>
        <w:t>项，约束性指标</w:t>
      </w:r>
      <w:r>
        <w:rPr>
          <w:rFonts w:hint="eastAsia" w:ascii="仿宋" w:hAnsi="仿宋" w:eastAsia="仿宋" w:cs="Times New Roman"/>
          <w:b w:val="0"/>
          <w:bCs w:val="0"/>
          <w:color w:val="000000" w:themeColor="text1"/>
          <w14:textFill>
            <w14:solidFill>
              <w14:schemeClr w14:val="tx1"/>
            </w14:solidFill>
          </w14:textFill>
        </w:rPr>
        <w:t>7</w:t>
      </w:r>
      <w:r>
        <w:rPr>
          <w:rFonts w:ascii="仿宋" w:hAnsi="仿宋" w:eastAsia="仿宋" w:cs="Times New Roman"/>
          <w:b w:val="0"/>
          <w:bCs w:val="0"/>
          <w:color w:val="000000" w:themeColor="text1"/>
          <w14:textFill>
            <w14:solidFill>
              <w14:schemeClr w14:val="tx1"/>
            </w14:solidFill>
          </w14:textFill>
        </w:rPr>
        <w:t>项，完成情况良好，绝大部分指标实现了“时间过半、任务过半”。</w:t>
      </w:r>
      <w:bookmarkStart w:id="7" w:name="_Toc143176754"/>
    </w:p>
    <w:p>
      <w:pPr>
        <w:pStyle w:val="4"/>
        <w:spacing w:before="156" w:afterLines="0" w:line="578" w:lineRule="exact"/>
        <w:ind w:firstLine="643"/>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（二）重大任务举措进展情况</w:t>
      </w:r>
      <w:bookmarkEnd w:id="7"/>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十四五”以来，《纲要》提出的经济社会各领域重大任务实施情况总体良好，经济社会发展总体平稳、稳中有进、好于预期，创新驱动发展、经济转型升级取得明显成效，市民幸福感、获得感、安全感获得新的提升，城市吸引力、创造力、竞争力不断增强，为实现“十四五”各项目标打下了坚实基础。</w:t>
      </w:r>
    </w:p>
    <w:p>
      <w:pPr>
        <w:pStyle w:val="5"/>
        <w:spacing w:line="578" w:lineRule="exact"/>
        <w:ind w:firstLine="643"/>
        <w:rPr>
          <w:rFonts w:ascii="仿宋" w:hAnsi="仿宋" w:eastAsia="仿宋" w:cs="Times New Roman"/>
          <w:color w:val="000000" w:themeColor="text1"/>
          <w14:textFill>
            <w14:solidFill>
              <w14:schemeClr w14:val="tx1"/>
            </w14:solidFill>
          </w14:textFill>
        </w:rPr>
      </w:pPr>
      <w:bookmarkStart w:id="8" w:name="_Toc143176755"/>
      <w:r>
        <w:rPr>
          <w:rFonts w:ascii="仿宋" w:hAnsi="仿宋" w:eastAsia="仿宋" w:cs="Times New Roman"/>
          <w:color w:val="000000" w:themeColor="text1"/>
          <w14:textFill>
            <w14:solidFill>
              <w14:schemeClr w14:val="tx1"/>
            </w14:solidFill>
          </w14:textFill>
        </w:rPr>
        <w:t>1.生态经济先导区建设迈上新台阶</w:t>
      </w:r>
      <w:bookmarkEnd w:id="8"/>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绿色农业快速发展。</w:t>
      </w:r>
      <w:r>
        <w:rPr>
          <w:rFonts w:ascii="仿宋" w:hAnsi="仿宋" w:cs="Times New Roman"/>
          <w:color w:val="000000" w:themeColor="text1"/>
          <w:sz w:val="32"/>
          <w:szCs w:val="32"/>
          <w14:textFill>
            <w14:solidFill>
              <w14:schemeClr w14:val="tx1"/>
            </w14:solidFill>
          </w14:textFill>
        </w:rPr>
        <w:t>落实国家粮食安全战略，坚决扛稳粮食增产政治责任，2022年，全市粮食产量实现“十一连增”。实施“黑土粮仓”科技会战，加强黑土地保护，出台了《关于全面加强黑土地保护的实施意见》《白城市黑土地保护总体规划（2021-2025年）》，推行盐碱地治理“大安模式”</w:t>
      </w:r>
      <w:r>
        <w:rPr>
          <w:rFonts w:hint="eastAsia" w:ascii="仿宋" w:hAnsi="仿宋" w:cs="Times New Roman"/>
          <w:color w:val="000000" w:themeColor="text1"/>
          <w:sz w:val="32"/>
          <w:szCs w:val="32"/>
          <w14:textFill>
            <w14:solidFill>
              <w14:schemeClr w14:val="tx1"/>
            </w14:solidFill>
          </w14:textFill>
        </w:rPr>
        <w:t>，洮南市玉米制种产业规模不断优化，呈现出“基地做优、企业做强、品牌做亮、产业做精”的良好发展态势。</w:t>
      </w:r>
      <w:r>
        <w:rPr>
          <w:rFonts w:ascii="仿宋" w:hAnsi="仿宋" w:cs="Times New Roman"/>
          <w:color w:val="000000" w:themeColor="text1"/>
          <w:sz w:val="32"/>
          <w:szCs w:val="32"/>
          <w14:textFill>
            <w14:solidFill>
              <w14:schemeClr w14:val="tx1"/>
            </w14:solidFill>
          </w14:textFill>
        </w:rPr>
        <w:t>生态牧业加快发展，奶牛、肉羊饲养量持续保持全省第一；生猪出栏量增幅位居全省第一；坚持“四化”举措发展肉牛产业，肉牛存栏量、养殖量增幅分别位居全省第二名、第三名。立足丰富的农畜特产资源，大力推进主粮加工、肉乳加工、特色农产品加工，实现了农畜产品全产业链发展。</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清洁能源产业发展势头强劲。</w:t>
      </w:r>
      <w:r>
        <w:rPr>
          <w:rFonts w:ascii="仿宋" w:hAnsi="仿宋" w:cs="Times New Roman"/>
          <w:color w:val="000000" w:themeColor="text1"/>
          <w:sz w:val="32"/>
          <w:szCs w:val="32"/>
          <w14:textFill>
            <w14:solidFill>
              <w14:schemeClr w14:val="tx1"/>
            </w14:solidFill>
          </w14:textFill>
        </w:rPr>
        <w:t>作为全国唯一的风电本地消纳综合示范区和国家新能源示范城市、国家光伏发电应用领跑基地，白城紧抓国家“双碳”战略机遇，推进国家级清洁能源基地建设，大力发展风、光新能源产业，培育壮大氢能产业，</w:t>
      </w:r>
      <w:r>
        <w:rPr>
          <w:rFonts w:hint="eastAsia" w:ascii="仿宋" w:hAnsi="仿宋" w:cs="Times New Roman"/>
          <w:color w:val="000000" w:themeColor="text1"/>
          <w:sz w:val="32"/>
          <w:szCs w:val="32"/>
          <w14:textFill>
            <w14:solidFill>
              <w14:schemeClr w14:val="tx1"/>
            </w14:solidFill>
          </w14:textFill>
        </w:rPr>
        <w:t>我市</w:t>
      </w:r>
      <w:r>
        <w:rPr>
          <w:rFonts w:ascii="仿宋" w:hAnsi="仿宋" w:cs="Times New Roman"/>
          <w:color w:val="000000" w:themeColor="text1"/>
          <w:sz w:val="32"/>
          <w:szCs w:val="32"/>
          <w14:textFill>
            <w14:solidFill>
              <w14:schemeClr w14:val="tx1"/>
            </w14:solidFill>
          </w14:textFill>
        </w:rPr>
        <w:t>成为全国前十、东北地区首个“千万千瓦级新能源发电城市”。全国单体规模最大的“风光制绿氢合成氨一体化”示范项目开工建设。世界首台双叶轮风力发电机组项目全面竣工。着力打造“中国北方氢谷”，</w:t>
      </w:r>
      <w:r>
        <w:rPr>
          <w:rFonts w:hint="eastAsia" w:ascii="仿宋" w:hAnsi="仿宋" w:cs="Times New Roman"/>
          <w:color w:val="000000" w:themeColor="text1"/>
          <w:sz w:val="32"/>
          <w:szCs w:val="32"/>
          <w14:textFill>
            <w14:solidFill>
              <w14:schemeClr w14:val="tx1"/>
            </w14:solidFill>
          </w14:textFill>
        </w:rPr>
        <w:t>我市</w:t>
      </w:r>
      <w:r>
        <w:rPr>
          <w:rFonts w:ascii="仿宋" w:hAnsi="仿宋" w:cs="Times New Roman"/>
          <w:color w:val="000000" w:themeColor="text1"/>
          <w:sz w:val="32"/>
          <w:szCs w:val="32"/>
          <w14:textFill>
            <w14:solidFill>
              <w14:schemeClr w14:val="tx1"/>
            </w14:solidFill>
          </w14:textFill>
        </w:rPr>
        <w:t>在全省率先步入“绿电+绿氢+绿氨+绿醇”的新赛道。</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生态旅游产业蓬勃发展。</w:t>
      </w:r>
      <w:r>
        <w:rPr>
          <w:rFonts w:ascii="仿宋" w:hAnsi="仿宋" w:cs="Times New Roman"/>
          <w:color w:val="000000" w:themeColor="text1"/>
          <w:sz w:val="32"/>
          <w:szCs w:val="32"/>
          <w14:textFill>
            <w14:solidFill>
              <w14:schemeClr w14:val="tx1"/>
            </w14:solidFill>
          </w14:textFill>
        </w:rPr>
        <w:t>聚焦融入吉林西部河湖草原湿地旅游大环线，依托历史文化、生态环境、特色资源等优势，着力打好鹤乡旅游绿色“生态牌”、红色“历史牌”。围绕草原风光游、民俗风情游、乡村休闲游等6个方面，设计推出了14条极具特色的“一日游”精品旅游线路，其中，“鹤舞湿地情民俗休闲游研学之旅”“‘雪域奇观关东风情’冰雪体验之旅”“‘鹤舞蓝天漫赏杏花’闲适之旅”入选全国乡村旅游精品线路。</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优势与新兴产业健康成长。装备制造产业。</w:t>
      </w:r>
      <w:r>
        <w:rPr>
          <w:rFonts w:ascii="仿宋" w:hAnsi="仿宋" w:cs="Times New Roman"/>
          <w:color w:val="000000" w:themeColor="text1"/>
          <w:sz w:val="32"/>
          <w:szCs w:val="32"/>
          <w14:textFill>
            <w14:solidFill>
              <w14:schemeClr w14:val="tx1"/>
            </w14:solidFill>
          </w14:textFill>
        </w:rPr>
        <w:t>坚持新能源规模化开发与装备制造集群式发展同步推进，基本形成了从整机到核心零部件的本地化全配套产业链，新能源装备制造能力全省领先。</w:t>
      </w:r>
      <w:r>
        <w:rPr>
          <w:rFonts w:ascii="仿宋" w:hAnsi="仿宋" w:cs="Times New Roman"/>
          <w:b/>
          <w:bCs/>
          <w:color w:val="000000" w:themeColor="text1"/>
          <w:sz w:val="32"/>
          <w:szCs w:val="32"/>
          <w14:textFill>
            <w14:solidFill>
              <w14:schemeClr w14:val="tx1"/>
            </w14:solidFill>
          </w14:textFill>
        </w:rPr>
        <w:t>医药健康产业。</w:t>
      </w:r>
      <w:r>
        <w:rPr>
          <w:rFonts w:ascii="仿宋" w:hAnsi="仿宋" w:cs="Times New Roman"/>
          <w:color w:val="000000" w:themeColor="text1"/>
          <w:sz w:val="32"/>
          <w:szCs w:val="32"/>
          <w14:textFill>
            <w14:solidFill>
              <w14:schemeClr w14:val="tx1"/>
            </w14:solidFill>
          </w14:textFill>
        </w:rPr>
        <w:t>成立白城中药材研究所，开展中药材种植试验。持续推进“抗肿瘤产品工程”“神经类产品产业化”等重大项目。</w:t>
      </w:r>
      <w:r>
        <w:rPr>
          <w:rFonts w:ascii="仿宋" w:hAnsi="仿宋" w:cs="Times New Roman"/>
          <w:b/>
          <w:bCs/>
          <w:color w:val="000000" w:themeColor="text1"/>
          <w:sz w:val="32"/>
          <w:szCs w:val="32"/>
          <w14:textFill>
            <w14:solidFill>
              <w14:schemeClr w14:val="tx1"/>
            </w14:solidFill>
          </w14:textFill>
        </w:rPr>
        <w:t>现代服务业。</w:t>
      </w:r>
      <w:r>
        <w:rPr>
          <w:rFonts w:ascii="仿宋" w:hAnsi="仿宋" w:cs="Times New Roman"/>
          <w:color w:val="000000" w:themeColor="text1"/>
          <w:sz w:val="32"/>
          <w:szCs w:val="32"/>
          <w14:textFill>
            <w14:solidFill>
              <w14:schemeClr w14:val="tx1"/>
            </w14:solidFill>
          </w14:textFill>
        </w:rPr>
        <w:t>落实服务业发展“22大工程”，不断推进服务业提质增效。完善物流配送体系，全面推动县、乡、村三级农村物流配送体系推广建设工作，实现物流服务县乡村三级全覆盖。电商产业加快发展，建成县级电子商务服务中心4个，乡镇级电子商务服务中心53个。</w:t>
      </w:r>
    </w:p>
    <w:p>
      <w:pPr>
        <w:pStyle w:val="5"/>
        <w:spacing w:line="578" w:lineRule="exact"/>
        <w:ind w:firstLine="643"/>
        <w:rPr>
          <w:rFonts w:ascii="仿宋" w:hAnsi="仿宋" w:eastAsia="仿宋" w:cs="Times New Roman"/>
          <w:color w:val="000000" w:themeColor="text1"/>
          <w14:textFill>
            <w14:solidFill>
              <w14:schemeClr w14:val="tx1"/>
            </w14:solidFill>
          </w14:textFill>
        </w:rPr>
      </w:pPr>
      <w:bookmarkStart w:id="9" w:name="_Toc143176756"/>
      <w:r>
        <w:rPr>
          <w:rFonts w:ascii="仿宋" w:hAnsi="仿宋" w:eastAsia="仿宋" w:cs="Times New Roman"/>
          <w:color w:val="000000" w:themeColor="text1"/>
          <w14:textFill>
            <w14:solidFill>
              <w14:schemeClr w14:val="tx1"/>
            </w14:solidFill>
          </w14:textFill>
        </w:rPr>
        <w:t>2.生态文明示范区建设开创新局面</w:t>
      </w:r>
      <w:bookmarkEnd w:id="9"/>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扎实推进生态建设。</w:t>
      </w:r>
      <w:r>
        <w:rPr>
          <w:rFonts w:ascii="仿宋" w:hAnsi="仿宋" w:cs="Times New Roman"/>
          <w:color w:val="000000" w:themeColor="text1"/>
          <w:sz w:val="32"/>
          <w:szCs w:val="32"/>
          <w14:textFill>
            <w14:solidFill>
              <w14:schemeClr w14:val="tx1"/>
            </w14:solidFill>
          </w14:textFill>
        </w:rPr>
        <w:t>统筹开展重大水利、草原治理、造林绿化、湿地保护四大生态工程，持续打好五大保卫战。持续推进第三个十年绿化美化吉林大地行动，创造性开展了“万人万亩植树造林日”活动</w:t>
      </w:r>
      <w:r>
        <w:rPr>
          <w:rFonts w:hint="eastAsia" w:ascii="仿宋" w:hAnsi="仿宋" w:cs="Times New Roman"/>
          <w:color w:val="000000" w:themeColor="text1"/>
          <w:sz w:val="32"/>
          <w:szCs w:val="32"/>
          <w14:textFill>
            <w14:solidFill>
              <w14:schemeClr w14:val="tx1"/>
            </w14:solidFill>
          </w14:textFill>
        </w:rPr>
        <w:t>，</w:t>
      </w:r>
      <w:r>
        <w:rPr>
          <w:rFonts w:ascii="仿宋" w:hAnsi="仿宋" w:cs="Times New Roman"/>
          <w:color w:val="000000" w:themeColor="text1"/>
          <w:sz w:val="32"/>
          <w:szCs w:val="32"/>
          <w14:textFill>
            <w14:solidFill>
              <w14:schemeClr w14:val="tx1"/>
            </w14:solidFill>
          </w14:textFill>
        </w:rPr>
        <w:t>实施吉林西部绿色生态屏障建设工程，建设科尔沁沙地北缘综合治理国</w:t>
      </w:r>
      <w:r>
        <w:rPr>
          <w:rFonts w:hint="eastAsia" w:ascii="仿宋" w:hAnsi="仿宋" w:cs="Times New Roman"/>
          <w:color w:val="000000" w:themeColor="text1"/>
          <w:sz w:val="32"/>
          <w:szCs w:val="32"/>
          <w14:textFill>
            <w14:solidFill>
              <w14:schemeClr w14:val="tx1"/>
            </w14:solidFill>
          </w14:textFill>
        </w:rPr>
        <w:t>土绿化试点</w:t>
      </w:r>
      <w:r>
        <w:rPr>
          <w:rFonts w:ascii="仿宋" w:hAnsi="仿宋" w:cs="Times New Roman"/>
          <w:color w:val="000000" w:themeColor="text1"/>
          <w:sz w:val="32"/>
          <w:szCs w:val="32"/>
          <w14:textFill>
            <w14:solidFill>
              <w14:schemeClr w14:val="tx1"/>
            </w14:solidFill>
          </w14:textFill>
        </w:rPr>
        <w:t>示范项目</w:t>
      </w:r>
      <w:r>
        <w:rPr>
          <w:rFonts w:hint="eastAsia" w:ascii="仿宋" w:hAnsi="仿宋" w:cs="Times New Roman"/>
          <w:color w:val="000000" w:themeColor="text1"/>
          <w:sz w:val="32"/>
          <w:szCs w:val="32"/>
          <w14:textFill>
            <w14:solidFill>
              <w14:schemeClr w14:val="tx1"/>
            </w14:solidFill>
          </w14:textFill>
        </w:rPr>
        <w:t>，</w:t>
      </w:r>
      <w:r>
        <w:rPr>
          <w:rFonts w:ascii="仿宋" w:hAnsi="仿宋" w:cs="Times New Roman"/>
          <w:color w:val="000000" w:themeColor="text1"/>
          <w:sz w:val="32"/>
          <w:szCs w:val="32"/>
          <w14:textFill>
            <w14:solidFill>
              <w14:schemeClr w14:val="tx1"/>
            </w14:solidFill>
          </w14:textFill>
        </w:rPr>
        <w:t>突出抓好集中连片优质人工牧草基地建设，积极发展林草产业，全力做好湿地修复保护，实施了“鹤乡湿地”修复工程和“林草湿生态连通”工程</w:t>
      </w:r>
      <w:r>
        <w:rPr>
          <w:rFonts w:hint="eastAsia" w:ascii="仿宋" w:hAnsi="仿宋" w:cs="Times New Roman"/>
          <w:color w:val="000000" w:themeColor="text1"/>
          <w:sz w:val="32"/>
          <w:szCs w:val="32"/>
          <w14:textFill>
            <w14:solidFill>
              <w14:schemeClr w14:val="tx1"/>
            </w14:solidFill>
          </w14:textFill>
        </w:rPr>
        <w:t>。</w:t>
      </w:r>
      <w:r>
        <w:rPr>
          <w:rFonts w:ascii="仿宋" w:hAnsi="仿宋" w:cs="Times New Roman"/>
          <w:color w:val="000000" w:themeColor="text1"/>
          <w:sz w:val="32"/>
          <w:szCs w:val="32"/>
          <w14:textFill>
            <w14:solidFill>
              <w14:schemeClr w14:val="tx1"/>
            </w14:solidFill>
          </w14:textFill>
        </w:rPr>
        <w:t>打好打赢污染防治攻坚战，实施秸秆“五化”利用和全域禁烧。加强盐碱地治理，大安、镇赉获批国家盐碱地等耕地后备资源综合利用试点。</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生态文明建设体制机制逐步完善。</w:t>
      </w:r>
      <w:r>
        <w:rPr>
          <w:rFonts w:hint="eastAsia" w:ascii="仿宋" w:hAnsi="仿宋" w:cs="Times New Roman"/>
          <w:color w:val="000000" w:themeColor="text1"/>
          <w:sz w:val="32"/>
          <w:szCs w:val="32"/>
          <w14:textFill>
            <w14:solidFill>
              <w14:schemeClr w14:val="tx1"/>
            </w14:solidFill>
          </w14:textFill>
        </w:rPr>
        <w:t>生态环境制度体系逐步建立，探索推行了“一长两员一警”管理模式，构建了市县一体的信息化综合平台，制定出台了会议、信息公开、考核验收等工作制度，被省林长办公室评定为吉林省全面推行林长制工作真抓实干成效明显的地区。</w:t>
      </w:r>
      <w:r>
        <w:rPr>
          <w:rFonts w:ascii="仿宋" w:hAnsi="仿宋" w:cs="Times New Roman"/>
          <w:color w:val="000000" w:themeColor="text1"/>
          <w:sz w:val="32"/>
          <w:szCs w:val="32"/>
          <w14:textFill>
            <w14:solidFill>
              <w14:schemeClr w14:val="tx1"/>
            </w14:solidFill>
          </w14:textFill>
        </w:rPr>
        <w:t>构建了市、县、乡、村“四级”协同治河体系，河湖长制考核排名实现跃升。生态保护和修复制度体系不断健全，严格生态环境质量管理，严格落实生态保护红线、永久基本农田制度，推进“三线一单”落地。生态环境管理体制不断完善，严格落实生态环境保护党政同责、一岗双责，明确各有关部门责任。全面实施排污许可管理制度。</w:t>
      </w:r>
    </w:p>
    <w:p>
      <w:pPr>
        <w:pStyle w:val="5"/>
        <w:spacing w:line="578" w:lineRule="exact"/>
        <w:ind w:firstLine="643"/>
        <w:rPr>
          <w:rFonts w:ascii="仿宋" w:hAnsi="仿宋" w:eastAsia="仿宋" w:cs="Times New Roman"/>
          <w:color w:val="000000" w:themeColor="text1"/>
          <w14:textFill>
            <w14:solidFill>
              <w14:schemeClr w14:val="tx1"/>
            </w14:solidFill>
          </w14:textFill>
        </w:rPr>
      </w:pPr>
      <w:bookmarkStart w:id="10" w:name="_Toc143176757"/>
      <w:r>
        <w:rPr>
          <w:rFonts w:ascii="仿宋" w:hAnsi="仿宋" w:eastAsia="仿宋" w:cs="Times New Roman"/>
          <w:color w:val="000000" w:themeColor="text1"/>
          <w14:textFill>
            <w14:solidFill>
              <w14:schemeClr w14:val="tx1"/>
            </w14:solidFill>
          </w14:textFill>
        </w:rPr>
        <w:t>3.乡村振兴创新区建设迈出新步伐</w:t>
      </w:r>
      <w:bookmarkEnd w:id="10"/>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深入实施“五大行动”，积极探索具有白城特色的乡村振兴新路径。</w:t>
      </w:r>
      <w:r>
        <w:rPr>
          <w:rFonts w:ascii="仿宋" w:hAnsi="仿宋" w:cs="Times New Roman"/>
          <w:b/>
          <w:bCs/>
          <w:color w:val="000000" w:themeColor="text1"/>
          <w:sz w:val="32"/>
          <w:szCs w:val="32"/>
          <w14:textFill>
            <w14:solidFill>
              <w14:schemeClr w14:val="tx1"/>
            </w14:solidFill>
          </w14:textFill>
        </w:rPr>
        <w:t>全面巩固拓展脱贫攻坚成果。</w:t>
      </w:r>
      <w:r>
        <w:rPr>
          <w:rFonts w:ascii="仿宋" w:hAnsi="仿宋" w:cs="Times New Roman"/>
          <w:color w:val="000000" w:themeColor="text1"/>
          <w:sz w:val="32"/>
          <w:szCs w:val="32"/>
          <w14:textFill>
            <w14:solidFill>
              <w14:schemeClr w14:val="tx1"/>
            </w14:solidFill>
          </w14:textFill>
        </w:rPr>
        <w:t>实施监测帮扶专项行动，轮次实施“排查月”“三帮扶一推动”活动，进一步强化政策保障，牢牢守住不发生规模性返贫底线。</w:t>
      </w:r>
      <w:r>
        <w:rPr>
          <w:rFonts w:ascii="仿宋" w:hAnsi="仿宋" w:cs="Times New Roman"/>
          <w:b/>
          <w:bCs/>
          <w:color w:val="000000" w:themeColor="text1"/>
          <w:sz w:val="32"/>
          <w:szCs w:val="32"/>
          <w14:textFill>
            <w14:solidFill>
              <w14:schemeClr w14:val="tx1"/>
            </w14:solidFill>
          </w14:textFill>
        </w:rPr>
        <w:t>人居环境持续改善。</w:t>
      </w:r>
      <w:r>
        <w:rPr>
          <w:rFonts w:ascii="仿宋" w:hAnsi="仿宋" w:cs="Times New Roman"/>
          <w:color w:val="000000" w:themeColor="text1"/>
          <w:sz w:val="32"/>
          <w:szCs w:val="32"/>
          <w14:textFill>
            <w14:solidFill>
              <w14:schemeClr w14:val="tx1"/>
            </w14:solidFill>
          </w14:textFill>
        </w:rPr>
        <w:t>开展农村人居环境“五化”攻坚行动，深入开展“六清”整治。</w:t>
      </w:r>
      <w:r>
        <w:rPr>
          <w:rFonts w:ascii="仿宋" w:hAnsi="仿宋" w:cs="Times New Roman"/>
          <w:b/>
          <w:bCs/>
          <w:color w:val="000000" w:themeColor="text1"/>
          <w:sz w:val="32"/>
          <w:szCs w:val="32"/>
          <w14:textFill>
            <w14:solidFill>
              <w14:schemeClr w14:val="tx1"/>
            </w14:solidFill>
          </w14:textFill>
        </w:rPr>
        <w:t>探索乡村治理“白城模式”。</w:t>
      </w:r>
      <w:r>
        <w:rPr>
          <w:rFonts w:ascii="仿宋" w:hAnsi="仿宋" w:cs="Times New Roman"/>
          <w:color w:val="000000" w:themeColor="text1"/>
          <w:sz w:val="32"/>
          <w:szCs w:val="32"/>
          <w14:textFill>
            <w14:solidFill>
              <w14:schemeClr w14:val="tx1"/>
            </w14:solidFill>
          </w14:textFill>
        </w:rPr>
        <w:t>创新实施“小积分”激活“大德治”，经验做法在央媒发表、全省推广。</w:t>
      </w:r>
    </w:p>
    <w:p>
      <w:pPr>
        <w:pStyle w:val="5"/>
        <w:spacing w:line="578" w:lineRule="exact"/>
        <w:ind w:firstLine="643"/>
        <w:rPr>
          <w:rFonts w:ascii="仿宋" w:hAnsi="仿宋" w:eastAsia="仿宋" w:cs="Times New Roman"/>
          <w:color w:val="000000" w:themeColor="text1"/>
          <w14:textFill>
            <w14:solidFill>
              <w14:schemeClr w14:val="tx1"/>
            </w14:solidFill>
          </w14:textFill>
        </w:rPr>
      </w:pPr>
      <w:bookmarkStart w:id="11" w:name="_Toc143176758"/>
      <w:r>
        <w:rPr>
          <w:rFonts w:ascii="仿宋" w:hAnsi="仿宋" w:eastAsia="仿宋" w:cs="Times New Roman"/>
          <w:color w:val="000000" w:themeColor="text1"/>
          <w14:textFill>
            <w14:solidFill>
              <w14:schemeClr w14:val="tx1"/>
            </w14:solidFill>
          </w14:textFill>
        </w:rPr>
        <w:t>4.区域中心城市建设呈现新格局</w:t>
      </w:r>
      <w:bookmarkEnd w:id="11"/>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城市空间布局不断优化。</w:t>
      </w:r>
      <w:r>
        <w:rPr>
          <w:rFonts w:ascii="仿宋" w:hAnsi="仿宋" w:cs="Times New Roman"/>
          <w:color w:val="000000" w:themeColor="text1"/>
          <w:sz w:val="32"/>
          <w:szCs w:val="32"/>
          <w14:textFill>
            <w14:solidFill>
              <w14:schemeClr w14:val="tx1"/>
            </w14:solidFill>
          </w14:textFill>
        </w:rPr>
        <w:t>紧紧围绕打造“一城三区”，更好落实城市战略定位，积极构建城市发展新格局，按照“中心集聚、东西保育、片区统筹”的思路，形成“一心两带，双轴五片”的国土空间总体格局。优化农业空间布局，强化农产品供给保障能力建设。</w:t>
      </w:r>
      <w:r>
        <w:rPr>
          <w:rFonts w:ascii="仿宋" w:hAnsi="仿宋" w:cs="Times New Roman"/>
          <w:b/>
          <w:bCs/>
          <w:color w:val="000000" w:themeColor="text1"/>
          <w:sz w:val="32"/>
          <w:szCs w:val="32"/>
          <w14:textFill>
            <w14:solidFill>
              <w14:schemeClr w14:val="tx1"/>
            </w14:solidFill>
          </w14:textFill>
        </w:rPr>
        <w:t>城市功能品质大幅提升。</w:t>
      </w:r>
      <w:r>
        <w:rPr>
          <w:rFonts w:ascii="仿宋" w:hAnsi="仿宋" w:cs="Times New Roman"/>
          <w:color w:val="000000" w:themeColor="text1"/>
          <w:sz w:val="32"/>
          <w:szCs w:val="32"/>
          <w14:textFill>
            <w14:solidFill>
              <w14:schemeClr w14:val="tx1"/>
            </w14:solidFill>
          </w14:textFill>
        </w:rPr>
        <w:t>以顺应人民群众对美好生活的向往为导向，全面提升城市的服务能力和服务品质，城市功能设施体系更加健全完善、便捷高效，“疏朗通透、干净整洁、文明有序”城市特色更加彰显。</w:t>
      </w:r>
      <w:r>
        <w:rPr>
          <w:rFonts w:ascii="仿宋" w:hAnsi="仿宋" w:cs="Times New Roman"/>
          <w:b/>
          <w:bCs/>
          <w:color w:val="000000" w:themeColor="text1"/>
          <w:sz w:val="32"/>
          <w:szCs w:val="32"/>
          <w14:textFill>
            <w14:solidFill>
              <w14:schemeClr w14:val="tx1"/>
            </w14:solidFill>
          </w14:textFill>
        </w:rPr>
        <w:t>基础设施不断完善。</w:t>
      </w:r>
      <w:r>
        <w:rPr>
          <w:rFonts w:ascii="仿宋" w:hAnsi="仿宋" w:cs="Times New Roman"/>
          <w:color w:val="000000" w:themeColor="text1"/>
          <w:sz w:val="32"/>
          <w:szCs w:val="32"/>
          <w14:textFill>
            <w14:solidFill>
              <w14:schemeClr w14:val="tx1"/>
            </w14:solidFill>
          </w14:textFill>
        </w:rPr>
        <w:t>现代交通体系逐步形成，全力推动工程项目建设。全面启动国省干线公路项目建设，扎实开展国省干线公路养护工程，持续巩固“四好农村路”成果，有效提升交通运输服务水平。能源基础设施加快建设，持续推进燃气管网配套项目。信息基础设施更加完善，白城市区及周边县城内已实现5G信号全部覆盖。</w:t>
      </w:r>
    </w:p>
    <w:p>
      <w:pPr>
        <w:pStyle w:val="5"/>
        <w:spacing w:line="578" w:lineRule="exact"/>
        <w:ind w:firstLine="643"/>
        <w:rPr>
          <w:rFonts w:ascii="仿宋" w:hAnsi="仿宋" w:eastAsia="仿宋" w:cs="Times New Roman"/>
          <w:color w:val="000000" w:themeColor="text1"/>
          <w14:textFill>
            <w14:solidFill>
              <w14:schemeClr w14:val="tx1"/>
            </w14:solidFill>
          </w14:textFill>
        </w:rPr>
      </w:pPr>
      <w:bookmarkStart w:id="12" w:name="_Toc143176759"/>
      <w:r>
        <w:rPr>
          <w:rFonts w:ascii="仿宋" w:hAnsi="仿宋" w:eastAsia="仿宋" w:cs="Times New Roman"/>
          <w:color w:val="000000" w:themeColor="text1"/>
          <w14:textFill>
            <w14:solidFill>
              <w14:schemeClr w14:val="tx1"/>
            </w14:solidFill>
          </w14:textFill>
        </w:rPr>
        <w:t>5.全面深化改革开放取得新突破</w:t>
      </w:r>
      <w:bookmarkEnd w:id="12"/>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以改革破壁垒、开放拓空间、服务优环境，更好释放发展活力。</w:t>
      </w:r>
      <w:r>
        <w:rPr>
          <w:rFonts w:ascii="仿宋" w:hAnsi="仿宋" w:cs="Times New Roman"/>
          <w:b/>
          <w:bCs/>
          <w:color w:val="000000" w:themeColor="text1"/>
          <w:sz w:val="32"/>
          <w:szCs w:val="32"/>
          <w14:textFill>
            <w14:solidFill>
              <w14:schemeClr w14:val="tx1"/>
            </w14:solidFill>
          </w14:textFill>
        </w:rPr>
        <w:t>实施重点领域改革。</w:t>
      </w:r>
      <w:r>
        <w:rPr>
          <w:rFonts w:ascii="仿宋" w:hAnsi="仿宋" w:cs="Times New Roman"/>
          <w:color w:val="000000" w:themeColor="text1"/>
          <w:sz w:val="32"/>
          <w:szCs w:val="32"/>
          <w14:textFill>
            <w14:solidFill>
              <w14:schemeClr w14:val="tx1"/>
            </w14:solidFill>
          </w14:textFill>
        </w:rPr>
        <w:t>深化“放管服”改革，持续优化市场主体开办服务。老工业基地调整改造和产业转型升级成效明显，成为全省唯一获国家通报表扬的市（州）。</w:t>
      </w:r>
      <w:r>
        <w:rPr>
          <w:rFonts w:ascii="仿宋" w:hAnsi="仿宋" w:cs="Times New Roman"/>
          <w:b/>
          <w:bCs/>
          <w:color w:val="000000" w:themeColor="text1"/>
          <w:sz w:val="32"/>
          <w:szCs w:val="32"/>
          <w14:textFill>
            <w14:solidFill>
              <w14:schemeClr w14:val="tx1"/>
            </w14:solidFill>
          </w14:textFill>
        </w:rPr>
        <w:t>持续扩大对外开放。</w:t>
      </w:r>
      <w:r>
        <w:rPr>
          <w:rFonts w:ascii="仿宋" w:hAnsi="仿宋" w:cs="Times New Roman"/>
          <w:color w:val="000000" w:themeColor="text1"/>
          <w:sz w:val="32"/>
          <w:szCs w:val="32"/>
          <w14:textFill>
            <w14:solidFill>
              <w14:schemeClr w14:val="tx1"/>
            </w14:solidFill>
          </w14:textFill>
        </w:rPr>
        <w:t>成功举办第五届中国燕麦荞麦产业大会。与嘉兴、长春、吉大合作逐步深化。开通铁海联运和直达关内货运专列，带动全市外贸进出口总额增速领跑全省。新增白城—大连—青岛、白城—石家庄—上海两条航线，实施长白快铁提速、“一环八射”工程，持续打通对外“大通道”、畅通内部“微循环”。</w:t>
      </w:r>
      <w:r>
        <w:rPr>
          <w:rFonts w:ascii="仿宋" w:hAnsi="仿宋" w:cs="Times New Roman"/>
          <w:b/>
          <w:bCs/>
          <w:color w:val="000000" w:themeColor="text1"/>
          <w:sz w:val="32"/>
          <w:szCs w:val="32"/>
          <w14:textFill>
            <w14:solidFill>
              <w14:schemeClr w14:val="tx1"/>
            </w14:solidFill>
          </w14:textFill>
        </w:rPr>
        <w:t>不断优化营商环境。</w:t>
      </w:r>
      <w:r>
        <w:rPr>
          <w:rFonts w:hint="eastAsia" w:ascii="仿宋" w:hAnsi="仿宋" w:cs="Times New Roman"/>
          <w:color w:val="000000" w:themeColor="text1"/>
          <w:sz w:val="32"/>
          <w:szCs w:val="32"/>
          <w14:textFill>
            <w14:solidFill>
              <w14:schemeClr w14:val="tx1"/>
            </w14:solidFill>
          </w14:textFill>
        </w:rPr>
        <w:t>乡镇（街道）、社区</w:t>
      </w:r>
      <w:r>
        <w:rPr>
          <w:rFonts w:ascii="仿宋" w:hAnsi="仿宋" w:cs="Times New Roman"/>
          <w:color w:val="000000" w:themeColor="text1"/>
          <w:sz w:val="32"/>
          <w:szCs w:val="32"/>
          <w14:textFill>
            <w14:solidFill>
              <w14:schemeClr w14:val="tx1"/>
            </w14:solidFill>
          </w14:textFill>
        </w:rPr>
        <w:t>电子政务外网</w:t>
      </w:r>
      <w:r>
        <w:rPr>
          <w:rFonts w:hint="eastAsia" w:ascii="仿宋" w:hAnsi="仿宋" w:cs="Times New Roman"/>
          <w:color w:val="000000" w:themeColor="text1"/>
          <w:sz w:val="32"/>
          <w:szCs w:val="32"/>
          <w14:textFill>
            <w14:solidFill>
              <w14:schemeClr w14:val="tx1"/>
            </w14:solidFill>
          </w14:textFill>
        </w:rPr>
        <w:t>规范建设</w:t>
      </w:r>
      <w:r>
        <w:rPr>
          <w:rFonts w:ascii="仿宋" w:hAnsi="仿宋" w:cs="Times New Roman"/>
          <w:color w:val="000000" w:themeColor="text1"/>
          <w:sz w:val="32"/>
          <w:szCs w:val="32"/>
          <w14:textFill>
            <w14:solidFill>
              <w14:schemeClr w14:val="tx1"/>
            </w14:solidFill>
          </w14:textFill>
        </w:rPr>
        <w:t>覆盖率达</w:t>
      </w:r>
      <w:r>
        <w:rPr>
          <w:rFonts w:hint="eastAsia" w:ascii="仿宋" w:hAnsi="仿宋" w:cs="Times New Roman"/>
          <w:color w:val="000000" w:themeColor="text1"/>
          <w:sz w:val="32"/>
          <w:szCs w:val="32"/>
          <w14:textFill>
            <w14:solidFill>
              <w14:schemeClr w14:val="tx1"/>
            </w14:solidFill>
          </w14:textFill>
        </w:rPr>
        <w:t>100</w:t>
      </w:r>
      <w:r>
        <w:rPr>
          <w:rFonts w:ascii="仿宋" w:hAnsi="仿宋" w:cs="Times New Roman"/>
          <w:color w:val="000000" w:themeColor="text1"/>
          <w:sz w:val="32"/>
          <w:szCs w:val="32"/>
          <w14:textFill>
            <w14:solidFill>
              <w14:schemeClr w14:val="tx1"/>
            </w14:solidFill>
          </w14:textFill>
        </w:rPr>
        <w:t>%，群众办事更加便捷。实行“一把手”招商推进机制，招商引资到位资金增速全省第1。城市信用</w:t>
      </w:r>
      <w:r>
        <w:rPr>
          <w:rFonts w:hint="eastAsia" w:ascii="仿宋" w:hAnsi="仿宋" w:cs="Times New Roman"/>
          <w:color w:val="000000" w:themeColor="text1"/>
          <w:sz w:val="32"/>
          <w:szCs w:val="32"/>
          <w14:textFill>
            <w14:solidFill>
              <w14:schemeClr w14:val="tx1"/>
            </w14:solidFill>
          </w14:textFill>
        </w:rPr>
        <w:t>综合</w:t>
      </w:r>
      <w:r>
        <w:rPr>
          <w:rFonts w:ascii="仿宋" w:hAnsi="仿宋" w:cs="Times New Roman"/>
          <w:color w:val="000000" w:themeColor="text1"/>
          <w:sz w:val="32"/>
          <w:szCs w:val="32"/>
          <w14:textFill>
            <w14:solidFill>
              <w14:schemeClr w14:val="tx1"/>
            </w14:solidFill>
          </w14:textFill>
        </w:rPr>
        <w:t>指数排名全国前列</w:t>
      </w:r>
      <w:r>
        <w:rPr>
          <w:rFonts w:hint="eastAsia" w:ascii="仿宋" w:hAnsi="仿宋" w:cs="Times New Roman"/>
          <w:color w:val="000000" w:themeColor="text1"/>
          <w:sz w:val="32"/>
          <w:szCs w:val="32"/>
          <w14:textFill>
            <w14:solidFill>
              <w14:schemeClr w14:val="tx1"/>
            </w14:solidFill>
          </w14:textFill>
        </w:rPr>
        <w:t>，达到东北地区历史最好水平</w:t>
      </w:r>
      <w:r>
        <w:rPr>
          <w:rFonts w:ascii="仿宋" w:hAnsi="仿宋" w:cs="Times New Roman"/>
          <w:color w:val="000000" w:themeColor="text1"/>
          <w:sz w:val="32"/>
          <w:szCs w:val="32"/>
          <w14:textFill>
            <w14:solidFill>
              <w14:schemeClr w14:val="tx1"/>
            </w14:solidFill>
          </w14:textFill>
        </w:rPr>
        <w:t>。</w:t>
      </w:r>
    </w:p>
    <w:p>
      <w:pPr>
        <w:pStyle w:val="5"/>
        <w:spacing w:line="578" w:lineRule="exact"/>
        <w:ind w:firstLine="643"/>
        <w:rPr>
          <w:rFonts w:ascii="仿宋" w:hAnsi="仿宋" w:eastAsia="仿宋" w:cs="Times New Roman"/>
          <w:color w:val="000000" w:themeColor="text1"/>
          <w14:textFill>
            <w14:solidFill>
              <w14:schemeClr w14:val="tx1"/>
            </w14:solidFill>
          </w14:textFill>
        </w:rPr>
      </w:pPr>
      <w:bookmarkStart w:id="13" w:name="_Toc143176760"/>
      <w:r>
        <w:rPr>
          <w:rFonts w:ascii="仿宋" w:hAnsi="仿宋" w:eastAsia="仿宋" w:cs="Times New Roman"/>
          <w:color w:val="000000" w:themeColor="text1"/>
          <w14:textFill>
            <w14:solidFill>
              <w14:schemeClr w14:val="tx1"/>
            </w14:solidFill>
          </w14:textFill>
        </w:rPr>
        <w:t>6.科技创新成果转化增添新活力</w:t>
      </w:r>
      <w:bookmarkEnd w:id="13"/>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加强科技创新主体培育。</w:t>
      </w:r>
      <w:r>
        <w:rPr>
          <w:rFonts w:ascii="仿宋" w:hAnsi="仿宋" w:cs="Times New Roman"/>
          <w:color w:val="000000" w:themeColor="text1"/>
          <w:sz w:val="32"/>
          <w:szCs w:val="32"/>
          <w14:textFill>
            <w14:solidFill>
              <w14:schemeClr w14:val="tx1"/>
            </w14:solidFill>
          </w14:textFill>
        </w:rPr>
        <w:t>新认定国家级高新技术企业7户，新能源装备生产企业多次获得省、市科技发展计划项目和资金支持。强化企业自主创新，获批省科技厅科技发展计划项目11项；举办吉林西部生态经济带绿色发展院士专家行暨白城市人民政府高端智库专家聘任仪式，聘请14名院士专家组建首批吉林西部白城地区高端智库。</w:t>
      </w:r>
      <w:r>
        <w:rPr>
          <w:rFonts w:ascii="仿宋" w:hAnsi="仿宋" w:cs="Times New Roman"/>
          <w:b/>
          <w:bCs/>
          <w:color w:val="000000" w:themeColor="text1"/>
          <w:sz w:val="32"/>
          <w:szCs w:val="32"/>
          <w14:textFill>
            <w14:solidFill>
              <w14:schemeClr w14:val="tx1"/>
            </w14:solidFill>
          </w14:textFill>
        </w:rPr>
        <w:t>促进科技成果转化。</w:t>
      </w:r>
      <w:r>
        <w:rPr>
          <w:rFonts w:ascii="仿宋" w:hAnsi="仿宋" w:cs="Times New Roman"/>
          <w:color w:val="000000" w:themeColor="text1"/>
          <w:sz w:val="32"/>
          <w:szCs w:val="32"/>
          <w14:textFill>
            <w14:solidFill>
              <w14:schemeClr w14:val="tx1"/>
            </w14:solidFill>
          </w14:textFill>
        </w:rPr>
        <w:t>深入实施“黑土粮仓”科技会战，推进科技成果转化和应用；以生态理念支撑现代农业，</w:t>
      </w:r>
      <w:r>
        <w:rPr>
          <w:rFonts w:hint="eastAsia" w:ascii="仿宋" w:hAnsi="仿宋" w:cs="Times New Roman"/>
          <w:color w:val="000000" w:themeColor="text1"/>
          <w:sz w:val="32"/>
          <w:szCs w:val="32"/>
          <w14:textFill>
            <w14:solidFill>
              <w14:schemeClr w14:val="tx1"/>
            </w14:solidFill>
          </w14:textFill>
        </w:rPr>
        <w:t>开展主要农作物及特色杂粮杂豆种质资源创新</w:t>
      </w:r>
      <w:r>
        <w:rPr>
          <w:rFonts w:ascii="仿宋" w:hAnsi="仿宋" w:cs="Times New Roman"/>
          <w:color w:val="000000" w:themeColor="text1"/>
          <w:sz w:val="32"/>
          <w:szCs w:val="32"/>
          <w14:textFill>
            <w14:solidFill>
              <w14:schemeClr w14:val="tx1"/>
            </w14:solidFill>
          </w14:textFill>
        </w:rPr>
        <w:t>。国家首席燕麦专家任长忠团队率先攻克六倍体裸燕麦全基因组测序世界难题，研究成果达到国际领先水平，燕麦研究由“跟跑”转向“领跑”。</w:t>
      </w:r>
      <w:r>
        <w:rPr>
          <w:rFonts w:ascii="仿宋" w:hAnsi="仿宋" w:cs="Times New Roman"/>
          <w:b/>
          <w:bCs/>
          <w:color w:val="000000" w:themeColor="text1"/>
          <w:sz w:val="32"/>
          <w:szCs w:val="32"/>
          <w14:textFill>
            <w14:solidFill>
              <w14:schemeClr w14:val="tx1"/>
            </w14:solidFill>
          </w14:textFill>
        </w:rPr>
        <w:t>创新环境持续优化。</w:t>
      </w:r>
      <w:r>
        <w:rPr>
          <w:rFonts w:ascii="仿宋" w:hAnsi="仿宋" w:cs="Times New Roman"/>
          <w:color w:val="000000" w:themeColor="text1"/>
          <w:sz w:val="32"/>
          <w:szCs w:val="32"/>
          <w14:textFill>
            <w14:solidFill>
              <w14:schemeClr w14:val="tx1"/>
            </w14:solidFill>
          </w14:textFill>
        </w:rPr>
        <w:t>积极落实降本减负优惠政策，出台</w:t>
      </w:r>
      <w:r>
        <w:rPr>
          <w:rFonts w:hint="eastAsia" w:ascii="仿宋" w:hAnsi="仿宋" w:cs="Times New Roman"/>
          <w:color w:val="000000" w:themeColor="text1"/>
          <w:sz w:val="32"/>
          <w:szCs w:val="32"/>
          <w14:textFill>
            <w14:solidFill>
              <w14:schemeClr w14:val="tx1"/>
            </w14:solidFill>
          </w14:textFill>
        </w:rPr>
        <w:t>了</w:t>
      </w:r>
      <w:r>
        <w:rPr>
          <w:rFonts w:ascii="仿宋" w:hAnsi="仿宋" w:cs="Times New Roman"/>
          <w:color w:val="000000" w:themeColor="text1"/>
          <w:sz w:val="32"/>
          <w:szCs w:val="32"/>
          <w14:textFill>
            <w14:solidFill>
              <w14:schemeClr w14:val="tx1"/>
            </w14:solidFill>
          </w14:textFill>
        </w:rPr>
        <w:t>“稳增</w:t>
      </w:r>
      <w:r>
        <w:rPr>
          <w:rFonts w:hint="eastAsia" w:ascii="仿宋" w:hAnsi="仿宋" w:cs="Times New Roman"/>
          <w:color w:val="000000" w:themeColor="text1"/>
          <w:sz w:val="32"/>
          <w:szCs w:val="32"/>
          <w14:textFill>
            <w14:solidFill>
              <w14:schemeClr w14:val="tx1"/>
            </w14:solidFill>
          </w14:textFill>
        </w:rPr>
        <w:t>长</w:t>
      </w:r>
      <w:r>
        <w:rPr>
          <w:rFonts w:ascii="仿宋" w:hAnsi="仿宋" w:cs="Times New Roman"/>
          <w:color w:val="000000" w:themeColor="text1"/>
          <w:sz w:val="32"/>
          <w:szCs w:val="32"/>
          <w14:textFill>
            <w14:solidFill>
              <w14:schemeClr w14:val="tx1"/>
            </w14:solidFill>
          </w14:textFill>
        </w:rPr>
        <w:t>”、为企业办实事清单专项行动等“组合式”政策措施。坚持和深化科技特派员制度，实现科技服务全覆盖。开展送科技下乡活动，有效解决了</w:t>
      </w:r>
      <w:r>
        <w:rPr>
          <w:rFonts w:hint="eastAsia" w:ascii="仿宋" w:hAnsi="仿宋" w:cs="Times New Roman"/>
          <w:color w:val="000000" w:themeColor="text1"/>
          <w:sz w:val="32"/>
          <w:szCs w:val="32"/>
          <w14:textFill>
            <w14:solidFill>
              <w14:schemeClr w14:val="tx1"/>
            </w14:solidFill>
          </w14:textFill>
        </w:rPr>
        <w:t>群众</w:t>
      </w:r>
      <w:r>
        <w:rPr>
          <w:rFonts w:ascii="仿宋" w:hAnsi="仿宋" w:cs="Times New Roman"/>
          <w:color w:val="000000" w:themeColor="text1"/>
          <w:sz w:val="32"/>
          <w:szCs w:val="32"/>
          <w14:textFill>
            <w14:solidFill>
              <w14:schemeClr w14:val="tx1"/>
            </w14:solidFill>
          </w14:textFill>
        </w:rPr>
        <w:t>在生产过程中遇到的技术难题。扎实开展“科技活动周”“双创活动周”“服务企业月”等活动，为全市科技事业发展营造良好氛围。</w:t>
      </w:r>
    </w:p>
    <w:p>
      <w:pPr>
        <w:pStyle w:val="5"/>
        <w:spacing w:line="578" w:lineRule="exact"/>
        <w:ind w:firstLine="643"/>
        <w:rPr>
          <w:rFonts w:ascii="仿宋" w:hAnsi="仿宋" w:eastAsia="仿宋" w:cs="Times New Roman"/>
          <w:color w:val="000000" w:themeColor="text1"/>
          <w14:textFill>
            <w14:solidFill>
              <w14:schemeClr w14:val="tx1"/>
            </w14:solidFill>
          </w14:textFill>
        </w:rPr>
      </w:pPr>
      <w:bookmarkStart w:id="14" w:name="_Toc143176761"/>
      <w:r>
        <w:rPr>
          <w:rFonts w:ascii="仿宋" w:hAnsi="仿宋" w:eastAsia="仿宋" w:cs="Times New Roman"/>
          <w:color w:val="000000" w:themeColor="text1"/>
          <w14:textFill>
            <w14:solidFill>
              <w14:schemeClr w14:val="tx1"/>
            </w14:solidFill>
          </w14:textFill>
        </w:rPr>
        <w:t>7.民生保障和公共服务书写新答卷</w:t>
      </w:r>
      <w:bookmarkEnd w:id="14"/>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就业和社会保障水平持续提高。</w:t>
      </w:r>
      <w:r>
        <w:rPr>
          <w:rFonts w:ascii="仿宋" w:hAnsi="仿宋" w:cs="Times New Roman"/>
          <w:color w:val="000000" w:themeColor="text1"/>
          <w:sz w:val="32"/>
          <w:szCs w:val="32"/>
          <w14:textFill>
            <w14:solidFill>
              <w14:schemeClr w14:val="tx1"/>
            </w14:solidFill>
          </w14:textFill>
        </w:rPr>
        <w:t>城乡居民收入保持平稳增长，创业带动就业持续推进，以组织实施“两找一服务”工程、高校毕业生就业创业专项行动和“万名人社干部进万企”活动为主线，全力推动就业创业高质量发展。巩固扶贫车间成效，创建就业扶贫驿站。社会保障水平稳步提高，持续推进全民参保计划</w:t>
      </w:r>
      <w:r>
        <w:rPr>
          <w:rFonts w:hint="eastAsia" w:ascii="仿宋" w:hAnsi="仿宋" w:cs="Times New Roman"/>
          <w:color w:val="000000" w:themeColor="text1"/>
          <w:sz w:val="32"/>
          <w:szCs w:val="32"/>
          <w14:textFill>
            <w14:solidFill>
              <w14:schemeClr w14:val="tx1"/>
            </w14:solidFill>
          </w14:textFill>
        </w:rPr>
        <w:t>和</w:t>
      </w:r>
      <w:r>
        <w:rPr>
          <w:rFonts w:ascii="仿宋" w:hAnsi="仿宋" w:cs="Times New Roman"/>
          <w:color w:val="000000" w:themeColor="text1"/>
          <w:sz w:val="32"/>
          <w:szCs w:val="32"/>
          <w14:textFill>
            <w14:solidFill>
              <w14:schemeClr w14:val="tx1"/>
            </w14:solidFill>
          </w14:textFill>
        </w:rPr>
        <w:t>参保扩面工作。</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教育现代化继续推进。</w:t>
      </w:r>
      <w:r>
        <w:rPr>
          <w:rFonts w:ascii="仿宋" w:hAnsi="仿宋" w:cs="Times New Roman"/>
          <w:color w:val="000000" w:themeColor="text1"/>
          <w:sz w:val="32"/>
          <w:szCs w:val="32"/>
          <w14:textFill>
            <w14:solidFill>
              <w14:schemeClr w14:val="tx1"/>
            </w14:solidFill>
          </w14:textFill>
        </w:rPr>
        <w:t>学前教育普及普惠优质发展，全市新建11所普惠性幼儿园；义务教育优质均衡发展，全市现有“温馨校园”92所</w:t>
      </w:r>
      <w:r>
        <w:rPr>
          <w:rFonts w:hint="eastAsia" w:ascii="仿宋" w:hAnsi="仿宋" w:cs="Times New Roman"/>
          <w:color w:val="000000" w:themeColor="text1"/>
          <w:sz w:val="32"/>
          <w:szCs w:val="32"/>
          <w14:textFill>
            <w14:solidFill>
              <w14:schemeClr w14:val="tx1"/>
            </w14:solidFill>
          </w14:textFill>
        </w:rPr>
        <w:t>，</w:t>
      </w:r>
      <w:r>
        <w:rPr>
          <w:rFonts w:ascii="仿宋" w:hAnsi="仿宋" w:cs="Times New Roman"/>
          <w:color w:val="000000" w:themeColor="text1"/>
          <w:sz w:val="32"/>
          <w:szCs w:val="32"/>
          <w14:textFill>
            <w14:solidFill>
              <w14:schemeClr w14:val="tx1"/>
            </w14:solidFill>
          </w14:textFill>
        </w:rPr>
        <w:t>高中教育特色发展，进一步深化全市普通高中课堂教学改革，提高普通高中课堂教学质量</w:t>
      </w:r>
      <w:r>
        <w:rPr>
          <w:rFonts w:hint="eastAsia" w:ascii="仿宋" w:hAnsi="仿宋" w:cs="Times New Roman"/>
          <w:color w:val="000000" w:themeColor="text1"/>
          <w:sz w:val="32"/>
          <w:szCs w:val="32"/>
          <w14:textFill>
            <w14:solidFill>
              <w14:schemeClr w14:val="tx1"/>
            </w14:solidFill>
          </w14:textFill>
        </w:rPr>
        <w:t>。</w:t>
      </w:r>
      <w:r>
        <w:rPr>
          <w:rFonts w:ascii="仿宋" w:hAnsi="仿宋" w:cs="Times New Roman"/>
          <w:color w:val="000000" w:themeColor="text1"/>
          <w:sz w:val="32"/>
          <w:szCs w:val="32"/>
          <w14:textFill>
            <w14:solidFill>
              <w14:schemeClr w14:val="tx1"/>
            </w14:solidFill>
          </w14:textFill>
        </w:rPr>
        <w:t>实施中职学校办学条件达标工程、职业教育体制机制逐渐完善。</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健康建设全面推进。</w:t>
      </w:r>
      <w:r>
        <w:rPr>
          <w:rFonts w:ascii="仿宋" w:hAnsi="仿宋" w:cs="Times New Roman"/>
          <w:color w:val="000000" w:themeColor="text1"/>
          <w:sz w:val="32"/>
          <w:szCs w:val="32"/>
          <w14:textFill>
            <w14:solidFill>
              <w14:schemeClr w14:val="tx1"/>
            </w14:solidFill>
          </w14:textFill>
        </w:rPr>
        <w:t>医药卫生体制改革深入推进，推动优质医疗资源下沉，完成覆盖全市的远程医疗会诊平台建设。疾病预防控制和重大疫情防控救治、监测预警体系进一步完善。养老服务体系进一步完善，全市现有养老机构125家、6家医养结合机构，着力建设“15分钟养老服务圈”。</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文化建设亮点突出。</w:t>
      </w:r>
      <w:r>
        <w:rPr>
          <w:rFonts w:ascii="仿宋" w:hAnsi="仿宋" w:cs="Times New Roman"/>
          <w:color w:val="000000" w:themeColor="text1"/>
          <w:sz w:val="32"/>
          <w:szCs w:val="32"/>
          <w14:textFill>
            <w14:solidFill>
              <w14:schemeClr w14:val="tx1"/>
            </w14:solidFill>
          </w14:textFill>
        </w:rPr>
        <w:t>实施“文体惠民”工程，广泛开展“歌舞鹤乡放飞梦想”“快乐运动幸福鹤乡”系列文体活动，成功举办查干浩特帐篷节、公益电影节等特色活动</w:t>
      </w:r>
      <w:r>
        <w:rPr>
          <w:rFonts w:hint="eastAsia" w:ascii="仿宋" w:hAnsi="仿宋" w:cs="Times New Roman"/>
          <w:color w:val="000000" w:themeColor="text1"/>
          <w:sz w:val="32"/>
          <w:szCs w:val="32"/>
          <w14:textFill>
            <w14:solidFill>
              <w14:schemeClr w14:val="tx1"/>
            </w14:solidFill>
          </w14:textFill>
        </w:rPr>
        <w:t>。</w:t>
      </w:r>
      <w:r>
        <w:rPr>
          <w:rFonts w:ascii="仿宋" w:hAnsi="仿宋" w:cs="Times New Roman"/>
          <w:color w:val="000000" w:themeColor="text1"/>
          <w:sz w:val="32"/>
          <w:szCs w:val="32"/>
          <w14:textFill>
            <w14:solidFill>
              <w14:schemeClr w14:val="tx1"/>
            </w14:solidFill>
          </w14:textFill>
        </w:rPr>
        <w:t>持续推进洮北文体活动中心、大安新三馆建设。</w:t>
      </w:r>
    </w:p>
    <w:p>
      <w:pPr>
        <w:pStyle w:val="5"/>
        <w:spacing w:line="578" w:lineRule="exact"/>
        <w:ind w:firstLine="643"/>
        <w:rPr>
          <w:rFonts w:ascii="仿宋" w:hAnsi="仿宋" w:eastAsia="仿宋" w:cs="Times New Roman"/>
          <w:color w:val="000000" w:themeColor="text1"/>
          <w14:textFill>
            <w14:solidFill>
              <w14:schemeClr w14:val="tx1"/>
            </w14:solidFill>
          </w14:textFill>
        </w:rPr>
      </w:pPr>
      <w:bookmarkStart w:id="15" w:name="_Toc143176762"/>
      <w:r>
        <w:rPr>
          <w:rFonts w:ascii="仿宋" w:hAnsi="仿宋" w:eastAsia="仿宋" w:cs="Times New Roman"/>
          <w:color w:val="000000" w:themeColor="text1"/>
          <w14:textFill>
            <w14:solidFill>
              <w14:schemeClr w14:val="tx1"/>
            </w14:solidFill>
          </w14:textFill>
        </w:rPr>
        <w:t>8.社会治理体系建设取得新进展</w:t>
      </w:r>
      <w:bookmarkEnd w:id="15"/>
    </w:p>
    <w:p>
      <w:pPr>
        <w:spacing w:line="578" w:lineRule="exact"/>
        <w:ind w:firstLine="643"/>
        <w:rPr>
          <w:rFonts w:eastAsia="方正仿宋_GBK"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精准高效防控疫情。</w:t>
      </w:r>
      <w:r>
        <w:rPr>
          <w:rFonts w:ascii="仿宋" w:hAnsi="仿宋" w:cs="Times New Roman"/>
          <w:color w:val="000000" w:themeColor="text1"/>
          <w:sz w:val="32"/>
          <w:szCs w:val="32"/>
          <w14:textFill>
            <w14:solidFill>
              <w14:schemeClr w14:val="tx1"/>
            </w14:solidFill>
          </w14:textFill>
        </w:rPr>
        <w:t>突出下好“先手棋”，加强实战演练，强化市县统筹、校地联动、以快制快，打好多轮疫情防控阻击战、歼灭战。</w:t>
      </w:r>
      <w:r>
        <w:rPr>
          <w:rFonts w:ascii="仿宋" w:hAnsi="仿宋" w:cs="Times New Roman"/>
          <w:b/>
          <w:bCs/>
          <w:color w:val="000000" w:themeColor="text1"/>
          <w:sz w:val="32"/>
          <w:szCs w:val="32"/>
          <w14:textFill>
            <w14:solidFill>
              <w14:schemeClr w14:val="tx1"/>
            </w14:solidFill>
          </w14:textFill>
        </w:rPr>
        <w:t>公共安全体系更加健全。</w:t>
      </w:r>
      <w:r>
        <w:rPr>
          <w:rFonts w:ascii="仿宋" w:hAnsi="仿宋" w:cs="Times New Roman"/>
          <w:color w:val="000000" w:themeColor="text1"/>
          <w:sz w:val="32"/>
          <w:szCs w:val="32"/>
          <w14:textFill>
            <w14:solidFill>
              <w14:schemeClr w14:val="tx1"/>
            </w14:solidFill>
          </w14:textFill>
        </w:rPr>
        <w:t>进一步完善食品药品安全监管制度，食品药品安全总体趋势平稳。</w:t>
      </w:r>
      <w:r>
        <w:rPr>
          <w:rFonts w:ascii="仿宋" w:hAnsi="仿宋" w:cs="Times New Roman"/>
          <w:b/>
          <w:bCs/>
          <w:color w:val="000000" w:themeColor="text1"/>
          <w:sz w:val="32"/>
          <w:szCs w:val="32"/>
          <w14:textFill>
            <w14:solidFill>
              <w14:schemeClr w14:val="tx1"/>
            </w14:solidFill>
          </w14:textFill>
        </w:rPr>
        <w:t>基层治理水平持续提升。</w:t>
      </w:r>
      <w:r>
        <w:rPr>
          <w:rFonts w:ascii="仿宋" w:hAnsi="仿宋" w:cs="Times New Roman"/>
          <w:color w:val="000000" w:themeColor="text1"/>
          <w:sz w:val="32"/>
          <w:szCs w:val="32"/>
          <w14:textFill>
            <w14:solidFill>
              <w14:schemeClr w14:val="tx1"/>
            </w14:solidFill>
          </w14:textFill>
        </w:rPr>
        <w:t>实施“平战结合·万人强基”三项工程，</w:t>
      </w:r>
      <w:r>
        <w:rPr>
          <w:rFonts w:hint="eastAsia" w:ascii="仿宋" w:hAnsi="仿宋" w:cs="Times New Roman"/>
          <w:color w:val="000000" w:themeColor="text1"/>
          <w:sz w:val="32"/>
          <w:szCs w:val="32"/>
          <w14:textFill>
            <w14:solidFill>
              <w14:schemeClr w14:val="tx1"/>
            </w14:solidFill>
          </w14:textFill>
        </w:rPr>
        <w:t>组织</w:t>
      </w:r>
      <w:r>
        <w:rPr>
          <w:rFonts w:ascii="仿宋" w:hAnsi="仿宋" w:cs="Times New Roman"/>
          <w:color w:val="000000" w:themeColor="text1"/>
          <w:sz w:val="32"/>
          <w:szCs w:val="32"/>
          <w14:textFill>
            <w14:solidFill>
              <w14:schemeClr w14:val="tx1"/>
            </w14:solidFill>
          </w14:textFill>
        </w:rPr>
        <w:t>机关干部开展“双报到”，常态化参与社区事务管理。</w:t>
      </w:r>
      <w:bookmarkStart w:id="16" w:name="_Toc143176763"/>
    </w:p>
    <w:p>
      <w:pPr>
        <w:spacing w:line="578" w:lineRule="exact"/>
        <w:ind w:firstLine="643"/>
        <w:rPr>
          <w:rFonts w:ascii="楷体" w:hAnsi="楷体" w:eastAsia="楷体" w:cs="Times New Roman"/>
          <w:b/>
          <w:bCs/>
          <w:color w:val="000000" w:themeColor="text1"/>
          <w:sz w:val="32"/>
          <w:szCs w:val="32"/>
          <w14:textFill>
            <w14:solidFill>
              <w14:schemeClr w14:val="tx1"/>
            </w14:solidFill>
          </w14:textFill>
        </w:rPr>
      </w:pPr>
      <w:r>
        <w:rPr>
          <w:rFonts w:ascii="楷体" w:hAnsi="楷体" w:eastAsia="楷体" w:cs="Times New Roman"/>
          <w:b/>
          <w:bCs/>
          <w:color w:val="000000" w:themeColor="text1"/>
          <w:sz w:val="32"/>
          <w:szCs w:val="32"/>
          <w14:textFill>
            <w14:solidFill>
              <w14:schemeClr w14:val="tx1"/>
            </w14:solidFill>
          </w14:textFill>
        </w:rPr>
        <w:t>（三）重大工程项目进展情况</w:t>
      </w:r>
      <w:bookmarkEnd w:id="16"/>
      <w:bookmarkStart w:id="17" w:name="_Toc143176764"/>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1.重大项目实施情况</w:t>
      </w:r>
      <w:bookmarkEnd w:id="17"/>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hint="eastAsia" w:ascii="仿宋" w:hAnsi="仿宋" w:cs="Times New Roman"/>
          <w:color w:val="000000" w:themeColor="text1"/>
          <w:sz w:val="32"/>
          <w:szCs w:val="32"/>
          <w14:textFill>
            <w14:solidFill>
              <w14:schemeClr w14:val="tx1"/>
            </w14:solidFill>
          </w14:textFill>
        </w:rPr>
        <w:t>（项目有关数据不对外公开）</w:t>
      </w:r>
      <w:bookmarkStart w:id="18" w:name="_Toc143176765"/>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2.强化项目管理的主要做法和措施</w:t>
      </w:r>
      <w:bookmarkEnd w:id="18"/>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一是优化审批流程。</w:t>
      </w:r>
      <w:r>
        <w:rPr>
          <w:rFonts w:ascii="仿宋" w:hAnsi="仿宋" w:cs="Times New Roman"/>
          <w:color w:val="000000" w:themeColor="text1"/>
          <w:sz w:val="32"/>
          <w:szCs w:val="32"/>
          <w14:textFill>
            <w14:solidFill>
              <w14:schemeClr w14:val="tx1"/>
            </w14:solidFill>
          </w14:textFill>
        </w:rPr>
        <w:t>按照“程序不减、周期缩短”的原则，实行并联审批、联合审批等方式，加快了前期要件办理，确保在投资计划下达后尽快开工建设；发挥项目中心作用，启动“不见面”在线审批，开展政务服务“零跑团”工作，大大提高了工作效率。</w:t>
      </w:r>
      <w:r>
        <w:rPr>
          <w:rFonts w:ascii="仿宋" w:hAnsi="仿宋" w:cs="Times New Roman"/>
          <w:b/>
          <w:bCs/>
          <w:color w:val="000000" w:themeColor="text1"/>
          <w:sz w:val="32"/>
          <w:szCs w:val="32"/>
          <w14:textFill>
            <w14:solidFill>
              <w14:schemeClr w14:val="tx1"/>
            </w14:solidFill>
          </w14:textFill>
        </w:rPr>
        <w:t>二是充分发挥项目单位作用。</w:t>
      </w:r>
      <w:r>
        <w:rPr>
          <w:rFonts w:ascii="仿宋" w:hAnsi="仿宋" w:cs="Times New Roman"/>
          <w:color w:val="000000" w:themeColor="text1"/>
          <w:sz w:val="32"/>
          <w:szCs w:val="32"/>
          <w14:textFill>
            <w14:solidFill>
              <w14:schemeClr w14:val="tx1"/>
            </w14:solidFill>
          </w14:textFill>
        </w:rPr>
        <w:t>充分调动项目单位开展项目建设工作的积极性、主动性。对项目逐一制定建设计划，千方百计为项目开工创造条件</w:t>
      </w:r>
      <w:r>
        <w:rPr>
          <w:rFonts w:ascii="仿宋" w:hAnsi="仿宋" w:cs="Times New Roman"/>
          <w:b/>
          <w:bCs/>
          <w:color w:val="000000" w:themeColor="text1"/>
          <w:sz w:val="32"/>
          <w:szCs w:val="32"/>
          <w14:textFill>
            <w14:solidFill>
              <w14:schemeClr w14:val="tx1"/>
            </w14:solidFill>
          </w14:textFill>
        </w:rPr>
        <w:t>。三是强化服务保障。</w:t>
      </w:r>
      <w:r>
        <w:rPr>
          <w:rFonts w:ascii="仿宋" w:hAnsi="仿宋" w:cs="Times New Roman"/>
          <w:color w:val="000000" w:themeColor="text1"/>
          <w:sz w:val="32"/>
          <w:szCs w:val="32"/>
          <w14:textFill>
            <w14:solidFill>
              <w14:schemeClr w14:val="tx1"/>
            </w14:solidFill>
          </w14:textFill>
        </w:rPr>
        <w:t>依托各级项目中心，开展“一对一”帮代办服务，采取周调度、月汇总、季分析的方式，及时了解各地项目建设动态，强化服务指导。</w:t>
      </w:r>
      <w:r>
        <w:rPr>
          <w:rFonts w:ascii="仿宋" w:hAnsi="仿宋" w:cs="Times New Roman"/>
          <w:b/>
          <w:bCs/>
          <w:color w:val="000000" w:themeColor="text1"/>
          <w:sz w:val="32"/>
          <w:szCs w:val="32"/>
          <w14:textFill>
            <w14:solidFill>
              <w14:schemeClr w14:val="tx1"/>
            </w14:solidFill>
          </w14:textFill>
        </w:rPr>
        <w:t>四是开展重点项目巡检</w:t>
      </w:r>
      <w:r>
        <w:rPr>
          <w:rFonts w:hint="eastAsia" w:ascii="仿宋" w:hAnsi="仿宋" w:cs="Times New Roman"/>
          <w:b/>
          <w:bCs/>
          <w:color w:val="000000" w:themeColor="text1"/>
          <w:sz w:val="32"/>
          <w:szCs w:val="32"/>
          <w14:textFill>
            <w14:solidFill>
              <w14:schemeClr w14:val="tx1"/>
            </w14:solidFill>
          </w14:textFill>
        </w:rPr>
        <w:t>。</w:t>
      </w:r>
      <w:r>
        <w:rPr>
          <w:rFonts w:hint="eastAsia" w:ascii="仿宋" w:hAnsi="仿宋" w:cs="Times New Roman"/>
          <w:color w:val="000000" w:themeColor="text1"/>
          <w:sz w:val="32"/>
          <w:szCs w:val="32"/>
          <w14:textFill>
            <w14:solidFill>
              <w14:schemeClr w14:val="tx1"/>
            </w14:solidFill>
          </w14:textFill>
        </w:rPr>
        <w:t>定期</w:t>
      </w:r>
      <w:r>
        <w:rPr>
          <w:rFonts w:ascii="仿宋" w:hAnsi="仿宋" w:cs="Times New Roman"/>
          <w:color w:val="000000" w:themeColor="text1"/>
          <w:sz w:val="32"/>
          <w:szCs w:val="32"/>
          <w14:textFill>
            <w14:solidFill>
              <w14:schemeClr w14:val="tx1"/>
            </w14:solidFill>
          </w14:textFill>
        </w:rPr>
        <w:t>通报各地重大项目建设情况，形成了各地比学赶超上项目的浓厚氛围。</w:t>
      </w:r>
    </w:p>
    <w:p>
      <w:pPr>
        <w:pStyle w:val="3"/>
        <w:spacing w:beforeLines="0" w:afterLines="0" w:line="578" w:lineRule="exact"/>
        <w:ind w:left="721" w:firstLine="0" w:firstLineChars="0"/>
        <w:rPr>
          <w:rFonts w:ascii="黑体" w:hAnsi="黑体" w:eastAsia="黑体" w:cs="Times New Roman"/>
          <w:b w:val="0"/>
          <w:color w:val="000000" w:themeColor="text1"/>
          <w:kern w:val="2"/>
          <w:sz w:val="32"/>
          <w:szCs w:val="32"/>
          <w14:textFill>
            <w14:solidFill>
              <w14:schemeClr w14:val="tx1"/>
            </w14:solidFill>
          </w14:textFill>
        </w:rPr>
      </w:pPr>
      <w:bookmarkStart w:id="19" w:name="_Toc143176769"/>
      <w:r>
        <w:rPr>
          <w:rFonts w:hint="eastAsia" w:ascii="黑体" w:hAnsi="黑体" w:eastAsia="黑体" w:cs="Times New Roman"/>
          <w:b w:val="0"/>
          <w:color w:val="000000" w:themeColor="text1"/>
          <w:kern w:val="2"/>
          <w:sz w:val="32"/>
          <w:szCs w:val="32"/>
          <w14:textFill>
            <w14:solidFill>
              <w14:schemeClr w14:val="tx1"/>
            </w14:solidFill>
          </w14:textFill>
        </w:rPr>
        <w:t>二</w:t>
      </w:r>
      <w:r>
        <w:rPr>
          <w:rFonts w:ascii="黑体" w:hAnsi="黑体" w:eastAsia="黑体" w:cs="Times New Roman"/>
          <w:b w:val="0"/>
          <w:color w:val="000000" w:themeColor="text1"/>
          <w:kern w:val="2"/>
          <w:sz w:val="32"/>
          <w:szCs w:val="32"/>
          <w14:textFill>
            <w14:solidFill>
              <w14:schemeClr w14:val="tx1"/>
            </w14:solidFill>
          </w14:textFill>
        </w:rPr>
        <w:t>、</w:t>
      </w:r>
      <w:r>
        <w:rPr>
          <w:rFonts w:hint="eastAsia" w:ascii="黑体" w:hAnsi="黑体" w:eastAsia="黑体" w:cs="Times New Roman"/>
          <w:b w:val="0"/>
          <w:color w:val="000000" w:themeColor="text1"/>
          <w:kern w:val="2"/>
          <w:sz w:val="32"/>
          <w:szCs w:val="32"/>
          <w14:textFill>
            <w14:solidFill>
              <w14:schemeClr w14:val="tx1"/>
            </w14:solidFill>
          </w14:textFill>
        </w:rPr>
        <w:t>下一步工作</w:t>
      </w:r>
      <w:r>
        <w:rPr>
          <w:rFonts w:ascii="黑体" w:hAnsi="黑体" w:eastAsia="黑体" w:cs="Times New Roman"/>
          <w:b w:val="0"/>
          <w:color w:val="000000" w:themeColor="text1"/>
          <w:kern w:val="2"/>
          <w:sz w:val="32"/>
          <w:szCs w:val="32"/>
          <w14:textFill>
            <w14:solidFill>
              <w14:schemeClr w14:val="tx1"/>
            </w14:solidFill>
          </w14:textFill>
        </w:rPr>
        <w:t>建议</w:t>
      </w:r>
      <w:bookmarkEnd w:id="19"/>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十四五”中后期，面对发展环境和条件的变化，全市要密切跟踪形势变化、坚持底线思维、防范潜在风险、保持战略定力，采取有力措施，努力实现经济社会发展总体平稳，确保“十四五”规划目标任务圆满实现。</w:t>
      </w:r>
    </w:p>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20" w:name="_Toc143176770"/>
      <w:r>
        <w:rPr>
          <w:rFonts w:ascii="楷体" w:hAnsi="楷体" w:eastAsia="楷体" w:cs="Times New Roman"/>
          <w:color w:val="000000" w:themeColor="text1"/>
          <w14:textFill>
            <w14:solidFill>
              <w14:schemeClr w14:val="tx1"/>
            </w14:solidFill>
          </w14:textFill>
        </w:rPr>
        <w:t>（一）明确《纲要》的总体思路，保障目标全面实现</w:t>
      </w:r>
      <w:bookmarkEnd w:id="20"/>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十四五”中后期，全市要继续高举习近平新时代中国特色社会主义思想伟大旗帜，坚持以习近平新时代中国特色社会主义思想为指导，全面贯彻党的二十大精神，深入落实习近平总书记视察吉林重要讲话重要指示精神，坚持稳中求进工作总基调，</w:t>
      </w:r>
      <w:bookmarkStart w:id="21" w:name="_Hlk140591493"/>
      <w:r>
        <w:rPr>
          <w:rFonts w:ascii="仿宋" w:hAnsi="仿宋" w:cs="Times New Roman"/>
          <w:color w:val="000000" w:themeColor="text1"/>
          <w:sz w:val="32"/>
          <w:szCs w:val="32"/>
          <w14:textFill>
            <w14:solidFill>
              <w14:schemeClr w14:val="tx1"/>
            </w14:solidFill>
          </w14:textFill>
        </w:rPr>
        <w:t>按照“一主六双”高质量发展战略要求，大力实施“一三三四”高质量发展战略，</w:t>
      </w:r>
      <w:bookmarkEnd w:id="21"/>
      <w:r>
        <w:rPr>
          <w:rFonts w:ascii="仿宋" w:hAnsi="仿宋" w:cs="Times New Roman"/>
          <w:color w:val="000000" w:themeColor="text1"/>
          <w:sz w:val="32"/>
          <w:szCs w:val="32"/>
          <w14:textFill>
            <w14:solidFill>
              <w14:schemeClr w14:val="tx1"/>
            </w14:solidFill>
          </w14:textFill>
        </w:rPr>
        <w:t>突出目标导向和问题导向，既要咬定目标任务不动摇，继续实施好《纲要》确定的各项目标任务，也要按照新时期高质量发展的要求，实施创新驱动，努力培育新动能，发展新产业，构建新格局，形成新优势，以“三十而立再出发”的精神风貌，推动经济社会高质量发展。</w:t>
      </w:r>
    </w:p>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22" w:name="_Toc143176771"/>
      <w:r>
        <w:rPr>
          <w:rFonts w:ascii="楷体" w:hAnsi="楷体" w:eastAsia="楷体" w:cs="Times New Roman"/>
          <w:color w:val="000000" w:themeColor="text1"/>
          <w14:textFill>
            <w14:solidFill>
              <w14:schemeClr w14:val="tx1"/>
            </w14:solidFill>
          </w14:textFill>
        </w:rPr>
        <w:t>（二）着力加快绿色转型，推动生态经济高质量发展</w:t>
      </w:r>
      <w:bookmarkEnd w:id="22"/>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推动农业提质增效。</w:t>
      </w:r>
      <w:r>
        <w:rPr>
          <w:rFonts w:ascii="仿宋" w:hAnsi="仿宋" w:cs="Times New Roman"/>
          <w:color w:val="000000" w:themeColor="text1"/>
          <w:sz w:val="32"/>
          <w:szCs w:val="32"/>
          <w14:textFill>
            <w14:solidFill>
              <w14:schemeClr w14:val="tx1"/>
            </w14:solidFill>
          </w14:textFill>
        </w:rPr>
        <w:t>深入实施“藏粮于地、藏粮于技”战略，坚决抓好粮食增产这一头等大事。持续实施“改地增粮、以水保粮、科技兴粮”三大增粮工程，创新开展国家盐碱地综合利用试点，挖掘释放粮食增产潜能，不断增加耕地面积，加强高标准农田建设，进一步加大良种良法推广力度，努力提高粮食单产和质量。大力发展农业特色产业，建设一批优势特色农产品基地，形成特色生态农业产业集群。多措并举加快畜牧产业振兴发展，深入推进“秸秆变肉”暨肉牛建设工程，持续推进从“粗放生产”到“高端精深”方式的转型升级。高质量建设一批农业产业强镇、现代农业产业园、优势特色产业集群、农业现代化示范区。大力培育扶持农业专业合作社、专业大户、家庭农场等新型农业经营主体，积极争创全省“百强示范社”。打造“白城弱碱地大米、白城燕麦、白城绿豆”等区域公用品牌，加强“二品一标”认定，切实提高全市优质特色农产品的品牌知名度、影响力和市场占有率。</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推动工业拓展升级。</w:t>
      </w:r>
      <w:r>
        <w:rPr>
          <w:rFonts w:ascii="仿宋" w:hAnsi="仿宋" w:cs="Times New Roman"/>
          <w:color w:val="000000" w:themeColor="text1"/>
          <w:sz w:val="32"/>
          <w:szCs w:val="32"/>
          <w14:textFill>
            <w14:solidFill>
              <w14:schemeClr w14:val="tx1"/>
            </w14:solidFill>
          </w14:textFill>
        </w:rPr>
        <w:t>坚持工业主导、投资拉动，瞄准龙头企业培育、产业聚集发展、创新驱动、智能转型、绿色发展等关键环节，推动产业结构从中低端向中高端迈进，一体化推进强链补链延链，着力推动工业转型升级。加快释放新能源、农牧产品、资源优势，以</w:t>
      </w:r>
      <w:bookmarkStart w:id="23" w:name="_Hlk140500875"/>
      <w:r>
        <w:rPr>
          <w:rFonts w:ascii="仿宋" w:hAnsi="仿宋" w:cs="Times New Roman"/>
          <w:color w:val="000000" w:themeColor="text1"/>
          <w:sz w:val="32"/>
          <w:szCs w:val="32"/>
          <w14:textFill>
            <w14:solidFill>
              <w14:schemeClr w14:val="tx1"/>
            </w14:solidFill>
          </w14:textFill>
        </w:rPr>
        <w:t>农产品加工</w:t>
      </w:r>
      <w:bookmarkEnd w:id="23"/>
      <w:r>
        <w:rPr>
          <w:rFonts w:ascii="仿宋" w:hAnsi="仿宋" w:cs="Times New Roman"/>
          <w:color w:val="000000" w:themeColor="text1"/>
          <w:sz w:val="32"/>
          <w:szCs w:val="32"/>
          <w14:textFill>
            <w14:solidFill>
              <w14:schemeClr w14:val="tx1"/>
            </w14:solidFill>
          </w14:textFill>
        </w:rPr>
        <w:t>、清洁能源、装备制造三大支柱产业为抓手，重点打造</w:t>
      </w:r>
      <w:bookmarkStart w:id="24" w:name="_Hlk140501758"/>
      <w:r>
        <w:rPr>
          <w:rFonts w:ascii="仿宋" w:hAnsi="仿宋" w:cs="Times New Roman"/>
          <w:color w:val="000000" w:themeColor="text1"/>
          <w:sz w:val="32"/>
          <w:szCs w:val="32"/>
          <w14:textFill>
            <w14:solidFill>
              <w14:schemeClr w14:val="tx1"/>
            </w14:solidFill>
          </w14:textFill>
        </w:rPr>
        <w:t>主粮、肉乳、特色农产品</w:t>
      </w:r>
      <w:bookmarkEnd w:id="24"/>
      <w:r>
        <w:rPr>
          <w:rFonts w:ascii="仿宋" w:hAnsi="仿宋" w:cs="Times New Roman"/>
          <w:color w:val="000000" w:themeColor="text1"/>
          <w:sz w:val="32"/>
          <w:szCs w:val="32"/>
          <w14:textFill>
            <w14:solidFill>
              <w14:schemeClr w14:val="tx1"/>
            </w14:solidFill>
          </w14:textFill>
        </w:rPr>
        <w:t>加工产业链；大力发展以风力、光伏发电为主的清洁能源产业，全域布局风电、光伏开发产业链条；积极推动风电装备从大部件配套向关键零部件生产延伸。加快培育一批具有较强带动力的龙头企业、行业骨干企业、高成长企业，形成更多“专精特新”和“小巨人”企业。支持优质企业做大做强，鼓励企业借助资本市场实现高质量发展。</w:t>
      </w:r>
      <w:r>
        <w:rPr>
          <w:rFonts w:ascii="仿宋" w:hAnsi="仿宋" w:cs="Times New Roman"/>
          <w:b/>
          <w:bCs/>
          <w:color w:val="000000" w:themeColor="text1"/>
          <w:sz w:val="32"/>
          <w:szCs w:val="32"/>
          <w14:textFill>
            <w14:solidFill>
              <w14:schemeClr w14:val="tx1"/>
            </w14:solidFill>
          </w14:textFill>
        </w:rPr>
        <w:t>农产品加工产业。</w:t>
      </w:r>
      <w:r>
        <w:rPr>
          <w:rFonts w:ascii="仿宋" w:hAnsi="仿宋" w:cs="Times New Roman"/>
          <w:color w:val="000000" w:themeColor="text1"/>
          <w:sz w:val="32"/>
          <w:szCs w:val="32"/>
          <w14:textFill>
            <w14:solidFill>
              <w14:schemeClr w14:val="tx1"/>
            </w14:solidFill>
          </w14:textFill>
        </w:rPr>
        <w:t>大力发展主粮、肉乳、特色农产品加工，推动农产品加工业一体化、全链条、精深化发展，着力打造农产品加工产业集群。不断提升优质稻米产业链，</w:t>
      </w:r>
      <w:bookmarkStart w:id="25" w:name="_Hlk140501923"/>
      <w:r>
        <w:rPr>
          <w:rFonts w:ascii="仿宋" w:hAnsi="仿宋" w:cs="Times New Roman"/>
          <w:color w:val="000000" w:themeColor="text1"/>
          <w:sz w:val="32"/>
          <w:szCs w:val="32"/>
          <w14:textFill>
            <w14:solidFill>
              <w14:schemeClr w14:val="tx1"/>
            </w14:solidFill>
          </w14:textFill>
        </w:rPr>
        <w:t>加快打造白城大米加工基地</w:t>
      </w:r>
      <w:bookmarkEnd w:id="25"/>
      <w:r>
        <w:rPr>
          <w:rFonts w:ascii="仿宋" w:hAnsi="仿宋" w:cs="Times New Roman"/>
          <w:color w:val="000000" w:themeColor="text1"/>
          <w:sz w:val="32"/>
          <w:szCs w:val="32"/>
          <w14:textFill>
            <w14:solidFill>
              <w14:schemeClr w14:val="tx1"/>
            </w14:solidFill>
          </w14:textFill>
        </w:rPr>
        <w:t>；不断拓展玉米加工产业链，加快打造白城玉米加工基地；不断延伸肉牛屠宰深加工和乳制品加工产业链，加快打造白城肉牛和乳制品加工基地；进一步延伸猪肉加工产业链，加快打造白城猪肉加工基地；</w:t>
      </w:r>
      <w:bookmarkStart w:id="26" w:name="_Hlk140502169"/>
      <w:r>
        <w:rPr>
          <w:rFonts w:ascii="仿宋" w:hAnsi="仿宋" w:cs="Times New Roman"/>
          <w:color w:val="000000" w:themeColor="text1"/>
          <w:sz w:val="32"/>
          <w:szCs w:val="32"/>
          <w14:textFill>
            <w14:solidFill>
              <w14:schemeClr w14:val="tx1"/>
            </w14:solidFill>
          </w14:textFill>
        </w:rPr>
        <w:t>不断强化特色农产品加工产业链，加快打造白城特色农产品加工基地</w:t>
      </w:r>
      <w:bookmarkEnd w:id="26"/>
      <w:r>
        <w:rPr>
          <w:rFonts w:ascii="仿宋" w:hAnsi="仿宋" w:cs="Times New Roman"/>
          <w:color w:val="000000" w:themeColor="text1"/>
          <w:sz w:val="32"/>
          <w:szCs w:val="32"/>
          <w14:textFill>
            <w14:solidFill>
              <w14:schemeClr w14:val="tx1"/>
            </w14:solidFill>
          </w14:textFill>
        </w:rPr>
        <w:t>。</w:t>
      </w:r>
      <w:r>
        <w:rPr>
          <w:rFonts w:ascii="仿宋" w:hAnsi="仿宋" w:cs="Times New Roman"/>
          <w:b/>
          <w:bCs/>
          <w:color w:val="000000" w:themeColor="text1"/>
          <w:sz w:val="32"/>
          <w:szCs w:val="32"/>
          <w14:textFill>
            <w14:solidFill>
              <w14:schemeClr w14:val="tx1"/>
            </w14:solidFill>
          </w14:textFill>
        </w:rPr>
        <w:t>清洁能源产业。</w:t>
      </w:r>
      <w:r>
        <w:rPr>
          <w:rFonts w:ascii="仿宋" w:hAnsi="仿宋" w:cs="Times New Roman"/>
          <w:color w:val="000000" w:themeColor="text1"/>
          <w:sz w:val="32"/>
          <w:szCs w:val="32"/>
          <w14:textFill>
            <w14:solidFill>
              <w14:schemeClr w14:val="tx1"/>
            </w14:solidFill>
          </w14:textFill>
        </w:rPr>
        <w:t>以建设国家级清洁能源基地为目标，加快推进一批重大项目建设，着力打造清洁能源产业集群。构建“源网荷储”一体化产业体系，创建国家级绿电产业示范区。以打造一批大基地为目标，推进“陆上风光三峡”建设。持续引进拥有核心技术的“头部”企业，组建新能源产业联盟，促进域内企业供需互补、市场配套。以拓展新链条为目标，完善“绿电+绿氢+绿氨+绿醇”模式，抓好制氢加氢一体化项目运营。</w:t>
      </w:r>
      <w:r>
        <w:rPr>
          <w:rFonts w:ascii="仿宋" w:hAnsi="仿宋" w:cs="Times New Roman"/>
          <w:b/>
          <w:bCs/>
          <w:color w:val="000000" w:themeColor="text1"/>
          <w:sz w:val="32"/>
          <w:szCs w:val="32"/>
          <w14:textFill>
            <w14:solidFill>
              <w14:schemeClr w14:val="tx1"/>
            </w14:solidFill>
          </w14:textFill>
        </w:rPr>
        <w:t>装备制造产业。</w:t>
      </w:r>
      <w:r>
        <w:rPr>
          <w:rFonts w:ascii="仿宋" w:hAnsi="仿宋" w:cs="Times New Roman"/>
          <w:color w:val="000000" w:themeColor="text1"/>
          <w:sz w:val="32"/>
          <w:szCs w:val="32"/>
          <w14:textFill>
            <w14:solidFill>
              <w14:schemeClr w14:val="tx1"/>
            </w14:solidFill>
          </w14:textFill>
        </w:rPr>
        <w:t>依托清洁能源产业基础，培育和引进风电整机制造企业，实现产业链覆盖主要关键零部件及各环节，建设风电装备制造基地，着力打造装备制造产业集群。坚持全绿电、低成本模式，吸引基础原材料生产企业，推动零部件生产企业落户，进而带动整机、整车生产，做大装备制造业。依托装备制造企业，引进国内外先进技术和优势企业，推进产品精深加工装备、集成化装备、自动化装备开发。</w:t>
      </w:r>
      <w:r>
        <w:rPr>
          <w:rFonts w:ascii="仿宋" w:hAnsi="仿宋" w:cs="Times New Roman"/>
          <w:b/>
          <w:bCs/>
          <w:color w:val="000000" w:themeColor="text1"/>
          <w:sz w:val="32"/>
          <w:szCs w:val="32"/>
          <w14:textFill>
            <w14:solidFill>
              <w14:schemeClr w14:val="tx1"/>
            </w14:solidFill>
          </w14:textFill>
        </w:rPr>
        <w:t>医药健康产业。</w:t>
      </w:r>
      <w:r>
        <w:rPr>
          <w:rFonts w:ascii="仿宋" w:hAnsi="仿宋" w:cs="Times New Roman"/>
          <w:color w:val="000000" w:themeColor="text1"/>
          <w:sz w:val="32"/>
          <w:szCs w:val="32"/>
          <w14:textFill>
            <w14:solidFill>
              <w14:schemeClr w14:val="tx1"/>
            </w14:solidFill>
          </w14:textFill>
        </w:rPr>
        <w:t>继续推进道地中药材全产业链融合发展，开展关键技术研究及种植示范基地建设。支持开展抗肿瘤、降糖、抗病毒、精神类、配方颗粒、经典名方等研究，开发保健食品、化妆品等健康产品。</w:t>
      </w:r>
    </w:p>
    <w:p>
      <w:pPr>
        <w:spacing w:line="578" w:lineRule="exact"/>
        <w:ind w:firstLine="643"/>
        <w:rPr>
          <w:rFonts w:ascii="仿宋" w:hAnsi="仿宋" w:cs="Times New Roman"/>
          <w:b/>
          <w:bCs/>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推动现代服务业创新发展。特色旅游产业。</w:t>
      </w:r>
      <w:r>
        <w:rPr>
          <w:rFonts w:ascii="仿宋" w:hAnsi="仿宋" w:cs="Times New Roman"/>
          <w:color w:val="000000" w:themeColor="text1"/>
          <w:sz w:val="32"/>
          <w:szCs w:val="32"/>
          <w14:textFill>
            <w14:solidFill>
              <w14:schemeClr w14:val="tx1"/>
            </w14:solidFill>
          </w14:textFill>
        </w:rPr>
        <w:t>加快释放特色旅游资源，打好绿色“生态牌”，深度融入吉林西部旅游大环线，积极创建省级全域旅游示范区，着力打造特色旅游产业集群。进一步推进嫩江湾5A级景区创建，打响湿地生态、草原风情、红色文化、历史遗迹特色旅游品牌。继续举办“草原湿地文化体育旅游节”和“冰舞鹤乡”文化体育旅游节双品牌节事系列活动，开展冬季冰雪捕鱼季、渔猎冬捕文化节等冬捕经济发展推广系列活动，全力打造吉林西部“冬捕经济带”。</w:t>
      </w:r>
      <w:r>
        <w:rPr>
          <w:rFonts w:ascii="仿宋" w:hAnsi="仿宋" w:cs="Times New Roman"/>
          <w:b/>
          <w:bCs/>
          <w:color w:val="000000" w:themeColor="text1"/>
          <w:sz w:val="32"/>
          <w:szCs w:val="32"/>
          <w14:textFill>
            <w14:solidFill>
              <w14:schemeClr w14:val="tx1"/>
            </w14:solidFill>
          </w14:textFill>
        </w:rPr>
        <w:t>电子商务产业。</w:t>
      </w:r>
      <w:r>
        <w:rPr>
          <w:rFonts w:ascii="仿宋" w:hAnsi="仿宋" w:cs="Times New Roman"/>
          <w:color w:val="000000" w:themeColor="text1"/>
          <w:sz w:val="32"/>
          <w:szCs w:val="32"/>
          <w14:textFill>
            <w14:solidFill>
              <w14:schemeClr w14:val="tx1"/>
            </w14:solidFill>
          </w14:textFill>
        </w:rPr>
        <w:t>鼓励和支持企业和个人开展电子商务，支持中小微企业应用电子商务、拓展业务领域，推动传统商贸流通企业发展电子商务。推动各类专业市场建设网上市场，通过线上线下融合，加速向网络化市场转型。积极引进知名电商企业与市内示范乡镇、示范企业开展深度合作，鼓励有实力的企业自建电商交易平台。依托电子商务村级服务站、市县服务中心、电商展示馆和物流设施，逐步构建农村电子商务服务产业体系。</w:t>
      </w:r>
      <w:r>
        <w:rPr>
          <w:rFonts w:ascii="仿宋" w:hAnsi="仿宋" w:cs="Times New Roman"/>
          <w:b/>
          <w:bCs/>
          <w:color w:val="000000" w:themeColor="text1"/>
          <w:sz w:val="32"/>
          <w:szCs w:val="32"/>
          <w14:textFill>
            <w14:solidFill>
              <w14:schemeClr w14:val="tx1"/>
            </w14:solidFill>
          </w14:textFill>
        </w:rPr>
        <w:t>现代物流产业。</w:t>
      </w:r>
      <w:r>
        <w:rPr>
          <w:rFonts w:ascii="仿宋" w:hAnsi="仿宋" w:cs="Times New Roman"/>
          <w:color w:val="000000" w:themeColor="text1"/>
          <w:sz w:val="32"/>
          <w:szCs w:val="32"/>
          <w14:textFill>
            <w14:solidFill>
              <w14:schemeClr w14:val="tx1"/>
            </w14:solidFill>
          </w14:textFill>
        </w:rPr>
        <w:t>结合资源、区位、流向等特点，以中心城区、产业园区、专业市场、区域交通枢纽、重要物流节点为重点布局物流产业。着力实施一批重点物流园区、专业市场、物流配套工程，打造第三方物流平台，提升物流业整体服务水平。加快培育和引进一批大型现代物流企业，为工业发展提供重要支撑。大力发展快递物流，合理布局物流仓储设施，支持物流（快递）配送站、智能快件箱等物流设施建设。</w:t>
      </w:r>
    </w:p>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27" w:name="_Toc143176772"/>
      <w:r>
        <w:rPr>
          <w:rFonts w:ascii="楷体" w:hAnsi="楷体" w:eastAsia="楷体" w:cs="Times New Roman"/>
          <w:color w:val="000000" w:themeColor="text1"/>
          <w14:textFill>
            <w14:solidFill>
              <w14:schemeClr w14:val="tx1"/>
            </w14:solidFill>
          </w14:textFill>
        </w:rPr>
        <w:t>（三）着力加强生态建设，推动生态文明迈上新台阶</w:t>
      </w:r>
      <w:bookmarkEnd w:id="27"/>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持续深化污染防治和生态建设。</w:t>
      </w:r>
      <w:r>
        <w:rPr>
          <w:rFonts w:ascii="仿宋" w:hAnsi="仿宋" w:cs="Times New Roman"/>
          <w:color w:val="000000" w:themeColor="text1"/>
          <w:sz w:val="32"/>
          <w:szCs w:val="32"/>
          <w14:textFill>
            <w14:solidFill>
              <w14:schemeClr w14:val="tx1"/>
            </w14:solidFill>
          </w14:textFill>
        </w:rPr>
        <w:t>坚决打好污染防治攻坚战，充分发挥河长制、湖长制作用，深化城乡中小河道治理，全面稳定消除黑臭水体。打造林草长制升级版，协同抓好生态环境治理。打好“五大保卫战”，落实秸秆全域禁烧，深入推进燃煤污染、工业污染源、移动污染和扬尘污染治理。推进五类水体断面整治，全面提升河流生态环境品质。摸清农用地土壤污染的面积及其分布，完善土壤环境监测网络，构建土壤污染监控体系，实现全市土壤质量总体保持稳定。加强畜禽粪污收储运体系建设和资源化利用，争创“农牧循环”示范市（县）。持续加强生态建设，系统抓好林草湿生态连通工程，深入开展“十年绿美白城”行动，努力打造林网成格、草地连片、湿地镶嵌、交错互连的生态格局。</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集约节约利用资源。</w:t>
      </w:r>
      <w:r>
        <w:rPr>
          <w:rFonts w:ascii="仿宋" w:hAnsi="仿宋" w:cs="Times New Roman"/>
          <w:color w:val="000000" w:themeColor="text1"/>
          <w:sz w:val="32"/>
          <w:szCs w:val="32"/>
          <w14:textFill>
            <w14:solidFill>
              <w14:schemeClr w14:val="tx1"/>
            </w14:solidFill>
          </w14:textFill>
        </w:rPr>
        <w:t>推进绿色生产方式，以亩均效益为导向，以项目达产履约为抓手，加快老旧工业区块有机更新，推动传统产业转型升级。推进生产方式的绿色低碳循环化改造，构建绿色技术创新体系。鼓励企业开发绿色低碳产品，建立健全绿色低碳循环发展的生态经济体系。加快无废城市建设，加强源头管控，深化全域生活垃圾分类，推动生活垃圾减量化、资源化和无害化。强化危险废物监管与利用处置，建设信息交流平台，提升固废资源化利用水平。提升资源利用效率，加快优化能源结构，强化能源“双控”和碳排放强度控制，促进“双碳”目标实现。落实最严格水资源管理制度，明确水资源开发利用总量控制和用水效率控制。实行最严格的节约集约用地制度，对用地计划执行差别化、精细化管理，提升用地强度。</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创新自然生态价值转化机制。</w:t>
      </w:r>
      <w:r>
        <w:rPr>
          <w:rFonts w:ascii="仿宋" w:hAnsi="仿宋" w:cs="Times New Roman"/>
          <w:color w:val="000000" w:themeColor="text1"/>
          <w:sz w:val="32"/>
          <w:szCs w:val="32"/>
          <w14:textFill>
            <w14:solidFill>
              <w14:schemeClr w14:val="tx1"/>
            </w14:solidFill>
          </w14:textFill>
        </w:rPr>
        <w:t>深入践行“两山”理念，提升生态产品价值，扩大生态比较优势。探索开展GEP核算，完成所有自然资源资产清查和自然资源资产统一确权登记，形成全市自然资源登记数据库，建立资源价格形成机制。完善绿水青山的产权制度、保护制度、交易制度，探索生态资源资本化改革和交易机制，形成优质生态产品有效供给机制，努力成为优质生态产品供应基地和展示窗口。</w:t>
      </w:r>
    </w:p>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28" w:name="_Toc143176773"/>
      <w:r>
        <w:rPr>
          <w:rFonts w:ascii="楷体" w:hAnsi="楷体" w:eastAsia="楷体" w:cs="Times New Roman"/>
          <w:color w:val="000000" w:themeColor="text1"/>
          <w14:textFill>
            <w14:solidFill>
              <w14:schemeClr w14:val="tx1"/>
            </w14:solidFill>
          </w14:textFill>
        </w:rPr>
        <w:t>（四）着力推进重大项目建设，持续增强发展新支撑</w:t>
      </w:r>
      <w:bookmarkEnd w:id="28"/>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积极谋划项目。</w:t>
      </w:r>
      <w:r>
        <w:rPr>
          <w:rFonts w:ascii="仿宋" w:hAnsi="仿宋" w:cs="Times New Roman"/>
          <w:color w:val="000000" w:themeColor="text1"/>
          <w:sz w:val="32"/>
          <w:szCs w:val="32"/>
          <w14:textFill>
            <w14:solidFill>
              <w14:schemeClr w14:val="tx1"/>
            </w14:solidFill>
          </w14:textFill>
        </w:rPr>
        <w:t>坚持“项目为王”，精心策划一批带动作用强、科技含量高、经济效益好的大项目、好项目，聚焦基础设施、农村农业、生态环保等重点领域，储备一批补短板重点项目。突出“一把手”带头招商，做到亲自谋划、亲自招引、亲自推动落地，持续引进一批加工型、科技型、税源型企业项目，实行清单制、交账制，形成稳当期、利长远的强力支撑。依托重点头部企业扩能，精准招引一批补链、延链、强链项目，进一步培育壮大规模化、专业化、一体化协同推进的产业集群。围绕资源优势，招引头部企业，建链补链延链，着力在清洁能源、装备制造、生态旅游、商贸物流等方面实现突破。</w:t>
      </w:r>
      <w:r>
        <w:rPr>
          <w:rFonts w:ascii="仿宋" w:hAnsi="仿宋" w:cs="Times New Roman"/>
          <w:b/>
          <w:bCs/>
          <w:color w:val="000000" w:themeColor="text1"/>
          <w:sz w:val="32"/>
          <w:szCs w:val="32"/>
          <w14:textFill>
            <w14:solidFill>
              <w14:schemeClr w14:val="tx1"/>
            </w14:solidFill>
          </w14:textFill>
        </w:rPr>
        <w:t>强力推进项目建设。</w:t>
      </w:r>
      <w:r>
        <w:rPr>
          <w:rFonts w:ascii="仿宋" w:hAnsi="仿宋" w:cs="Times New Roman"/>
          <w:color w:val="000000" w:themeColor="text1"/>
          <w:sz w:val="32"/>
          <w:szCs w:val="32"/>
          <w14:textFill>
            <w14:solidFill>
              <w14:schemeClr w14:val="tx1"/>
            </w14:solidFill>
          </w14:textFill>
        </w:rPr>
        <w:t>打好三年项目攻坚收官战，加大项目推进力度。充分发挥各级项目服务中心作用，全力推进项目建设提速、提质、提效，严把项目建设质量关，加快推进“陆上风光三峡”项目建设，启动实施风电光伏项目200万千瓦项目，建成“光热+风电光伏”项目。</w:t>
      </w:r>
      <w:r>
        <w:rPr>
          <w:rFonts w:ascii="仿宋" w:hAnsi="仿宋" w:cs="Times New Roman"/>
          <w:b/>
          <w:bCs/>
          <w:color w:val="000000" w:themeColor="text1"/>
          <w:sz w:val="32"/>
          <w:szCs w:val="32"/>
          <w14:textFill>
            <w14:solidFill>
              <w14:schemeClr w14:val="tx1"/>
            </w14:solidFill>
          </w14:textFill>
        </w:rPr>
        <w:t>高效率服务项目。</w:t>
      </w:r>
      <w:r>
        <w:rPr>
          <w:rFonts w:ascii="仿宋" w:hAnsi="仿宋" w:cs="Times New Roman"/>
          <w:color w:val="000000" w:themeColor="text1"/>
          <w:sz w:val="32"/>
          <w:szCs w:val="32"/>
          <w14:textFill>
            <w14:solidFill>
              <w14:schemeClr w14:val="tx1"/>
            </w14:solidFill>
          </w14:textFill>
        </w:rPr>
        <w:t>进一步整合、简化投资项目报建手续，优化投资项目评估审批流程，推动更多项目尽快开工。坚持一项一策、专班推动，做好服务保障，及时解决项目建设中存在的困难和问题，提高项目建设效率。</w:t>
      </w:r>
    </w:p>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29" w:name="_Toc143176774"/>
      <w:bookmarkStart w:id="30" w:name="_Hlk140670943"/>
      <w:r>
        <w:rPr>
          <w:rFonts w:ascii="楷体" w:hAnsi="楷体" w:eastAsia="楷体" w:cs="Times New Roman"/>
          <w:color w:val="000000" w:themeColor="text1"/>
          <w14:textFill>
            <w14:solidFill>
              <w14:schemeClr w14:val="tx1"/>
            </w14:solidFill>
          </w14:textFill>
        </w:rPr>
        <w:t>（五）着力推动城乡融合发展，高起点推进乡村振兴</w:t>
      </w:r>
      <w:bookmarkEnd w:id="29"/>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提升城市建设品质。</w:t>
      </w:r>
      <w:r>
        <w:rPr>
          <w:rFonts w:ascii="仿宋" w:hAnsi="仿宋" w:cs="Times New Roman"/>
          <w:color w:val="000000" w:themeColor="text1"/>
          <w:sz w:val="32"/>
          <w:szCs w:val="32"/>
          <w14:textFill>
            <w14:solidFill>
              <w14:schemeClr w14:val="tx1"/>
            </w14:solidFill>
          </w14:textFill>
        </w:rPr>
        <w:t>一是以创建全国卫生城市为目标，全面提高城市建管水平。坚持全域规划、多规合一，积极融入海绵城市、生态城市等元素，把城区作为引领全市经济社会发展的战略平台来打造，加快完善基础设施体系，不断完善城市功能。以“扩绿引水”为重点抓好城市更新，开展老旧小区改造，推进小区二次供水泵房改造，完善新老城区道路骨架。实施老城区景观绿化提升工程，抓好重点街路绿化和街角小游园建设。坚持以水兴城，启动引水入城西部工程，</w:t>
      </w:r>
      <w:bookmarkStart w:id="31" w:name="_Hlk142982025"/>
      <w:r>
        <w:rPr>
          <w:rFonts w:ascii="仿宋" w:hAnsi="仿宋" w:cs="Times New Roman"/>
          <w:color w:val="000000" w:themeColor="text1"/>
          <w:sz w:val="32"/>
          <w:szCs w:val="32"/>
          <w14:textFill>
            <w14:solidFill>
              <w14:schemeClr w14:val="tx1"/>
            </w14:solidFill>
          </w14:textFill>
        </w:rPr>
        <w:t>构</w:t>
      </w:r>
      <w:bookmarkEnd w:id="31"/>
      <w:r>
        <w:rPr>
          <w:rFonts w:ascii="仿宋" w:hAnsi="仿宋" w:cs="Times New Roman"/>
          <w:color w:val="000000" w:themeColor="text1"/>
          <w:sz w:val="32"/>
          <w:szCs w:val="32"/>
          <w14:textFill>
            <w14:solidFill>
              <w14:schemeClr w14:val="tx1"/>
            </w14:solidFill>
          </w14:textFill>
        </w:rPr>
        <w:t>建“五湖相拥”的城市水系。二是以“走遍白城”为载体，着力提升城市精细化水平。融入智慧城市元素，实施“互联网+城管”计划，创新城市管理“必查制”，完善街（路、巷）长制，常态化落实“城市体检”。三是加快建设城乡基础设施为抓手，提高城市综合承载力。加快推动污水和垃圾收集处理、冷链物流、农贸市场等城乡公共设施一体化布局、一体化建设、一体化运营，进一步完善电力、燃气、通讯等市政管网。</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全面推进乡村振兴。</w:t>
      </w:r>
      <w:r>
        <w:rPr>
          <w:rFonts w:ascii="仿宋" w:hAnsi="仿宋" w:cs="Times New Roman"/>
          <w:color w:val="000000" w:themeColor="text1"/>
          <w:sz w:val="32"/>
          <w:szCs w:val="32"/>
          <w14:textFill>
            <w14:solidFill>
              <w14:schemeClr w14:val="tx1"/>
            </w14:solidFill>
          </w14:textFill>
        </w:rPr>
        <w:t>一是持续巩固拓展脱贫攻坚成果。健全防止返贫监测帮扶机制，继续对脱贫乡镇、脱贫村、脱贫人口开展监测，持续跟踪收入变化和“两不愁三保障”巩固情况</w:t>
      </w:r>
      <w:r>
        <w:rPr>
          <w:rFonts w:hint="eastAsia" w:ascii="仿宋" w:hAnsi="仿宋" w:cs="Times New Roman"/>
          <w:color w:val="000000" w:themeColor="text1"/>
          <w:sz w:val="32"/>
          <w:szCs w:val="32"/>
          <w14:textFill>
            <w14:solidFill>
              <w14:schemeClr w14:val="tx1"/>
            </w14:solidFill>
          </w14:textFill>
        </w:rPr>
        <w:t>，</w:t>
      </w:r>
      <w:r>
        <w:rPr>
          <w:rFonts w:ascii="仿宋" w:hAnsi="仿宋" w:cs="Times New Roman"/>
          <w:color w:val="000000" w:themeColor="text1"/>
          <w:sz w:val="32"/>
          <w:szCs w:val="32"/>
          <w14:textFill>
            <w14:solidFill>
              <w14:schemeClr w14:val="tx1"/>
            </w14:solidFill>
          </w14:textFill>
        </w:rPr>
        <w:t>推进脱贫巩固与乡村振兴重点任务的有机衔接，形成“扬长”与“补短”相结合的可持续乡村发展模式。丰富“三帮扶一推动”活动内涵，打造乡村振兴版包保帮扶新模式，确保脱贫稳定、有效衔接。二是全面推进乡村产业兴旺。促进乡村产业建设，加快发展庭院经济、农村电商、乡村旅游、肉牛等特色产业，提升龙头企业、合作社带富能力，持续壮大扶贫车间，突出抓好光伏、庭院经济两个重点产业，积极推进新能源乡村振兴工程、大力发展庭院养殖、辣椒种植，支持扶贫产业发展继续成为乡村振兴发展的主要驱动力。三是促进乡村建设，深入实施农村人居环境整治工程，提升农村人居环境“五化”水平，不断改善农村人居环境、村容村貌，健全完善长效管护机制。四是加强乡风文明建设。推广“小积分大德治”做法，开展“文明家庭”“文明村镇”等创建活动，引领形成文明乡风、淳朴民风、良好家风。修订村规民约，抓好“四会”建设，涵养文明乡风。</w:t>
      </w:r>
    </w:p>
    <w:bookmarkEnd w:id="30"/>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32" w:name="_Toc143176775"/>
      <w:r>
        <w:rPr>
          <w:rFonts w:ascii="楷体" w:hAnsi="楷体" w:eastAsia="楷体" w:cs="Times New Roman"/>
          <w:color w:val="000000" w:themeColor="text1"/>
          <w14:textFill>
            <w14:solidFill>
              <w14:schemeClr w14:val="tx1"/>
            </w14:solidFill>
          </w14:textFill>
        </w:rPr>
        <w:t>（六）着力推动改革开放创新，不断创造发展新优势</w:t>
      </w:r>
      <w:bookmarkEnd w:id="32"/>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全面深化重点领域改革。</w:t>
      </w:r>
      <w:r>
        <w:rPr>
          <w:rFonts w:ascii="仿宋" w:hAnsi="仿宋" w:cs="Times New Roman"/>
          <w:color w:val="000000" w:themeColor="text1"/>
          <w:sz w:val="32"/>
          <w:szCs w:val="32"/>
          <w14:textFill>
            <w14:solidFill>
              <w14:schemeClr w14:val="tx1"/>
            </w14:solidFill>
          </w14:textFill>
        </w:rPr>
        <w:t>健全金融市场体系，发展普惠金融和多业态中小微金融组织。创新加强国有和集体资产规范管理，纵深推进农村“三资”清理。聚焦打造绿电产业示范园区，深入推进电力体制改革，加快促进绿电交易，打造成为白城特色化改革重要窗口。推动公共服务均等化标准化改革，重点抓好医疗卫生、公共文化等7个领域重点改革。</w:t>
      </w:r>
    </w:p>
    <w:p>
      <w:pPr>
        <w:spacing w:line="578" w:lineRule="exact"/>
        <w:ind w:firstLine="643"/>
        <w:rPr>
          <w:rFonts w:ascii="仿宋" w:hAnsi="仿宋" w:cs="Times New Roman"/>
          <w:b/>
          <w:bCs/>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持续优化营商环境。</w:t>
      </w:r>
      <w:r>
        <w:rPr>
          <w:rFonts w:ascii="仿宋" w:hAnsi="仿宋" w:cs="Times New Roman"/>
          <w:color w:val="000000" w:themeColor="text1"/>
          <w:sz w:val="32"/>
          <w:szCs w:val="32"/>
          <w14:textFill>
            <w14:solidFill>
              <w14:schemeClr w14:val="tx1"/>
            </w14:solidFill>
          </w14:textFill>
        </w:rPr>
        <w:t>进一步精简市场准入行政审批事项，加强部门协同和信息共享，拓展新技术在政务服务领域应用的广度、深度，扩大“零跑团”服务范围，让企业和群众实实在在享受改革成果。聚焦企业和群众办事创业的痛点难点堵点问题，精准提出改进优化的措施建议，为激发市场活力和社会创造力提供坚强有力的保障。提升营商环境法治化水平，构建亲清政商关系，健全政企沟通机制，持续加强产权保护，维护企业和企业家合法权益。深入开展“三进一服”“万人助万企”等活动，一企一策纾困解难。加快诚信白城建设，建立健全事前、事中、事后全监管环节的新型监管机制，常态开展承诺践诺评诺活动，争创全国信用示范城市。</w:t>
      </w:r>
    </w:p>
    <w:p>
      <w:pPr>
        <w:spacing w:line="578" w:lineRule="exact"/>
        <w:ind w:firstLine="643"/>
        <w:rPr>
          <w:rFonts w:ascii="仿宋" w:hAnsi="仿宋" w:cs="Times New Roman"/>
          <w:color w:val="000000" w:themeColor="text1"/>
          <w:sz w:val="32"/>
          <w:szCs w:val="32"/>
          <w14:textFill>
            <w14:solidFill>
              <w14:schemeClr w14:val="tx1"/>
            </w14:solidFill>
          </w14:textFill>
        </w:rPr>
      </w:pPr>
      <w:bookmarkStart w:id="33" w:name="_Hlk140671362"/>
      <w:r>
        <w:rPr>
          <w:rFonts w:ascii="仿宋" w:hAnsi="仿宋" w:cs="Times New Roman"/>
          <w:b/>
          <w:bCs/>
          <w:color w:val="000000" w:themeColor="text1"/>
          <w:sz w:val="32"/>
          <w:szCs w:val="32"/>
          <w14:textFill>
            <w14:solidFill>
              <w14:schemeClr w14:val="tx1"/>
            </w14:solidFill>
          </w14:textFill>
        </w:rPr>
        <w:t>进一步扩大对外开放。</w:t>
      </w:r>
      <w:r>
        <w:rPr>
          <w:rFonts w:ascii="仿宋" w:hAnsi="仿宋" w:cs="Times New Roman"/>
          <w:color w:val="000000" w:themeColor="text1"/>
          <w:sz w:val="32"/>
          <w:szCs w:val="32"/>
          <w14:textFill>
            <w14:solidFill>
              <w14:schemeClr w14:val="tx1"/>
            </w14:solidFill>
          </w14:textFill>
        </w:rPr>
        <w:t>始终坚持开放共赢的理念，进一步打开大门谋发展，在开放中提高站位拓展空间、抢抓发展机遇。主动对接融入国家和省市开放战略</w:t>
      </w:r>
      <w:r>
        <w:rPr>
          <w:rFonts w:hint="eastAsia" w:ascii="仿宋" w:hAnsi="仿宋" w:cs="Times New Roman"/>
          <w:color w:val="000000" w:themeColor="text1"/>
          <w:sz w:val="32"/>
          <w:szCs w:val="32"/>
          <w14:textFill>
            <w14:solidFill>
              <w14:schemeClr w14:val="tx1"/>
            </w14:solidFill>
          </w14:textFill>
        </w:rPr>
        <w:t>，</w:t>
      </w:r>
      <w:r>
        <w:rPr>
          <w:rFonts w:ascii="仿宋" w:hAnsi="仿宋" w:cs="Times New Roman"/>
          <w:color w:val="000000" w:themeColor="text1"/>
          <w:sz w:val="32"/>
          <w:szCs w:val="32"/>
          <w14:textFill>
            <w14:solidFill>
              <w14:schemeClr w14:val="tx1"/>
            </w14:solidFill>
          </w14:textFill>
        </w:rPr>
        <w:t>融入全省开放发展大格局；深化区域对口协作，进一步密切与嘉兴的合作交流，拓展合作领域，推进在产业项目、平台共建、农村群众增收、农产品互推、教育互通、医疗互助、人力资源合作等方面合作共赢。扎实推进白城—嘉兴产业园区建设，积极承接产业转移项目入园，促进产业合作升级，提升合作层次和水平。继续加强与吉大、东电的技术合作，紧扣清洁能源、盐碱地治理、装备制造等重点领域，建立人才培养、技术磋商机制，全力推动科技成果转化。</w:t>
      </w:r>
    </w:p>
    <w:bookmarkEnd w:id="33"/>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34" w:name="_Toc143176776"/>
      <w:r>
        <w:rPr>
          <w:rFonts w:ascii="楷体" w:hAnsi="楷体" w:eastAsia="楷体" w:cs="Times New Roman"/>
          <w:color w:val="000000" w:themeColor="text1"/>
          <w14:textFill>
            <w14:solidFill>
              <w14:schemeClr w14:val="tx1"/>
            </w14:solidFill>
          </w14:textFill>
        </w:rPr>
        <w:t>（七）着力强化民生服务保障，满足新时代群众需求</w:t>
      </w:r>
      <w:bookmarkEnd w:id="34"/>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坚持教育优先发展。</w:t>
      </w:r>
      <w:r>
        <w:rPr>
          <w:rFonts w:ascii="仿宋" w:hAnsi="仿宋" w:cs="Times New Roman"/>
          <w:color w:val="000000" w:themeColor="text1"/>
          <w:sz w:val="32"/>
          <w:szCs w:val="32"/>
          <w14:textFill>
            <w14:solidFill>
              <w14:schemeClr w14:val="tx1"/>
            </w14:solidFill>
          </w14:textFill>
        </w:rPr>
        <w:t>推进学前教育普及普惠安全优质发展，多渠道持续增加普惠性资源供给，大力发展公办幼儿园，积极扶持普惠性民办幼儿园。推进义务教育优质均衡发展，实施义务教育薄弱环节改善与能力提升项目，统筹推动县域内义务教育城乡一体化优质均衡发展。加强乡村“温馨校园”建设。加强普通高中标准化建设。推进特殊教育普及水平全面提高，建设特殊教育资源中心。提高残疾儿童少年义务教育普及水平，推动特殊教育向两端延伸发展。提高民族教育质量和水平。</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提升就业创业和社会保障水平。</w:t>
      </w:r>
      <w:r>
        <w:rPr>
          <w:rFonts w:ascii="仿宋" w:hAnsi="仿宋" w:cs="Times New Roman"/>
          <w:color w:val="000000" w:themeColor="text1"/>
          <w:sz w:val="32"/>
          <w:szCs w:val="32"/>
          <w14:textFill>
            <w14:solidFill>
              <w14:schemeClr w14:val="tx1"/>
            </w14:solidFill>
          </w14:textFill>
        </w:rPr>
        <w:t>全面推进就业创业工作，完善并落实好岗位补贴、培训补贴、社会保险补贴和技能鉴定补贴等政策，积极开展职业技能培训和创业培训，做好高校毕业生、退役军人、城镇困难人员、农村转移劳动力等重点群体就业工作，大力开展促就业引人才专项行动，着力解决结构性就业矛盾，加大人才引进力度，确保城镇新增就业和农村劳动力转移就业。持续推进社保扩面征缴，尽快实现法定覆盖人群应参尽参、应保尽保。开展社保全民参保计划，加强城乡一体化社会保障制度建设，扩大重点行业从业人员参加工伤保险。稳步提高城乡低保标准，加大城市困难群体帮扶救助力度。深化养老保险制度改革，完善长缴多得、多缴多得激励机制等多元互补的社会保险体系。深化医疗保险制度改革，落实城乡居民大病保险制度，推进基本医保与商业健康保险相互补充和衔接发展。</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提高卫生健康服务能力。</w:t>
      </w:r>
      <w:r>
        <w:rPr>
          <w:rFonts w:ascii="仿宋" w:hAnsi="仿宋" w:cs="Times New Roman"/>
          <w:color w:val="000000" w:themeColor="text1"/>
          <w:sz w:val="32"/>
          <w:szCs w:val="32"/>
          <w14:textFill>
            <w14:solidFill>
              <w14:schemeClr w14:val="tx1"/>
            </w14:solidFill>
          </w14:textFill>
        </w:rPr>
        <w:t>强化疾病预防控制，健全以市、县两级疾病预防控制机构和各级各类专科疾病防治机构为骨干，医疗机构为依托，基层医疗卫生机构为网底，防治结合、全社会协同的疾病预防控制体系。夯实卫生应急保障，建立重大公共卫生事件领导指挥体系，完善防范化解与应对处置机制，加强医疗物资储备与分拨管理。抓好紧密型医联体建设和家庭医生签约服务，落实分级诊疗制度，形成基层首诊、双向转诊、上下联动、急慢分治的合理就医秩序。推进公立医院综合改革，健全现代医院管理制度。</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强化养老服务体系建设。</w:t>
      </w:r>
      <w:r>
        <w:rPr>
          <w:rFonts w:ascii="仿宋" w:hAnsi="仿宋" w:cs="Times New Roman"/>
          <w:color w:val="000000" w:themeColor="text1"/>
          <w:sz w:val="32"/>
          <w:szCs w:val="32"/>
          <w14:textFill>
            <w14:solidFill>
              <w14:schemeClr w14:val="tx1"/>
            </w14:solidFill>
          </w14:textFill>
        </w:rPr>
        <w:t>加快公共养老机构建设，优化白城市、各县（市、区）养老服务中心、乡镇敬老院等公办养老服务设施建设，构建城乡互动、功能互补的养老服务体系，着力提升对“特困供养老人”的托底保障功能。加快发展医养服务，鼓励医院增设护理型养老床位。支持养老机构、日间照料中心、长者照护中心、农村互助幸福院内设卫生室、护理院，开办老年病医院、康复医院等。</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hint="eastAsia" w:ascii="仿宋" w:hAnsi="仿宋" w:cs="Times New Roman"/>
          <w:b/>
          <w:bCs/>
          <w:color w:val="000000" w:themeColor="text1"/>
          <w:sz w:val="32"/>
          <w:szCs w:val="32"/>
          <w14:textFill>
            <w14:solidFill>
              <w14:schemeClr w14:val="tx1"/>
            </w14:solidFill>
          </w14:textFill>
        </w:rPr>
        <w:t>营造妇女儿童发展良好环境。</w:t>
      </w:r>
      <w:r>
        <w:rPr>
          <w:rFonts w:hint="eastAsia" w:ascii="仿宋" w:hAnsi="仿宋" w:cs="Times New Roman"/>
          <w:color w:val="000000" w:themeColor="text1"/>
          <w:sz w:val="32"/>
          <w:szCs w:val="32"/>
          <w14:textFill>
            <w14:solidFill>
              <w14:schemeClr w14:val="tx1"/>
            </w14:solidFill>
          </w14:textFill>
        </w:rPr>
        <w:t>从延长妇女人均预期寿命等方面增强妇女健康意识，加强妇女思想政治教育，提高女性终身教育水平。完善儿童健康服务体系，普及儿童健康生活方式，提升儿童心理健康水平；构建与我市经济社会发展水平相适应的普惠型儿童福利制度体系；传播科学育儿理念，弘扬好家风好家训，构建家庭教育指导服务体系。</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加强文化文明建设。</w:t>
      </w:r>
      <w:r>
        <w:rPr>
          <w:rFonts w:ascii="仿宋" w:hAnsi="仿宋" w:cs="Times New Roman"/>
          <w:color w:val="000000" w:themeColor="text1"/>
          <w:sz w:val="32"/>
          <w:szCs w:val="32"/>
          <w14:textFill>
            <w14:solidFill>
              <w14:schemeClr w14:val="tx1"/>
            </w14:solidFill>
          </w14:textFill>
        </w:rPr>
        <w:t>把培育和弘扬社会主义核心价值观融入到国民教育、经济发展实践和社会治理的全过程，积极引导人们讲道德、尊道德、守道德，追求高尚的道德理想。对标全国文明城市创建标准，扎实推进文明单位、文明村镇、文明家庭、文明校园等创建活动，不断提升市民文明素质和社会文明程度。坚持文化事业和文化产业融合发展，大力开发和引进文创、旅创、农创项目。广泛开展全民健身活动，办好排球、马拉松、速滑等全民健身赛事。</w:t>
      </w:r>
      <w:bookmarkStart w:id="35" w:name="_Toc143176777"/>
      <w:bookmarkStart w:id="36" w:name="_Hlk140494853"/>
    </w:p>
    <w:p>
      <w:pPr>
        <w:spacing w:line="578" w:lineRule="exact"/>
        <w:ind w:firstLine="643"/>
        <w:rPr>
          <w:rFonts w:ascii="楷体" w:hAnsi="楷体" w:eastAsia="楷体" w:cs="Times New Roman"/>
          <w:b/>
          <w:bCs/>
          <w:color w:val="000000" w:themeColor="text1"/>
          <w:sz w:val="32"/>
          <w:szCs w:val="32"/>
          <w14:textFill>
            <w14:solidFill>
              <w14:schemeClr w14:val="tx1"/>
            </w14:solidFill>
          </w14:textFill>
        </w:rPr>
      </w:pPr>
      <w:r>
        <w:rPr>
          <w:rFonts w:ascii="楷体" w:hAnsi="楷体" w:eastAsia="楷体" w:cs="Times New Roman"/>
          <w:b/>
          <w:bCs/>
          <w:color w:val="000000" w:themeColor="text1"/>
          <w:sz w:val="32"/>
          <w:szCs w:val="32"/>
          <w14:textFill>
            <w14:solidFill>
              <w14:schemeClr w14:val="tx1"/>
            </w14:solidFill>
          </w14:textFill>
        </w:rPr>
        <w:t>（八）着力构筑治理体系，提升社会治理现代化水平</w:t>
      </w:r>
      <w:bookmarkEnd w:id="35"/>
    </w:p>
    <w:bookmarkEnd w:id="36"/>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加强社会治理创新。</w:t>
      </w:r>
      <w:r>
        <w:rPr>
          <w:rFonts w:ascii="仿宋" w:hAnsi="仿宋" w:cs="Times New Roman"/>
          <w:color w:val="000000" w:themeColor="text1"/>
          <w:sz w:val="32"/>
          <w:szCs w:val="32"/>
          <w14:textFill>
            <w14:solidFill>
              <w14:schemeClr w14:val="tx1"/>
            </w14:solidFill>
          </w14:textFill>
        </w:rPr>
        <w:t>进一步完善政府权力清单和责任清单，深化综合行政执法体制改革，完善执法联动机制。深入推进“八五”普法，深化法治宣传教育，营造法治文化氛围，弘扬法治精神，增强全民法治观念，构建社会“大普法”格局。持续深化基层治理，创新基层治理模式，完善群众参与基层社会治理的制度化渠道，推动社会治理和服务重心向基层下移，把更多资源下沉到基层，更好提供精准化、精细化服务，实现政府治理和社会调节、居民自治良性互动。</w:t>
      </w:r>
    </w:p>
    <w:p>
      <w:pPr>
        <w:spacing w:line="578" w:lineRule="exact"/>
        <w:ind w:firstLine="643"/>
        <w:rPr>
          <w:rFonts w:ascii="仿宋" w:hAnsi="仿宋" w:cs="Times New Roman"/>
          <w:color w:val="000000" w:themeColor="text1"/>
          <w:sz w:val="32"/>
          <w:szCs w:val="32"/>
          <w14:textFill>
            <w14:solidFill>
              <w14:schemeClr w14:val="tx1"/>
            </w14:solidFill>
          </w14:textFill>
        </w:rPr>
      </w:pPr>
      <w:r>
        <w:rPr>
          <w:rFonts w:ascii="仿宋" w:hAnsi="仿宋" w:cs="Times New Roman"/>
          <w:b/>
          <w:bCs/>
          <w:color w:val="000000" w:themeColor="text1"/>
          <w:sz w:val="32"/>
          <w:szCs w:val="32"/>
          <w14:textFill>
            <w14:solidFill>
              <w14:schemeClr w14:val="tx1"/>
            </w14:solidFill>
          </w14:textFill>
        </w:rPr>
        <w:t>加快建设平安白城。</w:t>
      </w:r>
      <w:r>
        <w:rPr>
          <w:rFonts w:ascii="仿宋" w:hAnsi="仿宋" w:cs="Times New Roman"/>
          <w:color w:val="000000" w:themeColor="text1"/>
          <w:sz w:val="32"/>
          <w:szCs w:val="32"/>
          <w14:textFill>
            <w14:solidFill>
              <w14:schemeClr w14:val="tx1"/>
            </w14:solidFill>
          </w14:textFill>
        </w:rPr>
        <w:t>坚守安全生产底线，严格落实安全生产责任制。扎实开展安全生产专项整治行动，确保安全生产形势稳定，坚决防范和遏制重特大安全事故发生。深化社会治安防控体系建设，不断健全预防和化解社会矛盾机制。坚持和发展新时代“枫桥经验”，打造“鹤乡枫桥”品牌。强化重点自然灾害和生产安全事故风险隐患的实时综合监测，全面提升应对风险水平。</w:t>
      </w:r>
    </w:p>
    <w:p>
      <w:pPr>
        <w:pStyle w:val="4"/>
        <w:spacing w:beforeLines="0" w:afterLines="0" w:line="578" w:lineRule="exact"/>
        <w:ind w:firstLine="643"/>
        <w:rPr>
          <w:rFonts w:ascii="楷体" w:hAnsi="楷体" w:eastAsia="楷体" w:cs="Times New Roman"/>
          <w:color w:val="000000" w:themeColor="text1"/>
          <w14:textFill>
            <w14:solidFill>
              <w14:schemeClr w14:val="tx1"/>
            </w14:solidFill>
          </w14:textFill>
        </w:rPr>
      </w:pPr>
      <w:bookmarkStart w:id="37" w:name="_Toc143176778"/>
      <w:r>
        <w:rPr>
          <w:rFonts w:ascii="楷体" w:hAnsi="楷体" w:eastAsia="楷体" w:cs="Times New Roman"/>
          <w:color w:val="000000" w:themeColor="text1"/>
          <w14:textFill>
            <w14:solidFill>
              <w14:schemeClr w14:val="tx1"/>
            </w14:solidFill>
          </w14:textFill>
        </w:rPr>
        <w:t>（九）着力落实党的二十大精神，奋力实现规划目标</w:t>
      </w:r>
      <w:bookmarkEnd w:id="37"/>
    </w:p>
    <w:p>
      <w:pPr>
        <w:spacing w:line="578" w:lineRule="exact"/>
        <w:ind w:firstLine="640"/>
        <w:rPr>
          <w:rFonts w:ascii="仿宋" w:hAnsi="仿宋" w:cs="Times New Roman"/>
          <w:color w:val="000000" w:themeColor="text1"/>
          <w:sz w:val="32"/>
          <w:szCs w:val="32"/>
          <w14:textFill>
            <w14:solidFill>
              <w14:schemeClr w14:val="tx1"/>
            </w14:solidFill>
          </w14:textFill>
        </w:rPr>
      </w:pPr>
      <w:r>
        <w:rPr>
          <w:rFonts w:ascii="仿宋" w:hAnsi="仿宋" w:cs="Times New Roman"/>
          <w:color w:val="000000" w:themeColor="text1"/>
          <w:sz w:val="32"/>
          <w:szCs w:val="32"/>
          <w14:textFill>
            <w14:solidFill>
              <w14:schemeClr w14:val="tx1"/>
            </w14:solidFill>
          </w14:textFill>
        </w:rPr>
        <w:t>坚持把贯彻落实二十大精神作为实施《纲要》的核心引领，高举中国特色社会主义伟大旗帜，全面贯彻习近平新时代中国特色社会主义思想，增强“四个意识”、坚定“四个自信”，坚决拥护“两个确立”、坚决做到“两个维护”，不断提高政治判断力、政治领悟力、政治执行力。运用好党史学习教育成果，牢记“国之大者”，不折不扣贯彻党中央国务院、省委省政府和市委的决策部署，为全面建设社会主义现代化国家、全面推进中华民族伟大复兴而团结奋斗。要把</w:t>
      </w:r>
      <w:r>
        <w:rPr>
          <w:rFonts w:hint="eastAsia" w:ascii="仿宋" w:hAnsi="仿宋" w:cs="Times New Roman"/>
          <w:color w:val="000000" w:themeColor="text1"/>
          <w:sz w:val="32"/>
          <w:szCs w:val="32"/>
          <w14:textFill>
            <w14:solidFill>
              <w14:schemeClr w14:val="tx1"/>
            </w14:solidFill>
          </w14:textFill>
        </w:rPr>
        <w:t>二十大</w:t>
      </w:r>
      <w:r>
        <w:rPr>
          <w:rFonts w:ascii="仿宋" w:hAnsi="仿宋" w:cs="Times New Roman"/>
          <w:color w:val="000000" w:themeColor="text1"/>
          <w:sz w:val="32"/>
          <w:szCs w:val="32"/>
          <w14:textFill>
            <w14:solidFill>
              <w14:schemeClr w14:val="tx1"/>
            </w14:solidFill>
          </w14:textFill>
        </w:rPr>
        <w:t>精神落实到全市经济社会发展和实施《纲要》的各方面、全过程，提高全市上下实施“一三三四”高质量发展战略政治自觉、思想自觉和行动自觉，以“等不起”的紧迫感、“慢不得”的危机感、“坐不住”的责任感，激励全市广大干部群众解放思想、提振精神，克服困难、落实责任，以目标为引领，推动高质量发展，深化改革开放，增进民生福祉，加快补齐短板，全面完成《纲要》确立的目标任务，推动白城市经济全面发展、社会全面进步。</w:t>
      </w: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r>
      <w:fldChar w:fldCharType="begin"/>
    </w:r>
    <w:r>
      <w:instrText xml:space="preserve">PAGE   \* MERGEFORMAT</w:instrText>
    </w:r>
    <w:r>
      <w:fldChar w:fldCharType="separate"/>
    </w:r>
    <w:r>
      <w:rPr>
        <w:lang w:val="zh-CN"/>
      </w:rPr>
      <w:t>52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mYjVjNzAyY2IxMGJhODc0MmYxOTQxOWMyMDRmYWMifQ=="/>
  </w:docVars>
  <w:rsids>
    <w:rsidRoot w:val="006F7C8C"/>
    <w:rsid w:val="00001ECB"/>
    <w:rsid w:val="00006F29"/>
    <w:rsid w:val="00007EFA"/>
    <w:rsid w:val="00010C14"/>
    <w:rsid w:val="000142B0"/>
    <w:rsid w:val="00014567"/>
    <w:rsid w:val="000148CA"/>
    <w:rsid w:val="00014A85"/>
    <w:rsid w:val="00020E54"/>
    <w:rsid w:val="000236F9"/>
    <w:rsid w:val="0002504F"/>
    <w:rsid w:val="00026994"/>
    <w:rsid w:val="0002741F"/>
    <w:rsid w:val="00036293"/>
    <w:rsid w:val="000373E1"/>
    <w:rsid w:val="00037703"/>
    <w:rsid w:val="0003783E"/>
    <w:rsid w:val="00040421"/>
    <w:rsid w:val="00040AF2"/>
    <w:rsid w:val="0004374E"/>
    <w:rsid w:val="00044B53"/>
    <w:rsid w:val="00050F48"/>
    <w:rsid w:val="000555C2"/>
    <w:rsid w:val="000605CE"/>
    <w:rsid w:val="00061E3C"/>
    <w:rsid w:val="00062BE5"/>
    <w:rsid w:val="00067A27"/>
    <w:rsid w:val="00070115"/>
    <w:rsid w:val="000704A7"/>
    <w:rsid w:val="00081002"/>
    <w:rsid w:val="00081681"/>
    <w:rsid w:val="00083AF6"/>
    <w:rsid w:val="00090B4B"/>
    <w:rsid w:val="00090F7D"/>
    <w:rsid w:val="00091190"/>
    <w:rsid w:val="0009470E"/>
    <w:rsid w:val="00096532"/>
    <w:rsid w:val="000A0CC9"/>
    <w:rsid w:val="000A310F"/>
    <w:rsid w:val="000A453A"/>
    <w:rsid w:val="000A570B"/>
    <w:rsid w:val="000A6B20"/>
    <w:rsid w:val="000B04D4"/>
    <w:rsid w:val="000B0CA1"/>
    <w:rsid w:val="000B48F6"/>
    <w:rsid w:val="000B6F65"/>
    <w:rsid w:val="000B705A"/>
    <w:rsid w:val="000B74A3"/>
    <w:rsid w:val="000C22DC"/>
    <w:rsid w:val="000C5623"/>
    <w:rsid w:val="000C5B84"/>
    <w:rsid w:val="000C71EC"/>
    <w:rsid w:val="000D3A98"/>
    <w:rsid w:val="000D3B3B"/>
    <w:rsid w:val="000D3E2E"/>
    <w:rsid w:val="000D47F5"/>
    <w:rsid w:val="000D4AAC"/>
    <w:rsid w:val="000D4D1D"/>
    <w:rsid w:val="000D5114"/>
    <w:rsid w:val="000D7D27"/>
    <w:rsid w:val="000E0293"/>
    <w:rsid w:val="000E33E9"/>
    <w:rsid w:val="000E55D8"/>
    <w:rsid w:val="000E713A"/>
    <w:rsid w:val="000E73D2"/>
    <w:rsid w:val="000F1E03"/>
    <w:rsid w:val="000F20B5"/>
    <w:rsid w:val="000F2EC5"/>
    <w:rsid w:val="000F5855"/>
    <w:rsid w:val="000F59FB"/>
    <w:rsid w:val="000F6674"/>
    <w:rsid w:val="00101BEC"/>
    <w:rsid w:val="001042DD"/>
    <w:rsid w:val="00106B57"/>
    <w:rsid w:val="00110B12"/>
    <w:rsid w:val="00111DE8"/>
    <w:rsid w:val="00115258"/>
    <w:rsid w:val="001158BC"/>
    <w:rsid w:val="001226CF"/>
    <w:rsid w:val="00125054"/>
    <w:rsid w:val="0012723A"/>
    <w:rsid w:val="001301E1"/>
    <w:rsid w:val="00134013"/>
    <w:rsid w:val="00135064"/>
    <w:rsid w:val="001416F1"/>
    <w:rsid w:val="00141E7A"/>
    <w:rsid w:val="00144206"/>
    <w:rsid w:val="001532EC"/>
    <w:rsid w:val="00161DF7"/>
    <w:rsid w:val="001647AD"/>
    <w:rsid w:val="00165BBF"/>
    <w:rsid w:val="001660EF"/>
    <w:rsid w:val="00171978"/>
    <w:rsid w:val="00171A65"/>
    <w:rsid w:val="0017453F"/>
    <w:rsid w:val="001762EF"/>
    <w:rsid w:val="001804A7"/>
    <w:rsid w:val="00181B5B"/>
    <w:rsid w:val="00183B0E"/>
    <w:rsid w:val="00184B4C"/>
    <w:rsid w:val="00186400"/>
    <w:rsid w:val="00187CB1"/>
    <w:rsid w:val="001A0AC2"/>
    <w:rsid w:val="001A3A54"/>
    <w:rsid w:val="001A55A3"/>
    <w:rsid w:val="001A5F0B"/>
    <w:rsid w:val="001B0379"/>
    <w:rsid w:val="001B0AA9"/>
    <w:rsid w:val="001B2AF0"/>
    <w:rsid w:val="001B69A7"/>
    <w:rsid w:val="001C25C2"/>
    <w:rsid w:val="001D21BE"/>
    <w:rsid w:val="001D35CC"/>
    <w:rsid w:val="001D5374"/>
    <w:rsid w:val="001D66E6"/>
    <w:rsid w:val="001D67C5"/>
    <w:rsid w:val="001E4680"/>
    <w:rsid w:val="001E65B5"/>
    <w:rsid w:val="001F0568"/>
    <w:rsid w:val="001F1192"/>
    <w:rsid w:val="001F3A00"/>
    <w:rsid w:val="001F4A8D"/>
    <w:rsid w:val="001F5CCC"/>
    <w:rsid w:val="001F6E49"/>
    <w:rsid w:val="00202525"/>
    <w:rsid w:val="0020304D"/>
    <w:rsid w:val="0020351B"/>
    <w:rsid w:val="00205A50"/>
    <w:rsid w:val="00210B71"/>
    <w:rsid w:val="002113FE"/>
    <w:rsid w:val="00212711"/>
    <w:rsid w:val="002138C0"/>
    <w:rsid w:val="00214017"/>
    <w:rsid w:val="00214D4F"/>
    <w:rsid w:val="00215B93"/>
    <w:rsid w:val="00216074"/>
    <w:rsid w:val="00220DC1"/>
    <w:rsid w:val="00221BA8"/>
    <w:rsid w:val="002263C3"/>
    <w:rsid w:val="00231221"/>
    <w:rsid w:val="0023378E"/>
    <w:rsid w:val="0023511E"/>
    <w:rsid w:val="002408C7"/>
    <w:rsid w:val="00241AA3"/>
    <w:rsid w:val="0024222A"/>
    <w:rsid w:val="00242409"/>
    <w:rsid w:val="00244B04"/>
    <w:rsid w:val="002471FB"/>
    <w:rsid w:val="002525D1"/>
    <w:rsid w:val="00253F30"/>
    <w:rsid w:val="00254661"/>
    <w:rsid w:val="002556A0"/>
    <w:rsid w:val="00256727"/>
    <w:rsid w:val="002567CC"/>
    <w:rsid w:val="00256A16"/>
    <w:rsid w:val="002617A3"/>
    <w:rsid w:val="00264FE3"/>
    <w:rsid w:val="00265E87"/>
    <w:rsid w:val="00270A7D"/>
    <w:rsid w:val="00270E1A"/>
    <w:rsid w:val="002739B2"/>
    <w:rsid w:val="002741B8"/>
    <w:rsid w:val="0027457C"/>
    <w:rsid w:val="00275E86"/>
    <w:rsid w:val="00276886"/>
    <w:rsid w:val="00280623"/>
    <w:rsid w:val="00282B55"/>
    <w:rsid w:val="00282CED"/>
    <w:rsid w:val="00291EAB"/>
    <w:rsid w:val="0029533C"/>
    <w:rsid w:val="002957F9"/>
    <w:rsid w:val="002A1406"/>
    <w:rsid w:val="002A305C"/>
    <w:rsid w:val="002A3DC4"/>
    <w:rsid w:val="002A4765"/>
    <w:rsid w:val="002A49C8"/>
    <w:rsid w:val="002A4B1D"/>
    <w:rsid w:val="002A521C"/>
    <w:rsid w:val="002A66B8"/>
    <w:rsid w:val="002A6DFF"/>
    <w:rsid w:val="002B560A"/>
    <w:rsid w:val="002C05D4"/>
    <w:rsid w:val="002C1775"/>
    <w:rsid w:val="002C24CF"/>
    <w:rsid w:val="002C262B"/>
    <w:rsid w:val="002C5BD0"/>
    <w:rsid w:val="002C6B07"/>
    <w:rsid w:val="002D0990"/>
    <w:rsid w:val="002D42D8"/>
    <w:rsid w:val="002D55F1"/>
    <w:rsid w:val="002E2AE1"/>
    <w:rsid w:val="002E5CD1"/>
    <w:rsid w:val="002F4171"/>
    <w:rsid w:val="002F4845"/>
    <w:rsid w:val="002F5203"/>
    <w:rsid w:val="002F5782"/>
    <w:rsid w:val="002F7AA0"/>
    <w:rsid w:val="0030021F"/>
    <w:rsid w:val="00302EC5"/>
    <w:rsid w:val="0030484D"/>
    <w:rsid w:val="00304C07"/>
    <w:rsid w:val="003066E9"/>
    <w:rsid w:val="003115B0"/>
    <w:rsid w:val="003130EC"/>
    <w:rsid w:val="00320702"/>
    <w:rsid w:val="00321304"/>
    <w:rsid w:val="00321428"/>
    <w:rsid w:val="00321983"/>
    <w:rsid w:val="00322B64"/>
    <w:rsid w:val="0032618B"/>
    <w:rsid w:val="00331AF7"/>
    <w:rsid w:val="00332282"/>
    <w:rsid w:val="00332991"/>
    <w:rsid w:val="00334425"/>
    <w:rsid w:val="003351DE"/>
    <w:rsid w:val="0033583A"/>
    <w:rsid w:val="00335B37"/>
    <w:rsid w:val="00336626"/>
    <w:rsid w:val="003366A3"/>
    <w:rsid w:val="00352382"/>
    <w:rsid w:val="00353BB3"/>
    <w:rsid w:val="003567FA"/>
    <w:rsid w:val="00356E81"/>
    <w:rsid w:val="00362BB8"/>
    <w:rsid w:val="0037589B"/>
    <w:rsid w:val="003770D6"/>
    <w:rsid w:val="0038234F"/>
    <w:rsid w:val="00382674"/>
    <w:rsid w:val="00383560"/>
    <w:rsid w:val="00383914"/>
    <w:rsid w:val="00393657"/>
    <w:rsid w:val="00394F40"/>
    <w:rsid w:val="003A45E9"/>
    <w:rsid w:val="003A51F4"/>
    <w:rsid w:val="003A6DA1"/>
    <w:rsid w:val="003B77A4"/>
    <w:rsid w:val="003C1C00"/>
    <w:rsid w:val="003C2B99"/>
    <w:rsid w:val="003C725F"/>
    <w:rsid w:val="003C760D"/>
    <w:rsid w:val="003D0610"/>
    <w:rsid w:val="003D42BD"/>
    <w:rsid w:val="003D452F"/>
    <w:rsid w:val="003D7E5F"/>
    <w:rsid w:val="003E4013"/>
    <w:rsid w:val="003F0680"/>
    <w:rsid w:val="003F310C"/>
    <w:rsid w:val="003F6A1A"/>
    <w:rsid w:val="004025B2"/>
    <w:rsid w:val="00405ECB"/>
    <w:rsid w:val="00406317"/>
    <w:rsid w:val="00407958"/>
    <w:rsid w:val="00415039"/>
    <w:rsid w:val="004217D2"/>
    <w:rsid w:val="00422277"/>
    <w:rsid w:val="00423CE5"/>
    <w:rsid w:val="004253C9"/>
    <w:rsid w:val="00434CB2"/>
    <w:rsid w:val="00434CCF"/>
    <w:rsid w:val="00435682"/>
    <w:rsid w:val="00435C1A"/>
    <w:rsid w:val="00436392"/>
    <w:rsid w:val="00441AC9"/>
    <w:rsid w:val="0045037E"/>
    <w:rsid w:val="0045195F"/>
    <w:rsid w:val="004525B7"/>
    <w:rsid w:val="00452DBF"/>
    <w:rsid w:val="0045613D"/>
    <w:rsid w:val="00465B28"/>
    <w:rsid w:val="00466AE1"/>
    <w:rsid w:val="00470C13"/>
    <w:rsid w:val="00480405"/>
    <w:rsid w:val="004809A2"/>
    <w:rsid w:val="00480FB0"/>
    <w:rsid w:val="00481403"/>
    <w:rsid w:val="004817E8"/>
    <w:rsid w:val="00482EA9"/>
    <w:rsid w:val="004836F2"/>
    <w:rsid w:val="004919A6"/>
    <w:rsid w:val="0049462E"/>
    <w:rsid w:val="00495135"/>
    <w:rsid w:val="00497409"/>
    <w:rsid w:val="004978B1"/>
    <w:rsid w:val="004A06E9"/>
    <w:rsid w:val="004A6204"/>
    <w:rsid w:val="004A72A0"/>
    <w:rsid w:val="004A7C88"/>
    <w:rsid w:val="004B0F43"/>
    <w:rsid w:val="004B1681"/>
    <w:rsid w:val="004B1DD4"/>
    <w:rsid w:val="004B2407"/>
    <w:rsid w:val="004B5409"/>
    <w:rsid w:val="004B6801"/>
    <w:rsid w:val="004B7BC7"/>
    <w:rsid w:val="004C0655"/>
    <w:rsid w:val="004C0817"/>
    <w:rsid w:val="004C5201"/>
    <w:rsid w:val="004C6F3A"/>
    <w:rsid w:val="004D2EA0"/>
    <w:rsid w:val="004D581A"/>
    <w:rsid w:val="004D5D78"/>
    <w:rsid w:val="004E08F6"/>
    <w:rsid w:val="004E3FB3"/>
    <w:rsid w:val="004E5FA1"/>
    <w:rsid w:val="004E6159"/>
    <w:rsid w:val="004E6C08"/>
    <w:rsid w:val="004F14F1"/>
    <w:rsid w:val="004F1F7F"/>
    <w:rsid w:val="004F4848"/>
    <w:rsid w:val="004F672A"/>
    <w:rsid w:val="004F6AA1"/>
    <w:rsid w:val="0050331A"/>
    <w:rsid w:val="00506314"/>
    <w:rsid w:val="0050638A"/>
    <w:rsid w:val="00507AE4"/>
    <w:rsid w:val="00511110"/>
    <w:rsid w:val="005119DF"/>
    <w:rsid w:val="005122A0"/>
    <w:rsid w:val="00514AFB"/>
    <w:rsid w:val="005173D3"/>
    <w:rsid w:val="005247E9"/>
    <w:rsid w:val="005259FC"/>
    <w:rsid w:val="00525B4E"/>
    <w:rsid w:val="00526631"/>
    <w:rsid w:val="00531476"/>
    <w:rsid w:val="00531847"/>
    <w:rsid w:val="005348F8"/>
    <w:rsid w:val="005449CB"/>
    <w:rsid w:val="0055059E"/>
    <w:rsid w:val="00553683"/>
    <w:rsid w:val="00554843"/>
    <w:rsid w:val="00554910"/>
    <w:rsid w:val="00554BB7"/>
    <w:rsid w:val="0055588C"/>
    <w:rsid w:val="00557254"/>
    <w:rsid w:val="005577D9"/>
    <w:rsid w:val="00560CC6"/>
    <w:rsid w:val="005667A5"/>
    <w:rsid w:val="00567097"/>
    <w:rsid w:val="00567EF4"/>
    <w:rsid w:val="0057113A"/>
    <w:rsid w:val="005755F4"/>
    <w:rsid w:val="00581574"/>
    <w:rsid w:val="00584F61"/>
    <w:rsid w:val="0058659B"/>
    <w:rsid w:val="00590CE8"/>
    <w:rsid w:val="00593830"/>
    <w:rsid w:val="00595739"/>
    <w:rsid w:val="0059611C"/>
    <w:rsid w:val="005A13AF"/>
    <w:rsid w:val="005A1AAB"/>
    <w:rsid w:val="005A57C5"/>
    <w:rsid w:val="005B0F8B"/>
    <w:rsid w:val="005B1BB7"/>
    <w:rsid w:val="005B490F"/>
    <w:rsid w:val="005B5372"/>
    <w:rsid w:val="005B6F2F"/>
    <w:rsid w:val="005B7CE7"/>
    <w:rsid w:val="005C0C86"/>
    <w:rsid w:val="005C4BDE"/>
    <w:rsid w:val="005C548D"/>
    <w:rsid w:val="005C5D23"/>
    <w:rsid w:val="005D1AF2"/>
    <w:rsid w:val="005D302E"/>
    <w:rsid w:val="005D77B4"/>
    <w:rsid w:val="005D7D14"/>
    <w:rsid w:val="005E1BAD"/>
    <w:rsid w:val="005E567C"/>
    <w:rsid w:val="005F05C5"/>
    <w:rsid w:val="005F21FE"/>
    <w:rsid w:val="005F263D"/>
    <w:rsid w:val="005F2DA4"/>
    <w:rsid w:val="005F308B"/>
    <w:rsid w:val="00600488"/>
    <w:rsid w:val="00601C3B"/>
    <w:rsid w:val="006029FD"/>
    <w:rsid w:val="00603409"/>
    <w:rsid w:val="0061051E"/>
    <w:rsid w:val="00610779"/>
    <w:rsid w:val="006120FE"/>
    <w:rsid w:val="0061506E"/>
    <w:rsid w:val="00615DAD"/>
    <w:rsid w:val="00623FE8"/>
    <w:rsid w:val="00625BED"/>
    <w:rsid w:val="0062669C"/>
    <w:rsid w:val="00631565"/>
    <w:rsid w:val="0063165F"/>
    <w:rsid w:val="00631CA5"/>
    <w:rsid w:val="00635C45"/>
    <w:rsid w:val="0064380D"/>
    <w:rsid w:val="00650751"/>
    <w:rsid w:val="00655E22"/>
    <w:rsid w:val="00656F4E"/>
    <w:rsid w:val="0065734E"/>
    <w:rsid w:val="006628FC"/>
    <w:rsid w:val="0066740B"/>
    <w:rsid w:val="006736E6"/>
    <w:rsid w:val="00674E70"/>
    <w:rsid w:val="00682064"/>
    <w:rsid w:val="00684D5F"/>
    <w:rsid w:val="00684F4D"/>
    <w:rsid w:val="006902E0"/>
    <w:rsid w:val="0069053F"/>
    <w:rsid w:val="0069496C"/>
    <w:rsid w:val="006958A7"/>
    <w:rsid w:val="006968C6"/>
    <w:rsid w:val="006969ED"/>
    <w:rsid w:val="006A230D"/>
    <w:rsid w:val="006A3271"/>
    <w:rsid w:val="006B0A41"/>
    <w:rsid w:val="006B1743"/>
    <w:rsid w:val="006B2268"/>
    <w:rsid w:val="006B2AE0"/>
    <w:rsid w:val="006B4672"/>
    <w:rsid w:val="006B75F2"/>
    <w:rsid w:val="006C216E"/>
    <w:rsid w:val="006C3D40"/>
    <w:rsid w:val="006C5AEF"/>
    <w:rsid w:val="006D7177"/>
    <w:rsid w:val="006E517F"/>
    <w:rsid w:val="006E7E5B"/>
    <w:rsid w:val="006F0BDF"/>
    <w:rsid w:val="006F1653"/>
    <w:rsid w:val="006F274E"/>
    <w:rsid w:val="006F30C0"/>
    <w:rsid w:val="006F3E16"/>
    <w:rsid w:val="006F5E6B"/>
    <w:rsid w:val="006F73EC"/>
    <w:rsid w:val="006F7550"/>
    <w:rsid w:val="006F7C8C"/>
    <w:rsid w:val="0070437B"/>
    <w:rsid w:val="00704833"/>
    <w:rsid w:val="00704CAD"/>
    <w:rsid w:val="007054A4"/>
    <w:rsid w:val="0070705B"/>
    <w:rsid w:val="0071032D"/>
    <w:rsid w:val="0071196D"/>
    <w:rsid w:val="00712C75"/>
    <w:rsid w:val="00714184"/>
    <w:rsid w:val="00716AE8"/>
    <w:rsid w:val="0071784E"/>
    <w:rsid w:val="00720201"/>
    <w:rsid w:val="00721A0B"/>
    <w:rsid w:val="007232A8"/>
    <w:rsid w:val="00727CBC"/>
    <w:rsid w:val="00730A0E"/>
    <w:rsid w:val="00733586"/>
    <w:rsid w:val="00734337"/>
    <w:rsid w:val="00735199"/>
    <w:rsid w:val="00735B05"/>
    <w:rsid w:val="00736752"/>
    <w:rsid w:val="00743464"/>
    <w:rsid w:val="007458EC"/>
    <w:rsid w:val="00745D29"/>
    <w:rsid w:val="0074701D"/>
    <w:rsid w:val="007543B0"/>
    <w:rsid w:val="007624DF"/>
    <w:rsid w:val="00763076"/>
    <w:rsid w:val="00763F6C"/>
    <w:rsid w:val="00765A5A"/>
    <w:rsid w:val="0077062B"/>
    <w:rsid w:val="00770880"/>
    <w:rsid w:val="00771BBF"/>
    <w:rsid w:val="00772B3A"/>
    <w:rsid w:val="0077528D"/>
    <w:rsid w:val="007760D8"/>
    <w:rsid w:val="007774EA"/>
    <w:rsid w:val="007808E1"/>
    <w:rsid w:val="00784F3C"/>
    <w:rsid w:val="007876BB"/>
    <w:rsid w:val="00787D0A"/>
    <w:rsid w:val="00790EA0"/>
    <w:rsid w:val="007920F8"/>
    <w:rsid w:val="007949EA"/>
    <w:rsid w:val="007A1916"/>
    <w:rsid w:val="007A1B13"/>
    <w:rsid w:val="007A2246"/>
    <w:rsid w:val="007A568A"/>
    <w:rsid w:val="007A6076"/>
    <w:rsid w:val="007A65D2"/>
    <w:rsid w:val="007A6729"/>
    <w:rsid w:val="007A71CE"/>
    <w:rsid w:val="007B6A21"/>
    <w:rsid w:val="007C0331"/>
    <w:rsid w:val="007C2AA1"/>
    <w:rsid w:val="007D020E"/>
    <w:rsid w:val="007D29BD"/>
    <w:rsid w:val="007D4BC8"/>
    <w:rsid w:val="007D5831"/>
    <w:rsid w:val="007D62BF"/>
    <w:rsid w:val="007E11B6"/>
    <w:rsid w:val="007E2831"/>
    <w:rsid w:val="007E3D16"/>
    <w:rsid w:val="007E46C1"/>
    <w:rsid w:val="007E4965"/>
    <w:rsid w:val="007E51D3"/>
    <w:rsid w:val="007E7789"/>
    <w:rsid w:val="007F1738"/>
    <w:rsid w:val="007F2583"/>
    <w:rsid w:val="007F4335"/>
    <w:rsid w:val="007F691F"/>
    <w:rsid w:val="007F697A"/>
    <w:rsid w:val="008000D5"/>
    <w:rsid w:val="00802C04"/>
    <w:rsid w:val="00804F11"/>
    <w:rsid w:val="008102BC"/>
    <w:rsid w:val="008109B0"/>
    <w:rsid w:val="00810F36"/>
    <w:rsid w:val="00812371"/>
    <w:rsid w:val="0081349B"/>
    <w:rsid w:val="008137B1"/>
    <w:rsid w:val="00817687"/>
    <w:rsid w:val="00817FE3"/>
    <w:rsid w:val="00820F34"/>
    <w:rsid w:val="008218A0"/>
    <w:rsid w:val="00823D5D"/>
    <w:rsid w:val="0082560C"/>
    <w:rsid w:val="00825D27"/>
    <w:rsid w:val="008302CA"/>
    <w:rsid w:val="00834376"/>
    <w:rsid w:val="00834D4D"/>
    <w:rsid w:val="0083569E"/>
    <w:rsid w:val="00840576"/>
    <w:rsid w:val="00845796"/>
    <w:rsid w:val="00850DB4"/>
    <w:rsid w:val="00854450"/>
    <w:rsid w:val="0085616F"/>
    <w:rsid w:val="00857EC8"/>
    <w:rsid w:val="008619DA"/>
    <w:rsid w:val="00865342"/>
    <w:rsid w:val="00866850"/>
    <w:rsid w:val="00870F6B"/>
    <w:rsid w:val="00872C33"/>
    <w:rsid w:val="00873AE6"/>
    <w:rsid w:val="00873B97"/>
    <w:rsid w:val="0087639A"/>
    <w:rsid w:val="008820EE"/>
    <w:rsid w:val="00884692"/>
    <w:rsid w:val="00885753"/>
    <w:rsid w:val="008864C5"/>
    <w:rsid w:val="008926A4"/>
    <w:rsid w:val="00893560"/>
    <w:rsid w:val="00894E4C"/>
    <w:rsid w:val="0089765E"/>
    <w:rsid w:val="008A418D"/>
    <w:rsid w:val="008B03CE"/>
    <w:rsid w:val="008B0A14"/>
    <w:rsid w:val="008B5512"/>
    <w:rsid w:val="008B56B9"/>
    <w:rsid w:val="008B56FC"/>
    <w:rsid w:val="008C074E"/>
    <w:rsid w:val="008C1A41"/>
    <w:rsid w:val="008C6E29"/>
    <w:rsid w:val="008D1A78"/>
    <w:rsid w:val="008D2418"/>
    <w:rsid w:val="008D4622"/>
    <w:rsid w:val="008D50B3"/>
    <w:rsid w:val="008E5337"/>
    <w:rsid w:val="008F072B"/>
    <w:rsid w:val="008F386D"/>
    <w:rsid w:val="008F4032"/>
    <w:rsid w:val="008F67A4"/>
    <w:rsid w:val="00900993"/>
    <w:rsid w:val="009041CD"/>
    <w:rsid w:val="009047AD"/>
    <w:rsid w:val="0090561E"/>
    <w:rsid w:val="00911F25"/>
    <w:rsid w:val="00916337"/>
    <w:rsid w:val="00916D59"/>
    <w:rsid w:val="0092006B"/>
    <w:rsid w:val="00924887"/>
    <w:rsid w:val="009262A2"/>
    <w:rsid w:val="009276BD"/>
    <w:rsid w:val="009338A2"/>
    <w:rsid w:val="00934E33"/>
    <w:rsid w:val="00935FEB"/>
    <w:rsid w:val="00936A5F"/>
    <w:rsid w:val="00937AAB"/>
    <w:rsid w:val="00942D6D"/>
    <w:rsid w:val="00942FB5"/>
    <w:rsid w:val="00952C2E"/>
    <w:rsid w:val="00957683"/>
    <w:rsid w:val="00964ECA"/>
    <w:rsid w:val="009725E7"/>
    <w:rsid w:val="00972EB5"/>
    <w:rsid w:val="00975317"/>
    <w:rsid w:val="0097534A"/>
    <w:rsid w:val="00975CB2"/>
    <w:rsid w:val="0098514D"/>
    <w:rsid w:val="0098667F"/>
    <w:rsid w:val="0098702F"/>
    <w:rsid w:val="009919D6"/>
    <w:rsid w:val="00993349"/>
    <w:rsid w:val="00994C89"/>
    <w:rsid w:val="00995130"/>
    <w:rsid w:val="00995322"/>
    <w:rsid w:val="009970CA"/>
    <w:rsid w:val="00997905"/>
    <w:rsid w:val="00997BA3"/>
    <w:rsid w:val="009A0391"/>
    <w:rsid w:val="009A0EF8"/>
    <w:rsid w:val="009A21B9"/>
    <w:rsid w:val="009A2A91"/>
    <w:rsid w:val="009B652F"/>
    <w:rsid w:val="009C374A"/>
    <w:rsid w:val="009C758B"/>
    <w:rsid w:val="009D1A3D"/>
    <w:rsid w:val="009D2527"/>
    <w:rsid w:val="009D2CA9"/>
    <w:rsid w:val="009D3CC1"/>
    <w:rsid w:val="009D4FBB"/>
    <w:rsid w:val="009D51FC"/>
    <w:rsid w:val="009D581A"/>
    <w:rsid w:val="009D5F57"/>
    <w:rsid w:val="009D69C1"/>
    <w:rsid w:val="009D7D34"/>
    <w:rsid w:val="009D7EB0"/>
    <w:rsid w:val="009F1605"/>
    <w:rsid w:val="009F2345"/>
    <w:rsid w:val="009F6189"/>
    <w:rsid w:val="00A009E3"/>
    <w:rsid w:val="00A05142"/>
    <w:rsid w:val="00A056F0"/>
    <w:rsid w:val="00A108BC"/>
    <w:rsid w:val="00A14B33"/>
    <w:rsid w:val="00A16077"/>
    <w:rsid w:val="00A173BF"/>
    <w:rsid w:val="00A23AFF"/>
    <w:rsid w:val="00A24E4B"/>
    <w:rsid w:val="00A270F7"/>
    <w:rsid w:val="00A302E9"/>
    <w:rsid w:val="00A32FCF"/>
    <w:rsid w:val="00A41728"/>
    <w:rsid w:val="00A418CB"/>
    <w:rsid w:val="00A469B3"/>
    <w:rsid w:val="00A50229"/>
    <w:rsid w:val="00A50B97"/>
    <w:rsid w:val="00A52E77"/>
    <w:rsid w:val="00A53778"/>
    <w:rsid w:val="00A609A0"/>
    <w:rsid w:val="00A63043"/>
    <w:rsid w:val="00A70CD7"/>
    <w:rsid w:val="00A73371"/>
    <w:rsid w:val="00A80483"/>
    <w:rsid w:val="00A81099"/>
    <w:rsid w:val="00A81918"/>
    <w:rsid w:val="00A83B95"/>
    <w:rsid w:val="00A84006"/>
    <w:rsid w:val="00A84C57"/>
    <w:rsid w:val="00A9087A"/>
    <w:rsid w:val="00A92AA5"/>
    <w:rsid w:val="00A94233"/>
    <w:rsid w:val="00A948C1"/>
    <w:rsid w:val="00A958EE"/>
    <w:rsid w:val="00A97AED"/>
    <w:rsid w:val="00AA107A"/>
    <w:rsid w:val="00AA2047"/>
    <w:rsid w:val="00AA48A2"/>
    <w:rsid w:val="00AA675C"/>
    <w:rsid w:val="00AB2DC5"/>
    <w:rsid w:val="00AB434B"/>
    <w:rsid w:val="00AB5143"/>
    <w:rsid w:val="00AB5373"/>
    <w:rsid w:val="00AB6933"/>
    <w:rsid w:val="00AB6CDA"/>
    <w:rsid w:val="00AC090A"/>
    <w:rsid w:val="00AC5B70"/>
    <w:rsid w:val="00AC7F42"/>
    <w:rsid w:val="00AD06E8"/>
    <w:rsid w:val="00AD07AD"/>
    <w:rsid w:val="00AD29FC"/>
    <w:rsid w:val="00AD2EFA"/>
    <w:rsid w:val="00AD347F"/>
    <w:rsid w:val="00AD4EC3"/>
    <w:rsid w:val="00AD5EEC"/>
    <w:rsid w:val="00AE794A"/>
    <w:rsid w:val="00AF0FA7"/>
    <w:rsid w:val="00AF30E3"/>
    <w:rsid w:val="00AF4489"/>
    <w:rsid w:val="00AF5A6E"/>
    <w:rsid w:val="00AF5C1B"/>
    <w:rsid w:val="00B017E9"/>
    <w:rsid w:val="00B024F8"/>
    <w:rsid w:val="00B02C62"/>
    <w:rsid w:val="00B02E78"/>
    <w:rsid w:val="00B04EA4"/>
    <w:rsid w:val="00B06B13"/>
    <w:rsid w:val="00B13387"/>
    <w:rsid w:val="00B162C4"/>
    <w:rsid w:val="00B17355"/>
    <w:rsid w:val="00B176A8"/>
    <w:rsid w:val="00B21EEF"/>
    <w:rsid w:val="00B24415"/>
    <w:rsid w:val="00B254F6"/>
    <w:rsid w:val="00B27428"/>
    <w:rsid w:val="00B276CF"/>
    <w:rsid w:val="00B27F10"/>
    <w:rsid w:val="00B31D78"/>
    <w:rsid w:val="00B31E24"/>
    <w:rsid w:val="00B346C3"/>
    <w:rsid w:val="00B348BE"/>
    <w:rsid w:val="00B40D88"/>
    <w:rsid w:val="00B41D5A"/>
    <w:rsid w:val="00B50FE4"/>
    <w:rsid w:val="00B62B27"/>
    <w:rsid w:val="00B70CED"/>
    <w:rsid w:val="00B748C8"/>
    <w:rsid w:val="00B77E20"/>
    <w:rsid w:val="00B82B98"/>
    <w:rsid w:val="00B87E89"/>
    <w:rsid w:val="00B93907"/>
    <w:rsid w:val="00B93C57"/>
    <w:rsid w:val="00B9582F"/>
    <w:rsid w:val="00B97629"/>
    <w:rsid w:val="00B977DA"/>
    <w:rsid w:val="00BA7223"/>
    <w:rsid w:val="00BB2381"/>
    <w:rsid w:val="00BB4EE8"/>
    <w:rsid w:val="00BB60F9"/>
    <w:rsid w:val="00BB65C6"/>
    <w:rsid w:val="00BB6EBA"/>
    <w:rsid w:val="00BC3F8F"/>
    <w:rsid w:val="00BC449C"/>
    <w:rsid w:val="00BC7761"/>
    <w:rsid w:val="00BD3405"/>
    <w:rsid w:val="00BD5037"/>
    <w:rsid w:val="00BD50EB"/>
    <w:rsid w:val="00BE2A96"/>
    <w:rsid w:val="00BE2B9B"/>
    <w:rsid w:val="00BE4344"/>
    <w:rsid w:val="00BE5470"/>
    <w:rsid w:val="00BF19F1"/>
    <w:rsid w:val="00BF263E"/>
    <w:rsid w:val="00BF5AF2"/>
    <w:rsid w:val="00BF63CE"/>
    <w:rsid w:val="00C04545"/>
    <w:rsid w:val="00C076D2"/>
    <w:rsid w:val="00C109AE"/>
    <w:rsid w:val="00C11356"/>
    <w:rsid w:val="00C13768"/>
    <w:rsid w:val="00C13EDE"/>
    <w:rsid w:val="00C2168D"/>
    <w:rsid w:val="00C25080"/>
    <w:rsid w:val="00C31B56"/>
    <w:rsid w:val="00C346E0"/>
    <w:rsid w:val="00C35E0F"/>
    <w:rsid w:val="00C3631C"/>
    <w:rsid w:val="00C41814"/>
    <w:rsid w:val="00C43079"/>
    <w:rsid w:val="00C442F5"/>
    <w:rsid w:val="00C4586A"/>
    <w:rsid w:val="00C5466B"/>
    <w:rsid w:val="00C62AB7"/>
    <w:rsid w:val="00C71286"/>
    <w:rsid w:val="00C72BCF"/>
    <w:rsid w:val="00C72E19"/>
    <w:rsid w:val="00C8429A"/>
    <w:rsid w:val="00C8568A"/>
    <w:rsid w:val="00C92720"/>
    <w:rsid w:val="00C93FAC"/>
    <w:rsid w:val="00C9475A"/>
    <w:rsid w:val="00C95469"/>
    <w:rsid w:val="00C95588"/>
    <w:rsid w:val="00C96A3A"/>
    <w:rsid w:val="00C96F3C"/>
    <w:rsid w:val="00CA002E"/>
    <w:rsid w:val="00CA2784"/>
    <w:rsid w:val="00CB1AFD"/>
    <w:rsid w:val="00CB58CE"/>
    <w:rsid w:val="00CC256C"/>
    <w:rsid w:val="00CD12EB"/>
    <w:rsid w:val="00CD77BD"/>
    <w:rsid w:val="00CE23B7"/>
    <w:rsid w:val="00CE3827"/>
    <w:rsid w:val="00CE4808"/>
    <w:rsid w:val="00CE4CA7"/>
    <w:rsid w:val="00CE4F32"/>
    <w:rsid w:val="00CE782C"/>
    <w:rsid w:val="00CF168F"/>
    <w:rsid w:val="00CF41DA"/>
    <w:rsid w:val="00CF46EA"/>
    <w:rsid w:val="00CF779F"/>
    <w:rsid w:val="00D04338"/>
    <w:rsid w:val="00D10C6C"/>
    <w:rsid w:val="00D1331F"/>
    <w:rsid w:val="00D13EF5"/>
    <w:rsid w:val="00D154AF"/>
    <w:rsid w:val="00D175FE"/>
    <w:rsid w:val="00D204AE"/>
    <w:rsid w:val="00D20ECA"/>
    <w:rsid w:val="00D223C8"/>
    <w:rsid w:val="00D226EE"/>
    <w:rsid w:val="00D27F03"/>
    <w:rsid w:val="00D32A4D"/>
    <w:rsid w:val="00D36544"/>
    <w:rsid w:val="00D4040E"/>
    <w:rsid w:val="00D422BE"/>
    <w:rsid w:val="00D44482"/>
    <w:rsid w:val="00D45DF5"/>
    <w:rsid w:val="00D5069B"/>
    <w:rsid w:val="00D507EA"/>
    <w:rsid w:val="00D515E2"/>
    <w:rsid w:val="00D51BE0"/>
    <w:rsid w:val="00D57F9F"/>
    <w:rsid w:val="00D603B2"/>
    <w:rsid w:val="00D6276A"/>
    <w:rsid w:val="00D6438F"/>
    <w:rsid w:val="00D64DAE"/>
    <w:rsid w:val="00D7192F"/>
    <w:rsid w:val="00D71CE6"/>
    <w:rsid w:val="00D71D88"/>
    <w:rsid w:val="00D72247"/>
    <w:rsid w:val="00D73237"/>
    <w:rsid w:val="00D74CE6"/>
    <w:rsid w:val="00D75E60"/>
    <w:rsid w:val="00D77B15"/>
    <w:rsid w:val="00D86E0D"/>
    <w:rsid w:val="00D9016C"/>
    <w:rsid w:val="00D90823"/>
    <w:rsid w:val="00D9083A"/>
    <w:rsid w:val="00D945C0"/>
    <w:rsid w:val="00D95D6F"/>
    <w:rsid w:val="00D96A72"/>
    <w:rsid w:val="00DA0A9B"/>
    <w:rsid w:val="00DA1A0E"/>
    <w:rsid w:val="00DA1AEB"/>
    <w:rsid w:val="00DA2433"/>
    <w:rsid w:val="00DA2618"/>
    <w:rsid w:val="00DA4C27"/>
    <w:rsid w:val="00DA4E3C"/>
    <w:rsid w:val="00DB0966"/>
    <w:rsid w:val="00DB44D4"/>
    <w:rsid w:val="00DB4B84"/>
    <w:rsid w:val="00DB7E66"/>
    <w:rsid w:val="00DC2E7B"/>
    <w:rsid w:val="00DC4FC2"/>
    <w:rsid w:val="00DC659D"/>
    <w:rsid w:val="00DC6D92"/>
    <w:rsid w:val="00DD3A72"/>
    <w:rsid w:val="00DD5260"/>
    <w:rsid w:val="00DE0393"/>
    <w:rsid w:val="00DE2B14"/>
    <w:rsid w:val="00DE5C13"/>
    <w:rsid w:val="00DE6DC6"/>
    <w:rsid w:val="00DE7806"/>
    <w:rsid w:val="00DF30AA"/>
    <w:rsid w:val="00DF76F9"/>
    <w:rsid w:val="00E06476"/>
    <w:rsid w:val="00E069D9"/>
    <w:rsid w:val="00E111D4"/>
    <w:rsid w:val="00E12D1C"/>
    <w:rsid w:val="00E1583E"/>
    <w:rsid w:val="00E2425D"/>
    <w:rsid w:val="00E257B9"/>
    <w:rsid w:val="00E26A99"/>
    <w:rsid w:val="00E27B19"/>
    <w:rsid w:val="00E32A6B"/>
    <w:rsid w:val="00E333CF"/>
    <w:rsid w:val="00E362FB"/>
    <w:rsid w:val="00E36CE9"/>
    <w:rsid w:val="00E40676"/>
    <w:rsid w:val="00E413C3"/>
    <w:rsid w:val="00E51C7D"/>
    <w:rsid w:val="00E52C76"/>
    <w:rsid w:val="00E534F6"/>
    <w:rsid w:val="00E57047"/>
    <w:rsid w:val="00E6004F"/>
    <w:rsid w:val="00E601CE"/>
    <w:rsid w:val="00E64B94"/>
    <w:rsid w:val="00E67A6E"/>
    <w:rsid w:val="00E70C95"/>
    <w:rsid w:val="00E73C0F"/>
    <w:rsid w:val="00E813E0"/>
    <w:rsid w:val="00E81C20"/>
    <w:rsid w:val="00E84253"/>
    <w:rsid w:val="00E9193A"/>
    <w:rsid w:val="00EA1150"/>
    <w:rsid w:val="00EA33C2"/>
    <w:rsid w:val="00EA5C65"/>
    <w:rsid w:val="00EA6CEF"/>
    <w:rsid w:val="00EA6F99"/>
    <w:rsid w:val="00EA71EF"/>
    <w:rsid w:val="00EA77C6"/>
    <w:rsid w:val="00EB7A16"/>
    <w:rsid w:val="00EC013E"/>
    <w:rsid w:val="00EC32E1"/>
    <w:rsid w:val="00EC4105"/>
    <w:rsid w:val="00ED5E34"/>
    <w:rsid w:val="00ED74D5"/>
    <w:rsid w:val="00EE1944"/>
    <w:rsid w:val="00EE42B8"/>
    <w:rsid w:val="00EE5FA8"/>
    <w:rsid w:val="00EE6C47"/>
    <w:rsid w:val="00EE6E65"/>
    <w:rsid w:val="00EF27F9"/>
    <w:rsid w:val="00EF2CAA"/>
    <w:rsid w:val="00EF5A3E"/>
    <w:rsid w:val="00EF64FE"/>
    <w:rsid w:val="00EF73AA"/>
    <w:rsid w:val="00F01579"/>
    <w:rsid w:val="00F0329A"/>
    <w:rsid w:val="00F05813"/>
    <w:rsid w:val="00F060D0"/>
    <w:rsid w:val="00F06E2A"/>
    <w:rsid w:val="00F07BA8"/>
    <w:rsid w:val="00F101BF"/>
    <w:rsid w:val="00F1079A"/>
    <w:rsid w:val="00F123D5"/>
    <w:rsid w:val="00F13AEC"/>
    <w:rsid w:val="00F14BC4"/>
    <w:rsid w:val="00F1580E"/>
    <w:rsid w:val="00F1788C"/>
    <w:rsid w:val="00F2243D"/>
    <w:rsid w:val="00F24820"/>
    <w:rsid w:val="00F24975"/>
    <w:rsid w:val="00F30C7F"/>
    <w:rsid w:val="00F35367"/>
    <w:rsid w:val="00F423C6"/>
    <w:rsid w:val="00F4322D"/>
    <w:rsid w:val="00F4717C"/>
    <w:rsid w:val="00F515B7"/>
    <w:rsid w:val="00F52249"/>
    <w:rsid w:val="00F52A8D"/>
    <w:rsid w:val="00F53228"/>
    <w:rsid w:val="00F5453D"/>
    <w:rsid w:val="00F5799E"/>
    <w:rsid w:val="00F57ECB"/>
    <w:rsid w:val="00F6004C"/>
    <w:rsid w:val="00F60315"/>
    <w:rsid w:val="00F61A16"/>
    <w:rsid w:val="00F6416F"/>
    <w:rsid w:val="00F66A7B"/>
    <w:rsid w:val="00F70F0F"/>
    <w:rsid w:val="00F710A6"/>
    <w:rsid w:val="00F721FE"/>
    <w:rsid w:val="00F72C2A"/>
    <w:rsid w:val="00F74512"/>
    <w:rsid w:val="00F84115"/>
    <w:rsid w:val="00F8474C"/>
    <w:rsid w:val="00F84BCB"/>
    <w:rsid w:val="00F85D90"/>
    <w:rsid w:val="00F86F71"/>
    <w:rsid w:val="00F916BC"/>
    <w:rsid w:val="00F92E56"/>
    <w:rsid w:val="00FA5D4B"/>
    <w:rsid w:val="00FA79B7"/>
    <w:rsid w:val="00FB1755"/>
    <w:rsid w:val="00FB1ED5"/>
    <w:rsid w:val="00FB7E23"/>
    <w:rsid w:val="00FC1333"/>
    <w:rsid w:val="00FC2FBE"/>
    <w:rsid w:val="00FC3B16"/>
    <w:rsid w:val="00FC52F3"/>
    <w:rsid w:val="00FE3423"/>
    <w:rsid w:val="00FE7B38"/>
    <w:rsid w:val="00FF3C33"/>
    <w:rsid w:val="00FF5F43"/>
    <w:rsid w:val="0770785C"/>
    <w:rsid w:val="0A1A7638"/>
    <w:rsid w:val="0ACA04C9"/>
    <w:rsid w:val="0BA90200"/>
    <w:rsid w:val="0CC25F19"/>
    <w:rsid w:val="0F0D1181"/>
    <w:rsid w:val="1282608D"/>
    <w:rsid w:val="12A460C1"/>
    <w:rsid w:val="139F11BF"/>
    <w:rsid w:val="15E038B4"/>
    <w:rsid w:val="17E23456"/>
    <w:rsid w:val="19D54A43"/>
    <w:rsid w:val="1CE3163A"/>
    <w:rsid w:val="1D502516"/>
    <w:rsid w:val="1D667226"/>
    <w:rsid w:val="1D9F0A2F"/>
    <w:rsid w:val="1DEF534A"/>
    <w:rsid w:val="1E594203"/>
    <w:rsid w:val="1F9E2816"/>
    <w:rsid w:val="21AD3E1C"/>
    <w:rsid w:val="226F541E"/>
    <w:rsid w:val="2358717F"/>
    <w:rsid w:val="237F470C"/>
    <w:rsid w:val="252235A1"/>
    <w:rsid w:val="259D70CC"/>
    <w:rsid w:val="25BA41F4"/>
    <w:rsid w:val="276D5533"/>
    <w:rsid w:val="27D56FF1"/>
    <w:rsid w:val="28E56437"/>
    <w:rsid w:val="2B25509F"/>
    <w:rsid w:val="2B345DDC"/>
    <w:rsid w:val="2CCE64BD"/>
    <w:rsid w:val="30B35B71"/>
    <w:rsid w:val="31046251"/>
    <w:rsid w:val="3260436D"/>
    <w:rsid w:val="32A55811"/>
    <w:rsid w:val="32FC289F"/>
    <w:rsid w:val="33323549"/>
    <w:rsid w:val="33BC2E13"/>
    <w:rsid w:val="34E54B34"/>
    <w:rsid w:val="35DA3A24"/>
    <w:rsid w:val="36C344B8"/>
    <w:rsid w:val="3766690B"/>
    <w:rsid w:val="38255EA2"/>
    <w:rsid w:val="39B307C4"/>
    <w:rsid w:val="3A357387"/>
    <w:rsid w:val="3A6A24F4"/>
    <w:rsid w:val="3AF45588"/>
    <w:rsid w:val="3D4966DD"/>
    <w:rsid w:val="3E1B6D71"/>
    <w:rsid w:val="3F5577CE"/>
    <w:rsid w:val="401D6F8B"/>
    <w:rsid w:val="406A72DC"/>
    <w:rsid w:val="40730CFD"/>
    <w:rsid w:val="41F76CFB"/>
    <w:rsid w:val="437461C3"/>
    <w:rsid w:val="44BD4C3D"/>
    <w:rsid w:val="4511326B"/>
    <w:rsid w:val="459B4F7E"/>
    <w:rsid w:val="462758FA"/>
    <w:rsid w:val="46AC6D17"/>
    <w:rsid w:val="46C73EAA"/>
    <w:rsid w:val="46E27D21"/>
    <w:rsid w:val="4B885FA4"/>
    <w:rsid w:val="4C7522A6"/>
    <w:rsid w:val="4D3A32CE"/>
    <w:rsid w:val="4D8C33FE"/>
    <w:rsid w:val="4DA70238"/>
    <w:rsid w:val="4DAE5EA0"/>
    <w:rsid w:val="4EBF08C0"/>
    <w:rsid w:val="4F5166AD"/>
    <w:rsid w:val="50A76ECD"/>
    <w:rsid w:val="531C6FD2"/>
    <w:rsid w:val="53861D98"/>
    <w:rsid w:val="54624EB9"/>
    <w:rsid w:val="54B12CD9"/>
    <w:rsid w:val="550F0A54"/>
    <w:rsid w:val="56B539C6"/>
    <w:rsid w:val="57226FEE"/>
    <w:rsid w:val="5C6823CD"/>
    <w:rsid w:val="5CB169DD"/>
    <w:rsid w:val="5D373F93"/>
    <w:rsid w:val="5E6C33DA"/>
    <w:rsid w:val="5F0D64AA"/>
    <w:rsid w:val="60786190"/>
    <w:rsid w:val="61B37783"/>
    <w:rsid w:val="62AB63E1"/>
    <w:rsid w:val="64201D1B"/>
    <w:rsid w:val="652140C9"/>
    <w:rsid w:val="65703F09"/>
    <w:rsid w:val="66DA1B16"/>
    <w:rsid w:val="69083E29"/>
    <w:rsid w:val="6B3709F5"/>
    <w:rsid w:val="6C053134"/>
    <w:rsid w:val="6C5B7135"/>
    <w:rsid w:val="6EDE3E71"/>
    <w:rsid w:val="6F9C26F4"/>
    <w:rsid w:val="6FBA6DDE"/>
    <w:rsid w:val="6FD16E09"/>
    <w:rsid w:val="717B7C74"/>
    <w:rsid w:val="733A7BDC"/>
    <w:rsid w:val="73AD7AA7"/>
    <w:rsid w:val="73F0360B"/>
    <w:rsid w:val="7440091B"/>
    <w:rsid w:val="74CC0400"/>
    <w:rsid w:val="75546D59"/>
    <w:rsid w:val="794077D8"/>
    <w:rsid w:val="7B61244E"/>
    <w:rsid w:val="7CA53180"/>
    <w:rsid w:val="7CDC2717"/>
    <w:rsid w:val="7CE16A13"/>
    <w:rsid w:val="7CFE7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 w:cstheme="minorBidi"/>
      <w:kern w:val="2"/>
      <w:sz w:val="30"/>
      <w:szCs w:val="22"/>
      <w:lang w:val="en-US" w:eastAsia="zh-CN" w:bidi="ar-SA"/>
    </w:rPr>
  </w:style>
  <w:style w:type="paragraph" w:styleId="3">
    <w:name w:val="heading 1"/>
    <w:basedOn w:val="1"/>
    <w:next w:val="1"/>
    <w:link w:val="24"/>
    <w:qFormat/>
    <w:uiPriority w:val="9"/>
    <w:pPr>
      <w:keepNext/>
      <w:keepLines/>
      <w:adjustRightInd w:val="0"/>
      <w:snapToGrid w:val="0"/>
      <w:spacing w:beforeLines="50" w:afterLines="50"/>
      <w:jc w:val="left"/>
      <w:outlineLvl w:val="0"/>
    </w:pPr>
    <w:rPr>
      <w:rFonts w:eastAsia="华文中宋"/>
      <w:b/>
      <w:bCs/>
      <w:kern w:val="44"/>
      <w:sz w:val="36"/>
      <w:szCs w:val="44"/>
    </w:rPr>
  </w:style>
  <w:style w:type="paragraph" w:styleId="4">
    <w:name w:val="heading 2"/>
    <w:basedOn w:val="1"/>
    <w:next w:val="1"/>
    <w:link w:val="25"/>
    <w:unhideWhenUsed/>
    <w:qFormat/>
    <w:uiPriority w:val="9"/>
    <w:pPr>
      <w:keepNext/>
      <w:keepLines/>
      <w:adjustRightInd w:val="0"/>
      <w:snapToGrid w:val="0"/>
      <w:spacing w:beforeLines="50" w:afterLines="50"/>
      <w:jc w:val="left"/>
      <w:outlineLvl w:val="1"/>
    </w:pPr>
    <w:rPr>
      <w:rFonts w:eastAsia="黑体" w:cstheme="majorBidi"/>
      <w:b/>
      <w:bCs/>
      <w:sz w:val="32"/>
      <w:szCs w:val="32"/>
    </w:rPr>
  </w:style>
  <w:style w:type="paragraph" w:styleId="5">
    <w:name w:val="heading 3"/>
    <w:basedOn w:val="1"/>
    <w:next w:val="1"/>
    <w:link w:val="26"/>
    <w:unhideWhenUsed/>
    <w:qFormat/>
    <w:uiPriority w:val="9"/>
    <w:pPr>
      <w:keepNext/>
      <w:keepLines/>
      <w:adjustRightInd w:val="0"/>
      <w:snapToGrid w:val="0"/>
      <w:spacing w:line="600" w:lineRule="atLeast"/>
      <w:jc w:val="left"/>
      <w:outlineLvl w:val="2"/>
    </w:pPr>
    <w:rPr>
      <w:rFonts w:eastAsia="楷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32"/>
    </w:rPr>
  </w:style>
  <w:style w:type="paragraph" w:styleId="6">
    <w:name w:val="Document Map"/>
    <w:basedOn w:val="1"/>
    <w:link w:val="36"/>
    <w:semiHidden/>
    <w:unhideWhenUsed/>
    <w:qFormat/>
    <w:uiPriority w:val="99"/>
    <w:rPr>
      <w:rFonts w:ascii="宋体" w:eastAsia="宋体"/>
      <w:sz w:val="18"/>
      <w:szCs w:val="18"/>
    </w:rPr>
  </w:style>
  <w:style w:type="paragraph" w:styleId="7">
    <w:name w:val="annotation text"/>
    <w:basedOn w:val="1"/>
    <w:link w:val="31"/>
    <w:semiHidden/>
    <w:unhideWhenUsed/>
    <w:qFormat/>
    <w:uiPriority w:val="99"/>
    <w:pPr>
      <w:jc w:val="left"/>
    </w:pPr>
  </w:style>
  <w:style w:type="paragraph" w:styleId="8">
    <w:name w:val="toc 3"/>
    <w:basedOn w:val="1"/>
    <w:next w:val="1"/>
    <w:unhideWhenUsed/>
    <w:qFormat/>
    <w:uiPriority w:val="39"/>
    <w:pPr>
      <w:ind w:left="400" w:leftChars="400" w:firstLine="0" w:firstLineChars="0"/>
    </w:pPr>
    <w:rPr>
      <w:sz w:val="28"/>
    </w:rPr>
  </w:style>
  <w:style w:type="paragraph" w:styleId="9">
    <w:name w:val="Balloon Text"/>
    <w:basedOn w:val="1"/>
    <w:link w:val="33"/>
    <w:semiHidden/>
    <w:unhideWhenUsed/>
    <w:qFormat/>
    <w:uiPriority w:val="99"/>
    <w:pPr>
      <w:spacing w:line="240" w:lineRule="auto"/>
    </w:pPr>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tabs>
        <w:tab w:val="center" w:pos="4153"/>
        <w:tab w:val="right" w:pos="8306"/>
      </w:tabs>
      <w:snapToGrid w:val="0"/>
      <w:jc w:val="center"/>
    </w:pPr>
    <w:rPr>
      <w:sz w:val="18"/>
      <w:szCs w:val="18"/>
    </w:rPr>
  </w:style>
  <w:style w:type="paragraph" w:styleId="12">
    <w:name w:val="toc 1"/>
    <w:basedOn w:val="1"/>
    <w:next w:val="1"/>
    <w:unhideWhenUsed/>
    <w:qFormat/>
    <w:uiPriority w:val="39"/>
    <w:pPr>
      <w:ind w:firstLine="0" w:firstLineChars="0"/>
    </w:pPr>
    <w:rPr>
      <w:b/>
      <w:sz w:val="28"/>
    </w:rPr>
  </w:style>
  <w:style w:type="paragraph" w:styleId="13">
    <w:name w:val="List"/>
    <w:basedOn w:val="1"/>
    <w:qFormat/>
    <w:uiPriority w:val="0"/>
    <w:pPr>
      <w:ind w:left="200" w:hanging="200" w:hangingChars="200"/>
      <w:contextualSpacing/>
    </w:pPr>
  </w:style>
  <w:style w:type="paragraph" w:styleId="14">
    <w:name w:val="toc 2"/>
    <w:basedOn w:val="1"/>
    <w:next w:val="1"/>
    <w:unhideWhenUsed/>
    <w:qFormat/>
    <w:uiPriority w:val="39"/>
    <w:pPr>
      <w:ind w:left="200" w:leftChars="200" w:firstLine="0" w:firstLineChars="0"/>
    </w:pPr>
    <w:rPr>
      <w:sz w:val="28"/>
    </w:rPr>
  </w:style>
  <w:style w:type="paragraph" w:styleId="15">
    <w:name w:val="annotation subject"/>
    <w:basedOn w:val="7"/>
    <w:next w:val="7"/>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样式 正文11 + 首行缩进:  2 字符"/>
    <w:basedOn w:val="1"/>
    <w:qFormat/>
    <w:uiPriority w:val="0"/>
    <w:pPr>
      <w:spacing w:line="500" w:lineRule="exact"/>
      <w:ind w:firstLine="560"/>
    </w:pPr>
    <w:rPr>
      <w:rFonts w:ascii="宋体" w:hAnsi="宋体" w:cs="宋体"/>
      <w:color w:val="FF0000"/>
      <w:sz w:val="28"/>
      <w:szCs w:val="20"/>
    </w:rPr>
  </w:style>
  <w:style w:type="character" w:customStyle="1" w:styleId="22">
    <w:name w:val="页眉 字符"/>
    <w:basedOn w:val="18"/>
    <w:link w:val="11"/>
    <w:qFormat/>
    <w:uiPriority w:val="99"/>
    <w:rPr>
      <w:rFonts w:ascii="Times New Roman" w:hAnsi="Times New Roman" w:eastAsia="仿宋"/>
      <w:sz w:val="18"/>
      <w:szCs w:val="18"/>
    </w:rPr>
  </w:style>
  <w:style w:type="character" w:customStyle="1" w:styleId="23">
    <w:name w:val="页脚 字符"/>
    <w:basedOn w:val="18"/>
    <w:link w:val="10"/>
    <w:qFormat/>
    <w:uiPriority w:val="99"/>
    <w:rPr>
      <w:sz w:val="18"/>
      <w:szCs w:val="18"/>
    </w:rPr>
  </w:style>
  <w:style w:type="character" w:customStyle="1" w:styleId="24">
    <w:name w:val="标题 1 字符"/>
    <w:basedOn w:val="18"/>
    <w:link w:val="3"/>
    <w:qFormat/>
    <w:uiPriority w:val="9"/>
    <w:rPr>
      <w:rFonts w:ascii="Times New Roman" w:hAnsi="Times New Roman" w:eastAsia="华文中宋"/>
      <w:b/>
      <w:bCs/>
      <w:kern w:val="44"/>
      <w:sz w:val="36"/>
      <w:szCs w:val="44"/>
    </w:rPr>
  </w:style>
  <w:style w:type="character" w:customStyle="1" w:styleId="25">
    <w:name w:val="标题 2 字符"/>
    <w:basedOn w:val="18"/>
    <w:link w:val="4"/>
    <w:qFormat/>
    <w:uiPriority w:val="9"/>
    <w:rPr>
      <w:rFonts w:ascii="Times New Roman" w:hAnsi="Times New Roman" w:eastAsia="黑体" w:cstheme="majorBidi"/>
      <w:b/>
      <w:bCs/>
      <w:sz w:val="32"/>
      <w:szCs w:val="32"/>
    </w:rPr>
  </w:style>
  <w:style w:type="character" w:customStyle="1" w:styleId="26">
    <w:name w:val="标题 3 字符"/>
    <w:basedOn w:val="18"/>
    <w:link w:val="5"/>
    <w:qFormat/>
    <w:uiPriority w:val="9"/>
    <w:rPr>
      <w:rFonts w:ascii="Times New Roman" w:hAnsi="Times New Roman" w:eastAsia="楷体"/>
      <w:b/>
      <w:bCs/>
      <w:sz w:val="32"/>
      <w:szCs w:val="32"/>
    </w:rPr>
  </w:style>
  <w:style w:type="paragraph" w:customStyle="1" w:styleId="27">
    <w:name w:val="表头"/>
    <w:basedOn w:val="1"/>
    <w:link w:val="28"/>
    <w:qFormat/>
    <w:uiPriority w:val="0"/>
    <w:pPr>
      <w:ind w:firstLine="0" w:firstLineChars="0"/>
      <w:jc w:val="center"/>
    </w:pPr>
    <w:rPr>
      <w:b/>
      <w:kern w:val="0"/>
      <w:sz w:val="28"/>
      <w:szCs w:val="21"/>
    </w:rPr>
  </w:style>
  <w:style w:type="character" w:customStyle="1" w:styleId="28">
    <w:name w:val="表头 字符"/>
    <w:basedOn w:val="18"/>
    <w:link w:val="27"/>
    <w:qFormat/>
    <w:uiPriority w:val="0"/>
    <w:rPr>
      <w:rFonts w:ascii="Times New Roman" w:hAnsi="Times New Roman" w:eastAsia="仿宋"/>
      <w:b/>
      <w:kern w:val="0"/>
      <w:sz w:val="28"/>
      <w:szCs w:val="21"/>
    </w:rPr>
  </w:style>
  <w:style w:type="paragraph" w:customStyle="1" w:styleId="29">
    <w:name w:val="表格"/>
    <w:basedOn w:val="1"/>
    <w:qFormat/>
    <w:uiPriority w:val="0"/>
    <w:pPr>
      <w:widowControl/>
      <w:spacing w:line="240" w:lineRule="auto"/>
      <w:ind w:firstLine="0" w:firstLineChars="0"/>
      <w:jc w:val="center"/>
    </w:pPr>
    <w:rPr>
      <w:rFonts w:cs="仿宋"/>
      <w:kern w:val="0"/>
      <w:sz w:val="24"/>
      <w:szCs w:val="24"/>
    </w:rPr>
  </w:style>
  <w:style w:type="paragraph" w:customStyle="1" w:styleId="30">
    <w:name w:val="TOC 标题1"/>
    <w:basedOn w:val="3"/>
    <w:next w:val="1"/>
    <w:semiHidden/>
    <w:unhideWhenUsed/>
    <w:qFormat/>
    <w:uiPriority w:val="39"/>
    <w:pPr>
      <w:widowControl/>
      <w:adjustRightInd/>
      <w:snapToGrid/>
      <w:spacing w:before="480" w:afterLines="0" w:line="276" w:lineRule="auto"/>
      <w:ind w:firstLine="0" w:firstLineChars="0"/>
      <w:outlineLvl w:val="9"/>
    </w:pPr>
    <w:rPr>
      <w:rFonts w:asciiTheme="majorHAnsi" w:hAnsiTheme="majorHAnsi" w:eastAsiaTheme="majorEastAsia" w:cstheme="majorBidi"/>
      <w:color w:val="2F5597" w:themeColor="accent1" w:themeShade="BF"/>
      <w:kern w:val="0"/>
      <w:sz w:val="28"/>
      <w:szCs w:val="28"/>
    </w:rPr>
  </w:style>
  <w:style w:type="character" w:customStyle="1" w:styleId="31">
    <w:name w:val="批注文字 字符"/>
    <w:basedOn w:val="18"/>
    <w:link w:val="7"/>
    <w:semiHidden/>
    <w:qFormat/>
    <w:uiPriority w:val="99"/>
    <w:rPr>
      <w:rFonts w:ascii="Times New Roman" w:hAnsi="Times New Roman" w:eastAsia="仿宋"/>
      <w:sz w:val="30"/>
    </w:rPr>
  </w:style>
  <w:style w:type="character" w:customStyle="1" w:styleId="32">
    <w:name w:val="批注主题 字符"/>
    <w:basedOn w:val="31"/>
    <w:link w:val="15"/>
    <w:semiHidden/>
    <w:qFormat/>
    <w:uiPriority w:val="99"/>
    <w:rPr>
      <w:rFonts w:ascii="Times New Roman" w:hAnsi="Times New Roman" w:eastAsia="仿宋"/>
      <w:b/>
      <w:bCs/>
      <w:sz w:val="30"/>
    </w:rPr>
  </w:style>
  <w:style w:type="character" w:customStyle="1" w:styleId="33">
    <w:name w:val="批注框文本 字符"/>
    <w:basedOn w:val="18"/>
    <w:link w:val="9"/>
    <w:semiHidden/>
    <w:qFormat/>
    <w:uiPriority w:val="99"/>
    <w:rPr>
      <w:rFonts w:ascii="Times New Roman" w:hAnsi="Times New Roman" w:eastAsia="仿宋"/>
      <w:sz w:val="18"/>
      <w:szCs w:val="18"/>
    </w:rPr>
  </w:style>
  <w:style w:type="paragraph" w:customStyle="1" w:styleId="34">
    <w:name w:val="Table Paragraph"/>
    <w:basedOn w:val="1"/>
    <w:qFormat/>
    <w:uiPriority w:val="0"/>
    <w:pPr>
      <w:autoSpaceDE w:val="0"/>
      <w:autoSpaceDN w:val="0"/>
      <w:spacing w:line="240" w:lineRule="auto"/>
      <w:ind w:firstLine="0" w:firstLineChars="0"/>
      <w:jc w:val="left"/>
    </w:pPr>
    <w:rPr>
      <w:rFonts w:ascii="宋体" w:hAnsi="宋体" w:eastAsia="宋体" w:cs="宋体"/>
      <w:kern w:val="0"/>
      <w:sz w:val="22"/>
      <w:lang w:val="zh-CN"/>
    </w:rPr>
  </w:style>
  <w:style w:type="paragraph" w:customStyle="1" w:styleId="35">
    <w:name w:val="列出段落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character" w:customStyle="1" w:styleId="36">
    <w:name w:val="文档结构图 字符"/>
    <w:basedOn w:val="18"/>
    <w:link w:val="6"/>
    <w:semiHidden/>
    <w:qFormat/>
    <w:uiPriority w:val="99"/>
    <w:rPr>
      <w:rFonts w:ascii="宋体" w:hAnsi="Times New Roman" w:eastAsia="宋体"/>
      <w:kern w:val="2"/>
      <w:sz w:val="18"/>
      <w:szCs w:val="18"/>
    </w:rPr>
  </w:style>
  <w:style w:type="paragraph" w:customStyle="1" w:styleId="37">
    <w:name w:val="列出段落"/>
    <w:qFormat/>
    <w:uiPriority w:val="0"/>
    <w:pPr>
      <w:widowControl w:val="0"/>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F044-AB9A-443C-9B92-1370FC768ABF}">
  <ds:schemaRefs/>
</ds:datastoreItem>
</file>

<file path=docProps/app.xml><?xml version="1.0" encoding="utf-8"?>
<Properties xmlns="http://schemas.openxmlformats.org/officeDocument/2006/extended-properties" xmlns:vt="http://schemas.openxmlformats.org/officeDocument/2006/docPropsVTypes">
  <Template>Normal</Template>
  <Pages>22</Pages>
  <Words>1829</Words>
  <Characters>10429</Characters>
  <Lines>86</Lines>
  <Paragraphs>24</Paragraphs>
  <TotalTime>1</TotalTime>
  <ScaleCrop>false</ScaleCrop>
  <LinksUpToDate>false</LinksUpToDate>
  <CharactersWithSpaces>12234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2023-10-11T01:26:00Z</dcterms:created>
  <dc:creator>Administrator</dc:creator>
  <cp:lastModifiedBy>  </cp:lastModifiedBy>
  <cp:lastPrinted>2023-10-11T01:24:00Z</cp:lastPrinted>
  <dcterms:modified xsi:type="dcterms:W3CDTF">2023-10-11T01:50:51Z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E84B9201610E48B68E2A0C8E3628AFC8_13</vt:lpwstr>
  </property>
</Properties>
</file>